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540" w:lineRule="exact"/>
        <w:jc w:val="left"/>
        <w:outlineLvl w:val="0"/>
        <w:rPr>
          <w:rFonts w:hint="default" w:ascii="Times New Roman" w:hAnsi="Times New Roman" w:eastAsia="方正小标宋简体" w:cs="Times New Roman"/>
          <w:color w:val="auto"/>
          <w:sz w:val="30"/>
          <w:szCs w:val="30"/>
          <w:highlight w:val="none"/>
        </w:rPr>
      </w:pPr>
      <w:bookmarkStart w:id="0" w:name="_Toc15306267"/>
    </w:p>
    <w:p>
      <w:pPr>
        <w:pageBreakBefore w:val="0"/>
        <w:kinsoku/>
        <w:wordWrap/>
        <w:overflowPunct/>
        <w:topLinePunct w:val="0"/>
        <w:bidi w:val="0"/>
        <w:spacing w:line="540" w:lineRule="exact"/>
        <w:jc w:val="center"/>
        <w:outlineLvl w:val="0"/>
        <w:rPr>
          <w:rFonts w:hint="default" w:ascii="Times New Roman" w:hAnsi="Times New Roman" w:eastAsia="方正小标宋简体" w:cs="Times New Roman"/>
          <w:color w:val="auto"/>
          <w:sz w:val="72"/>
          <w:szCs w:val="72"/>
          <w:highlight w:val="none"/>
        </w:rPr>
      </w:pPr>
    </w:p>
    <w:p>
      <w:pPr>
        <w:pageBreakBefore w:val="0"/>
        <w:kinsoku/>
        <w:wordWrap/>
        <w:overflowPunct/>
        <w:topLinePunct w:val="0"/>
        <w:bidi w:val="0"/>
        <w:spacing w:line="540" w:lineRule="exact"/>
        <w:jc w:val="center"/>
        <w:outlineLvl w:val="0"/>
        <w:rPr>
          <w:rFonts w:hint="default" w:ascii="Times New Roman" w:hAnsi="Times New Roman" w:eastAsia="方正小标宋简体" w:cs="Times New Roman"/>
          <w:color w:val="auto"/>
          <w:sz w:val="72"/>
          <w:szCs w:val="72"/>
          <w:highlight w:val="none"/>
        </w:rPr>
      </w:pPr>
    </w:p>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outlineLvl w:val="0"/>
        <w:rPr>
          <w:rFonts w:hint="default" w:ascii="Times New Roman" w:hAnsi="Times New Roman" w:eastAsia="方正小标宋简体" w:cs="Times New Roman"/>
          <w:color w:val="auto"/>
          <w:sz w:val="72"/>
          <w:szCs w:val="72"/>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0"/>
        <w:rPr>
          <w:rFonts w:hint="default" w:ascii="Times New Roman" w:hAnsi="Times New Roman" w:eastAsia="方正小标宋简体" w:cs="Times New Roman"/>
          <w:color w:val="auto"/>
          <w:sz w:val="72"/>
          <w:szCs w:val="72"/>
          <w:highlight w:val="none"/>
        </w:rPr>
      </w:pPr>
      <w:bookmarkStart w:id="1" w:name="_Toc15378441"/>
      <w:bookmarkStart w:id="2" w:name="_Toc15377425"/>
      <w:bookmarkStart w:id="3" w:name="_Toc6336"/>
      <w:bookmarkStart w:id="4" w:name="_Toc15396475"/>
      <w:bookmarkStart w:id="5" w:name="_Toc15396597"/>
      <w:bookmarkStart w:id="6" w:name="_Toc15377193"/>
      <w:r>
        <w:rPr>
          <w:rFonts w:hint="default" w:ascii="Times New Roman" w:hAnsi="Times New Roman" w:eastAsia="黑体" w:cs="Times New Roman"/>
          <w:color w:val="auto"/>
          <w:sz w:val="72"/>
          <w:szCs w:val="72"/>
          <w:highlight w:val="none"/>
        </w:rPr>
        <w:t>2020</w:t>
      </w:r>
      <w:r>
        <w:rPr>
          <w:rFonts w:hint="default" w:ascii="Times New Roman" w:hAnsi="Times New Roman" w:eastAsia="方正小标宋简体" w:cs="Times New Roman"/>
          <w:color w:val="auto"/>
          <w:sz w:val="72"/>
          <w:szCs w:val="72"/>
          <w:highlight w:val="none"/>
        </w:rPr>
        <w:t>年度</w:t>
      </w:r>
      <w:bookmarkEnd w:id="1"/>
      <w:bookmarkEnd w:id="2"/>
      <w:bookmarkEnd w:id="3"/>
      <w:bookmarkEnd w:id="4"/>
      <w:bookmarkEnd w:id="5"/>
      <w:bookmarkEnd w:id="6"/>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0"/>
        <w:rPr>
          <w:rFonts w:hint="default" w:ascii="Times New Roman" w:hAnsi="Times New Roman" w:eastAsia="方正小标宋简体" w:cs="Times New Roman"/>
          <w:color w:val="auto"/>
          <w:sz w:val="72"/>
          <w:szCs w:val="72"/>
          <w:highlight w:val="none"/>
        </w:rPr>
      </w:pPr>
      <w:bookmarkStart w:id="7" w:name="_Toc15377194"/>
      <w:bookmarkStart w:id="8" w:name="_Toc15396598"/>
      <w:bookmarkStart w:id="9" w:name="_Toc15378442"/>
      <w:bookmarkStart w:id="10" w:name="_Toc15377426"/>
      <w:bookmarkStart w:id="11" w:name="_Toc12174"/>
      <w:bookmarkStart w:id="12" w:name="_Toc15396476"/>
      <w:r>
        <w:rPr>
          <w:rFonts w:hint="default" w:ascii="Times New Roman" w:hAnsi="Times New Roman" w:eastAsia="方正小标宋简体" w:cs="Times New Roman"/>
          <w:color w:val="auto"/>
          <w:sz w:val="72"/>
          <w:szCs w:val="72"/>
          <w:highlight w:val="none"/>
        </w:rPr>
        <w:t>四川省</w:t>
      </w:r>
      <w:bookmarkEnd w:id="0"/>
      <w:bookmarkStart w:id="13" w:name="_Toc15306268"/>
      <w:r>
        <w:rPr>
          <w:rFonts w:hint="default" w:ascii="Times New Roman" w:hAnsi="Times New Roman" w:eastAsia="方正小标宋简体" w:cs="Times New Roman"/>
          <w:color w:val="auto"/>
          <w:sz w:val="72"/>
          <w:szCs w:val="72"/>
          <w:highlight w:val="none"/>
          <w:lang w:val="en-US" w:eastAsia="zh-CN"/>
        </w:rPr>
        <w:t>发展和改革委员会</w:t>
      </w:r>
      <w:r>
        <w:rPr>
          <w:rFonts w:hint="default" w:ascii="Times New Roman" w:hAnsi="Times New Roman" w:eastAsia="方正小标宋简体" w:cs="Times New Roman"/>
          <w:color w:val="auto"/>
          <w:sz w:val="72"/>
          <w:szCs w:val="72"/>
          <w:highlight w:val="none"/>
        </w:rPr>
        <w:t>部门决算</w:t>
      </w:r>
      <w:bookmarkEnd w:id="7"/>
      <w:bookmarkEnd w:id="8"/>
      <w:bookmarkEnd w:id="9"/>
      <w:bookmarkEnd w:id="10"/>
      <w:bookmarkEnd w:id="11"/>
      <w:bookmarkEnd w:id="12"/>
      <w:bookmarkEnd w:id="13"/>
    </w:p>
    <w:p>
      <w:pPr>
        <w:keepNext w:val="0"/>
        <w:keepLines w:val="0"/>
        <w:pageBreakBefore w:val="0"/>
        <w:widowControl/>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48"/>
          <w:szCs w:val="48"/>
          <w:highlight w:val="none"/>
        </w:rPr>
      </w:pPr>
      <w:r>
        <w:rPr>
          <w:rFonts w:hint="default" w:ascii="Times New Roman" w:hAnsi="Times New Roman" w:eastAsia="方正小标宋简体" w:cs="Times New Roman"/>
          <w:color w:val="auto"/>
          <w:sz w:val="36"/>
          <w:szCs w:val="36"/>
          <w:highlight w:val="none"/>
        </w:rPr>
        <w:br w:type="page"/>
      </w:r>
      <w:r>
        <w:rPr>
          <w:rFonts w:hint="default" w:ascii="Times New Roman" w:hAnsi="Times New Roman" w:eastAsia="黑体" w:cs="Times New Roman"/>
          <w:color w:val="auto"/>
          <w:sz w:val="48"/>
          <w:szCs w:val="48"/>
          <w:highlight w:val="none"/>
        </w:rPr>
        <w:t>目录</w:t>
      </w:r>
    </w:p>
    <w:p>
      <w:pPr>
        <w:pageBreakBefore w:val="0"/>
        <w:widowControl/>
        <w:kinsoku/>
        <w:wordWrap/>
        <w:overflowPunct/>
        <w:topLinePunct w:val="0"/>
        <w:bidi w:val="0"/>
        <w:spacing w:line="540" w:lineRule="exact"/>
        <w:jc w:val="center"/>
        <w:rPr>
          <w:rFonts w:hint="default" w:ascii="Times New Roman" w:hAnsi="Times New Roman" w:eastAsia="黑体" w:cs="Times New Roman"/>
          <w:color w:val="auto"/>
          <w:sz w:val="28"/>
          <w:szCs w:val="28"/>
          <w:highlight w:val="none"/>
        </w:rPr>
      </w:pPr>
    </w:p>
    <w:p>
      <w:pPr>
        <w:pStyle w:val="17"/>
        <w:keepNext w:val="0"/>
        <w:keepLines w:val="0"/>
        <w:pageBreakBefore w:val="0"/>
        <w:widowControl w:val="0"/>
        <w:tabs>
          <w:tab w:val="right" w:leader="dot" w:pos="8296"/>
        </w:tabs>
        <w:kinsoku/>
        <w:wordWrap/>
        <w:overflowPunct/>
        <w:topLinePunct w:val="0"/>
        <w:autoSpaceDE/>
        <w:autoSpaceDN/>
        <w:bidi w:val="0"/>
        <w:spacing w:before="0" w:line="540" w:lineRule="exact"/>
        <w:ind w:right="0" w:rightChars="0"/>
        <w:jc w:val="center"/>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公开时间：2021年8月30日</w:t>
      </w:r>
    </w:p>
    <w:p>
      <w:pPr>
        <w:pStyle w:val="17"/>
        <w:tabs>
          <w:tab w:val="right" w:leader="dot" w:pos="8306"/>
        </w:tabs>
        <w:rPr>
          <w:rFonts w:hint="default" w:ascii="Times New Roman" w:hAnsi="Times New Roman" w:eastAsia="宋体" w:cs="Times New Roman"/>
          <w:kern w:val="2"/>
          <w:szCs w:val="24"/>
          <w:lang w:val="en-US" w:eastAsia="zh-CN" w:bidi="ar-SA"/>
        </w:rPr>
      </w:pPr>
      <w:bookmarkStart w:id="14" w:name="_Toc15377196"/>
      <w:bookmarkStart w:id="15" w:name="_Toc15396599"/>
      <w:r>
        <w:rPr>
          <w:rFonts w:hint="default" w:ascii="Times New Roman" w:hAnsi="Times New Roman" w:eastAsia="仿宋" w:cs="Times New Roman"/>
          <w:b/>
          <w:color w:val="auto"/>
          <w:sz w:val="32"/>
          <w:szCs w:val="32"/>
          <w:highlight w:val="none"/>
        </w:rPr>
        <w:fldChar w:fldCharType="begin"/>
      </w:r>
      <w:r>
        <w:rPr>
          <w:rFonts w:hint="default" w:ascii="Times New Roman" w:hAnsi="Times New Roman" w:eastAsia="仿宋" w:cs="Times New Roman"/>
          <w:b/>
          <w:color w:val="auto"/>
          <w:sz w:val="32"/>
          <w:szCs w:val="32"/>
          <w:highlight w:val="none"/>
        </w:rPr>
        <w:instrText xml:space="preserve">TOC \o "1-3" \h \u </w:instrText>
      </w:r>
      <w:r>
        <w:rPr>
          <w:rFonts w:hint="default" w:ascii="Times New Roman" w:hAnsi="Times New Roman" w:eastAsia="仿宋" w:cs="Times New Roman"/>
          <w:b/>
          <w:color w:val="auto"/>
          <w:sz w:val="32"/>
          <w:szCs w:val="32"/>
          <w:highlight w:val="none"/>
        </w:rPr>
        <w:fldChar w:fldCharType="separate"/>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right="0" w:rightChars="0" w:firstLine="0" w:firstLineChars="0"/>
        <w:jc w:val="both"/>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fldChar w:fldCharType="begin"/>
      </w:r>
      <w:r>
        <w:rPr>
          <w:rFonts w:hint="default" w:ascii="Times New Roman" w:hAnsi="Times New Roman" w:eastAsia="仿宋_GB2312" w:cs="Times New Roman"/>
          <w:color w:val="auto"/>
          <w:kern w:val="2"/>
          <w:sz w:val="28"/>
          <w:szCs w:val="28"/>
          <w:highlight w:val="none"/>
          <w:lang w:val="en-US" w:eastAsia="zh-CN" w:bidi="ar-SA"/>
        </w:rPr>
        <w:instrText xml:space="preserve"> HYPERLINK \l _Toc8455 </w:instrText>
      </w:r>
      <w:r>
        <w:rPr>
          <w:rFonts w:hint="default" w:ascii="Times New Roman" w:hAnsi="Times New Roman" w:eastAsia="仿宋_GB2312" w:cs="Times New Roman"/>
          <w:color w:val="auto"/>
          <w:kern w:val="2"/>
          <w:sz w:val="28"/>
          <w:szCs w:val="28"/>
          <w:highlight w:val="none"/>
          <w:lang w:val="en-US" w:eastAsia="zh-CN" w:bidi="ar-SA"/>
        </w:rPr>
        <w:fldChar w:fldCharType="separate"/>
      </w:r>
      <w:r>
        <w:rPr>
          <w:rFonts w:hint="default" w:ascii="Times New Roman" w:hAnsi="Times New Roman" w:eastAsia="仿宋_GB2312" w:cs="Times New Roman"/>
          <w:kern w:val="2"/>
          <w:sz w:val="28"/>
          <w:szCs w:val="28"/>
          <w:highlight w:val="none"/>
          <w:lang w:val="en-US" w:eastAsia="zh-CN" w:bidi="ar-SA"/>
        </w:rPr>
        <w:t xml:space="preserve">第一部分 </w:t>
      </w:r>
      <w:r>
        <w:rPr>
          <w:rFonts w:hint="default" w:ascii="Times New Roman" w:hAnsi="Times New Roman" w:eastAsia="仿宋_GB2312" w:cs="Times New Roman"/>
          <w:bCs w:val="0"/>
          <w:kern w:val="2"/>
          <w:sz w:val="28"/>
          <w:szCs w:val="28"/>
          <w:highlight w:val="none"/>
          <w:lang w:val="en-US" w:eastAsia="zh-CN" w:bidi="ar-SA"/>
        </w:rPr>
        <w:t>部门概况</w:t>
      </w:r>
      <w:r>
        <w:rPr>
          <w:rFonts w:hint="default" w:ascii="Times New Roman" w:hAnsi="Times New Roman" w:eastAsia="仿宋_GB2312" w:cs="Times New Roman"/>
          <w:kern w:val="2"/>
          <w:sz w:val="28"/>
          <w:szCs w:val="28"/>
          <w:lang w:val="en-US" w:eastAsia="zh-CN" w:bidi="ar-SA"/>
        </w:rPr>
        <w:tab/>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PAGEREF _Toc8455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4</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color w:val="auto"/>
          <w:kern w:val="2"/>
          <w:sz w:val="28"/>
          <w:szCs w:val="28"/>
          <w:highlight w:val="none"/>
          <w:lang w:val="en-US" w:eastAsia="zh-CN" w:bidi="ar-SA"/>
        </w:rPr>
        <w:fldChar w:fldCharType="end"/>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right="0" w:rightChars="0" w:firstLine="0" w:firstLineChars="0"/>
        <w:jc w:val="both"/>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fldChar w:fldCharType="begin"/>
      </w:r>
      <w:r>
        <w:rPr>
          <w:rFonts w:hint="default" w:ascii="Times New Roman" w:hAnsi="Times New Roman" w:eastAsia="仿宋_GB2312" w:cs="Times New Roman"/>
          <w:color w:val="auto"/>
          <w:kern w:val="2"/>
          <w:sz w:val="28"/>
          <w:szCs w:val="28"/>
          <w:highlight w:val="none"/>
          <w:lang w:val="en-US" w:eastAsia="zh-CN" w:bidi="ar-SA"/>
        </w:rPr>
        <w:instrText xml:space="preserve"> HYPERLINK \l _Toc23777 </w:instrText>
      </w:r>
      <w:r>
        <w:rPr>
          <w:rFonts w:hint="default" w:ascii="Times New Roman" w:hAnsi="Times New Roman" w:eastAsia="仿宋_GB2312" w:cs="Times New Roman"/>
          <w:color w:val="auto"/>
          <w:kern w:val="2"/>
          <w:sz w:val="28"/>
          <w:szCs w:val="28"/>
          <w:highlight w:val="none"/>
          <w:lang w:val="en-US" w:eastAsia="zh-CN" w:bidi="ar-SA"/>
        </w:rPr>
        <w:fldChar w:fldCharType="separate"/>
      </w:r>
      <w:r>
        <w:rPr>
          <w:rFonts w:hint="default" w:ascii="Times New Roman" w:hAnsi="Times New Roman" w:eastAsia="仿宋_GB2312" w:cs="Times New Roman"/>
          <w:kern w:val="2"/>
          <w:sz w:val="28"/>
          <w:szCs w:val="28"/>
          <w:highlight w:val="none"/>
          <w:lang w:val="en-US" w:eastAsia="zh-CN" w:bidi="ar-SA"/>
        </w:rPr>
        <w:t>一、基</w:t>
      </w:r>
      <w:r>
        <w:rPr>
          <w:rFonts w:hint="default" w:ascii="Times New Roman" w:hAnsi="Times New Roman" w:eastAsia="仿宋_GB2312" w:cs="Times New Roman"/>
          <w:bCs w:val="0"/>
          <w:kern w:val="2"/>
          <w:sz w:val="28"/>
          <w:szCs w:val="28"/>
          <w:highlight w:val="none"/>
          <w:lang w:val="en-US" w:eastAsia="zh-CN" w:bidi="ar-SA"/>
        </w:rPr>
        <w:t>本职能及主要工作</w:t>
      </w:r>
      <w:r>
        <w:rPr>
          <w:rFonts w:hint="default" w:ascii="Times New Roman" w:hAnsi="Times New Roman" w:eastAsia="仿宋_GB2312" w:cs="Times New Roman"/>
          <w:kern w:val="2"/>
          <w:sz w:val="28"/>
          <w:szCs w:val="28"/>
          <w:lang w:val="en-US" w:eastAsia="zh-CN" w:bidi="ar-SA"/>
        </w:rPr>
        <w:tab/>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PAGEREF _Toc23777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4</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color w:val="auto"/>
          <w:kern w:val="2"/>
          <w:sz w:val="28"/>
          <w:szCs w:val="28"/>
          <w:highlight w:val="none"/>
          <w:lang w:val="en-US" w:eastAsia="zh-CN" w:bidi="ar-SA"/>
        </w:rPr>
        <w:fldChar w:fldCharType="end"/>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right="0" w:rightChars="0" w:firstLine="0" w:firstLineChars="0"/>
        <w:jc w:val="both"/>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fldChar w:fldCharType="begin"/>
      </w:r>
      <w:r>
        <w:rPr>
          <w:rFonts w:hint="default" w:ascii="Times New Roman" w:hAnsi="Times New Roman" w:eastAsia="仿宋_GB2312" w:cs="Times New Roman"/>
          <w:color w:val="auto"/>
          <w:kern w:val="2"/>
          <w:sz w:val="28"/>
          <w:szCs w:val="28"/>
          <w:highlight w:val="none"/>
          <w:lang w:val="en-US" w:eastAsia="zh-CN" w:bidi="ar-SA"/>
        </w:rPr>
        <w:instrText xml:space="preserve"> HYPERLINK \l _Toc21105 </w:instrText>
      </w:r>
      <w:r>
        <w:rPr>
          <w:rFonts w:hint="default" w:ascii="Times New Roman" w:hAnsi="Times New Roman" w:eastAsia="仿宋_GB2312" w:cs="Times New Roman"/>
          <w:color w:val="auto"/>
          <w:kern w:val="2"/>
          <w:sz w:val="28"/>
          <w:szCs w:val="28"/>
          <w:highlight w:val="none"/>
          <w:lang w:val="en-US" w:eastAsia="zh-CN" w:bidi="ar-SA"/>
        </w:rPr>
        <w:fldChar w:fldCharType="separate"/>
      </w:r>
      <w:r>
        <w:rPr>
          <w:rFonts w:hint="default" w:ascii="Times New Roman" w:hAnsi="Times New Roman" w:eastAsia="仿宋_GB2312" w:cs="Times New Roman"/>
          <w:kern w:val="2"/>
          <w:sz w:val="28"/>
          <w:szCs w:val="28"/>
          <w:highlight w:val="none"/>
          <w:lang w:val="en-US" w:eastAsia="zh-CN" w:bidi="ar-SA"/>
        </w:rPr>
        <w:t>二、机</w:t>
      </w:r>
      <w:r>
        <w:rPr>
          <w:rFonts w:hint="default" w:ascii="Times New Roman" w:hAnsi="Times New Roman" w:eastAsia="仿宋_GB2312" w:cs="Times New Roman"/>
          <w:bCs w:val="0"/>
          <w:kern w:val="2"/>
          <w:sz w:val="28"/>
          <w:szCs w:val="28"/>
          <w:highlight w:val="none"/>
          <w:lang w:val="en-US" w:eastAsia="zh-CN" w:bidi="ar-SA"/>
        </w:rPr>
        <w:t>构设置</w:t>
      </w:r>
      <w:r>
        <w:rPr>
          <w:rFonts w:hint="default" w:ascii="Times New Roman" w:hAnsi="Times New Roman" w:eastAsia="仿宋_GB2312" w:cs="Times New Roman"/>
          <w:kern w:val="2"/>
          <w:sz w:val="28"/>
          <w:szCs w:val="28"/>
          <w:lang w:val="en-US" w:eastAsia="zh-CN" w:bidi="ar-SA"/>
        </w:rPr>
        <w:tab/>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PAGEREF _Toc21105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13</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color w:val="auto"/>
          <w:kern w:val="2"/>
          <w:sz w:val="28"/>
          <w:szCs w:val="28"/>
          <w:highlight w:val="none"/>
          <w:lang w:val="en-US" w:eastAsia="zh-CN" w:bidi="ar-SA"/>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right="0" w:rightChars="0" w:firstLine="0" w:firstLineChars="0"/>
        <w:jc w:val="both"/>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fldChar w:fldCharType="begin"/>
      </w:r>
      <w:r>
        <w:rPr>
          <w:rFonts w:hint="default" w:ascii="Times New Roman" w:hAnsi="Times New Roman" w:eastAsia="仿宋_GB2312" w:cs="Times New Roman"/>
          <w:color w:val="auto"/>
          <w:kern w:val="2"/>
          <w:sz w:val="28"/>
          <w:szCs w:val="28"/>
          <w:highlight w:val="none"/>
          <w:lang w:val="en-US" w:eastAsia="zh-CN" w:bidi="ar-SA"/>
        </w:rPr>
        <w:instrText xml:space="preserve"> HYPERLINK \l _Toc252 </w:instrText>
      </w:r>
      <w:r>
        <w:rPr>
          <w:rFonts w:hint="default" w:ascii="Times New Roman" w:hAnsi="Times New Roman" w:eastAsia="仿宋_GB2312" w:cs="Times New Roman"/>
          <w:color w:val="auto"/>
          <w:kern w:val="2"/>
          <w:sz w:val="28"/>
          <w:szCs w:val="28"/>
          <w:highlight w:val="none"/>
          <w:lang w:val="en-US" w:eastAsia="zh-CN" w:bidi="ar-SA"/>
        </w:rPr>
        <w:fldChar w:fldCharType="separate"/>
      </w:r>
      <w:r>
        <w:rPr>
          <w:rFonts w:hint="default" w:ascii="Times New Roman" w:hAnsi="Times New Roman" w:eastAsia="仿宋_GB2312" w:cs="Times New Roman"/>
          <w:kern w:val="2"/>
          <w:sz w:val="28"/>
          <w:szCs w:val="28"/>
          <w:highlight w:val="none"/>
          <w:lang w:val="en-US" w:eastAsia="zh-CN" w:bidi="ar-SA"/>
        </w:rPr>
        <w:t>第二部分 2020年度</w:t>
      </w:r>
      <w:r>
        <w:rPr>
          <w:rFonts w:hint="default" w:ascii="Times New Roman" w:hAnsi="Times New Roman" w:eastAsia="仿宋_GB2312" w:cs="Times New Roman"/>
          <w:bCs/>
          <w:kern w:val="2"/>
          <w:sz w:val="28"/>
          <w:szCs w:val="28"/>
          <w:highlight w:val="none"/>
          <w:lang w:val="en-US" w:eastAsia="zh-CN" w:bidi="ar-SA"/>
        </w:rPr>
        <w:t>部门决算情况说明</w:t>
      </w:r>
      <w:r>
        <w:rPr>
          <w:rFonts w:hint="default" w:ascii="Times New Roman" w:hAnsi="Times New Roman" w:eastAsia="仿宋_GB2312" w:cs="Times New Roman"/>
          <w:kern w:val="2"/>
          <w:sz w:val="28"/>
          <w:szCs w:val="28"/>
          <w:lang w:val="en-US" w:eastAsia="zh-CN" w:bidi="ar-SA"/>
        </w:rPr>
        <w:tab/>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PAGEREF _Toc252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15</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color w:val="auto"/>
          <w:kern w:val="2"/>
          <w:sz w:val="28"/>
          <w:szCs w:val="28"/>
          <w:highlight w:val="none"/>
          <w:lang w:val="en-US" w:eastAsia="zh-CN" w:bidi="ar-SA"/>
        </w:rPr>
        <w:fldChar w:fldCharType="end"/>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right="0" w:rightChars="0" w:firstLine="0" w:firstLineChars="0"/>
        <w:jc w:val="both"/>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fldChar w:fldCharType="begin"/>
      </w:r>
      <w:r>
        <w:rPr>
          <w:rFonts w:hint="default" w:ascii="Times New Roman" w:hAnsi="Times New Roman" w:eastAsia="仿宋_GB2312" w:cs="Times New Roman"/>
          <w:color w:val="auto"/>
          <w:kern w:val="2"/>
          <w:sz w:val="28"/>
          <w:szCs w:val="28"/>
          <w:highlight w:val="none"/>
          <w:lang w:val="en-US" w:eastAsia="zh-CN" w:bidi="ar-SA"/>
        </w:rPr>
        <w:instrText xml:space="preserve"> HYPERLINK \l _Toc2279 </w:instrText>
      </w:r>
      <w:r>
        <w:rPr>
          <w:rFonts w:hint="default" w:ascii="Times New Roman" w:hAnsi="Times New Roman" w:eastAsia="仿宋_GB2312" w:cs="Times New Roman"/>
          <w:color w:val="auto"/>
          <w:kern w:val="2"/>
          <w:sz w:val="28"/>
          <w:szCs w:val="28"/>
          <w:highlight w:val="none"/>
          <w:lang w:val="en-US" w:eastAsia="zh-CN" w:bidi="ar-SA"/>
        </w:rPr>
        <w:fldChar w:fldCharType="separate"/>
      </w:r>
      <w:r>
        <w:rPr>
          <w:rFonts w:hint="default" w:ascii="Times New Roman" w:hAnsi="Times New Roman" w:eastAsia="仿宋_GB2312" w:cs="Times New Roman"/>
          <w:kern w:val="2"/>
          <w:sz w:val="28"/>
          <w:szCs w:val="28"/>
          <w:lang w:val="en-US" w:eastAsia="zh-CN" w:bidi="ar-SA"/>
        </w:rPr>
        <w:t>一</w:t>
      </w:r>
      <w:r>
        <w:rPr>
          <w:rFonts w:hint="default" w:ascii="Times New Roman" w:hAnsi="Times New Roman" w:eastAsia="仿宋_GB2312" w:cs="Times New Roman"/>
          <w:bCs/>
          <w:kern w:val="2"/>
          <w:sz w:val="28"/>
          <w:szCs w:val="28"/>
          <w:lang w:val="en-US" w:eastAsia="zh-CN" w:bidi="ar-SA"/>
        </w:rPr>
        <w:t>、</w:t>
      </w:r>
      <w:r>
        <w:rPr>
          <w:rFonts w:hint="default" w:ascii="Times New Roman" w:hAnsi="Times New Roman" w:eastAsia="仿宋_GB2312" w:cs="Times New Roman"/>
          <w:kern w:val="2"/>
          <w:sz w:val="28"/>
          <w:szCs w:val="28"/>
          <w:highlight w:val="none"/>
          <w:lang w:val="en-US" w:eastAsia="zh-CN" w:bidi="ar-SA"/>
        </w:rPr>
        <w:t>收入支出决算总体情况说明</w:t>
      </w:r>
      <w:r>
        <w:rPr>
          <w:rFonts w:hint="default" w:ascii="Times New Roman" w:hAnsi="Times New Roman" w:eastAsia="仿宋_GB2312" w:cs="Times New Roman"/>
          <w:kern w:val="2"/>
          <w:sz w:val="28"/>
          <w:szCs w:val="28"/>
          <w:lang w:val="en-US" w:eastAsia="zh-CN" w:bidi="ar-SA"/>
        </w:rPr>
        <w:tab/>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PAGEREF _Toc2279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15</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bCs/>
          <w:color w:val="auto"/>
          <w:kern w:val="2"/>
          <w:sz w:val="28"/>
          <w:szCs w:val="28"/>
          <w:highlight w:val="none"/>
          <w:lang w:val="en-US" w:eastAsia="zh-CN" w:bidi="ar-SA"/>
        </w:rPr>
        <w:fldChar w:fldCharType="end"/>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right="0" w:rightChars="0" w:firstLine="0" w:firstLineChars="0"/>
        <w:jc w:val="both"/>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fldChar w:fldCharType="begin"/>
      </w:r>
      <w:r>
        <w:rPr>
          <w:rFonts w:hint="default" w:ascii="Times New Roman" w:hAnsi="Times New Roman" w:eastAsia="仿宋_GB2312" w:cs="Times New Roman"/>
          <w:color w:val="auto"/>
          <w:kern w:val="2"/>
          <w:sz w:val="28"/>
          <w:szCs w:val="28"/>
          <w:highlight w:val="none"/>
          <w:lang w:val="en-US" w:eastAsia="zh-CN" w:bidi="ar-SA"/>
        </w:rPr>
        <w:instrText xml:space="preserve"> HYPERLINK \l _Toc2279 </w:instrText>
      </w:r>
      <w:r>
        <w:rPr>
          <w:rFonts w:hint="default" w:ascii="Times New Roman" w:hAnsi="Times New Roman" w:eastAsia="仿宋_GB2312" w:cs="Times New Roman"/>
          <w:color w:val="auto"/>
          <w:kern w:val="2"/>
          <w:sz w:val="28"/>
          <w:szCs w:val="28"/>
          <w:highlight w:val="none"/>
          <w:lang w:val="en-US" w:eastAsia="zh-CN" w:bidi="ar-SA"/>
        </w:rPr>
        <w:fldChar w:fldCharType="separate"/>
      </w:r>
      <w:r>
        <w:rPr>
          <w:rFonts w:hint="default" w:ascii="Times New Roman" w:hAnsi="Times New Roman" w:eastAsia="仿宋_GB2312" w:cs="Times New Roman"/>
          <w:kern w:val="2"/>
          <w:sz w:val="28"/>
          <w:szCs w:val="28"/>
          <w:lang w:val="en-US" w:eastAsia="zh-CN" w:bidi="ar-SA"/>
        </w:rPr>
        <w:t>二</w:t>
      </w:r>
      <w:r>
        <w:rPr>
          <w:rFonts w:hint="default" w:ascii="Times New Roman" w:hAnsi="Times New Roman" w:eastAsia="仿宋_GB2312" w:cs="Times New Roman"/>
          <w:bCs/>
          <w:kern w:val="2"/>
          <w:sz w:val="28"/>
          <w:szCs w:val="28"/>
          <w:lang w:val="en-US" w:eastAsia="zh-CN" w:bidi="ar-SA"/>
        </w:rPr>
        <w:t>、</w:t>
      </w:r>
      <w:r>
        <w:rPr>
          <w:rFonts w:hint="default" w:ascii="Times New Roman" w:hAnsi="Times New Roman" w:eastAsia="仿宋_GB2312" w:cs="Times New Roman"/>
          <w:kern w:val="2"/>
          <w:sz w:val="28"/>
          <w:szCs w:val="28"/>
          <w:highlight w:val="none"/>
          <w:lang w:val="en-US" w:eastAsia="zh-CN" w:bidi="ar-SA"/>
        </w:rPr>
        <w:t>收入决算情况说明</w:t>
      </w:r>
      <w:r>
        <w:rPr>
          <w:rFonts w:hint="default" w:ascii="Times New Roman" w:hAnsi="Times New Roman" w:eastAsia="仿宋_GB2312" w:cs="Times New Roman"/>
          <w:kern w:val="2"/>
          <w:sz w:val="28"/>
          <w:szCs w:val="28"/>
          <w:lang w:val="en-US" w:eastAsia="zh-CN" w:bidi="ar-SA"/>
        </w:rPr>
        <w:tab/>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PAGEREF _Toc2279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15</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bCs/>
          <w:color w:val="auto"/>
          <w:kern w:val="2"/>
          <w:sz w:val="28"/>
          <w:szCs w:val="28"/>
          <w:highlight w:val="none"/>
          <w:lang w:val="en-US" w:eastAsia="zh-CN" w:bidi="ar-SA"/>
        </w:rPr>
        <w:fldChar w:fldCharType="end"/>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right="0" w:rightChars="0" w:firstLine="0" w:firstLineChars="0"/>
        <w:jc w:val="both"/>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fldChar w:fldCharType="begin"/>
      </w:r>
      <w:r>
        <w:rPr>
          <w:rFonts w:hint="default" w:ascii="Times New Roman" w:hAnsi="Times New Roman" w:eastAsia="仿宋_GB2312" w:cs="Times New Roman"/>
          <w:color w:val="auto"/>
          <w:kern w:val="2"/>
          <w:sz w:val="28"/>
          <w:szCs w:val="28"/>
          <w:highlight w:val="none"/>
          <w:lang w:val="en-US" w:eastAsia="zh-CN" w:bidi="ar-SA"/>
        </w:rPr>
        <w:instrText xml:space="preserve"> HYPERLINK \l _Toc15320 </w:instrText>
      </w:r>
      <w:r>
        <w:rPr>
          <w:rFonts w:hint="default" w:ascii="Times New Roman" w:hAnsi="Times New Roman" w:eastAsia="仿宋_GB2312" w:cs="Times New Roman"/>
          <w:color w:val="auto"/>
          <w:kern w:val="2"/>
          <w:sz w:val="28"/>
          <w:szCs w:val="28"/>
          <w:highlight w:val="none"/>
          <w:lang w:val="en-US" w:eastAsia="zh-CN" w:bidi="ar-SA"/>
        </w:rPr>
        <w:fldChar w:fldCharType="separate"/>
      </w:r>
      <w:r>
        <w:rPr>
          <w:rFonts w:hint="default" w:ascii="Times New Roman" w:hAnsi="Times New Roman" w:eastAsia="仿宋_GB2312" w:cs="Times New Roman"/>
          <w:kern w:val="2"/>
          <w:sz w:val="28"/>
          <w:szCs w:val="28"/>
          <w:highlight w:val="none"/>
          <w:lang w:val="en-US" w:eastAsia="zh-CN" w:bidi="ar-SA"/>
        </w:rPr>
        <w:t>三、支出决算情况说明</w:t>
      </w:r>
      <w:r>
        <w:rPr>
          <w:rFonts w:hint="default" w:ascii="Times New Roman" w:hAnsi="Times New Roman" w:eastAsia="仿宋_GB2312" w:cs="Times New Roman"/>
          <w:kern w:val="2"/>
          <w:sz w:val="28"/>
          <w:szCs w:val="28"/>
          <w:lang w:val="en-US" w:eastAsia="zh-CN" w:bidi="ar-SA"/>
        </w:rPr>
        <w:tab/>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PAGEREF _Toc15320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16</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color w:val="auto"/>
          <w:kern w:val="2"/>
          <w:sz w:val="28"/>
          <w:szCs w:val="28"/>
          <w:highlight w:val="none"/>
          <w:lang w:val="en-US" w:eastAsia="zh-CN" w:bidi="ar-SA"/>
        </w:rPr>
        <w:fldChar w:fldCharType="end"/>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right="0" w:rightChars="0" w:firstLine="0" w:firstLineChars="0"/>
        <w:jc w:val="both"/>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fldChar w:fldCharType="begin"/>
      </w:r>
      <w:r>
        <w:rPr>
          <w:rFonts w:hint="default" w:ascii="Times New Roman" w:hAnsi="Times New Roman" w:eastAsia="仿宋_GB2312" w:cs="Times New Roman"/>
          <w:color w:val="auto"/>
          <w:kern w:val="2"/>
          <w:sz w:val="28"/>
          <w:szCs w:val="28"/>
          <w:highlight w:val="none"/>
          <w:lang w:val="en-US" w:eastAsia="zh-CN" w:bidi="ar-SA"/>
        </w:rPr>
        <w:instrText xml:space="preserve"> HYPERLINK \l _Toc5452 </w:instrText>
      </w:r>
      <w:r>
        <w:rPr>
          <w:rFonts w:hint="default" w:ascii="Times New Roman" w:hAnsi="Times New Roman" w:eastAsia="仿宋_GB2312" w:cs="Times New Roman"/>
          <w:color w:val="auto"/>
          <w:kern w:val="2"/>
          <w:sz w:val="28"/>
          <w:szCs w:val="28"/>
          <w:highlight w:val="none"/>
          <w:lang w:val="en-US" w:eastAsia="zh-CN" w:bidi="ar-SA"/>
        </w:rPr>
        <w:fldChar w:fldCharType="separate"/>
      </w:r>
      <w:r>
        <w:rPr>
          <w:rFonts w:hint="default" w:ascii="Times New Roman" w:hAnsi="Times New Roman" w:eastAsia="仿宋_GB2312" w:cs="Times New Roman"/>
          <w:kern w:val="2"/>
          <w:sz w:val="28"/>
          <w:szCs w:val="28"/>
          <w:highlight w:val="none"/>
          <w:lang w:val="en-US" w:eastAsia="zh-CN" w:bidi="ar-SA"/>
        </w:rPr>
        <w:t>四、财政拨款收入支出决算总体情况说明</w:t>
      </w:r>
      <w:r>
        <w:rPr>
          <w:rFonts w:hint="default" w:ascii="Times New Roman" w:hAnsi="Times New Roman" w:eastAsia="仿宋_GB2312" w:cs="Times New Roman"/>
          <w:kern w:val="2"/>
          <w:sz w:val="28"/>
          <w:szCs w:val="28"/>
          <w:lang w:val="en-US" w:eastAsia="zh-CN" w:bidi="ar-SA"/>
        </w:rPr>
        <w:tab/>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PAGEREF _Toc5452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16</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color w:val="auto"/>
          <w:kern w:val="2"/>
          <w:sz w:val="28"/>
          <w:szCs w:val="28"/>
          <w:highlight w:val="none"/>
          <w:lang w:val="en-US" w:eastAsia="zh-CN" w:bidi="ar-SA"/>
        </w:rPr>
        <w:fldChar w:fldCharType="end"/>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right="0" w:rightChars="0" w:firstLine="0" w:firstLineChars="0"/>
        <w:jc w:val="both"/>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fldChar w:fldCharType="begin"/>
      </w:r>
      <w:r>
        <w:rPr>
          <w:rFonts w:hint="default" w:ascii="Times New Roman" w:hAnsi="Times New Roman" w:eastAsia="仿宋_GB2312" w:cs="Times New Roman"/>
          <w:color w:val="auto"/>
          <w:kern w:val="2"/>
          <w:sz w:val="28"/>
          <w:szCs w:val="28"/>
          <w:highlight w:val="none"/>
          <w:lang w:val="en-US" w:eastAsia="zh-CN" w:bidi="ar-SA"/>
        </w:rPr>
        <w:instrText xml:space="preserve"> HYPERLINK \l _Toc28440 </w:instrText>
      </w:r>
      <w:r>
        <w:rPr>
          <w:rFonts w:hint="default" w:ascii="Times New Roman" w:hAnsi="Times New Roman" w:eastAsia="仿宋_GB2312" w:cs="Times New Roman"/>
          <w:color w:val="auto"/>
          <w:kern w:val="2"/>
          <w:sz w:val="28"/>
          <w:szCs w:val="28"/>
          <w:highlight w:val="none"/>
          <w:lang w:val="en-US" w:eastAsia="zh-CN" w:bidi="ar-SA"/>
        </w:rPr>
        <w:fldChar w:fldCharType="separate"/>
      </w:r>
      <w:r>
        <w:rPr>
          <w:rFonts w:hint="default" w:ascii="Times New Roman" w:hAnsi="Times New Roman" w:eastAsia="仿宋_GB2312" w:cs="Times New Roman"/>
          <w:kern w:val="2"/>
          <w:sz w:val="28"/>
          <w:szCs w:val="28"/>
          <w:highlight w:val="none"/>
          <w:lang w:val="en-US" w:eastAsia="zh-CN" w:bidi="ar-SA"/>
        </w:rPr>
        <w:t>五、一般公共预算财政拨款支出决算情况说明</w:t>
      </w:r>
      <w:r>
        <w:rPr>
          <w:rFonts w:hint="default" w:ascii="Times New Roman" w:hAnsi="Times New Roman" w:eastAsia="仿宋_GB2312" w:cs="Times New Roman"/>
          <w:kern w:val="2"/>
          <w:sz w:val="28"/>
          <w:szCs w:val="28"/>
          <w:lang w:val="en-US" w:eastAsia="zh-CN" w:bidi="ar-SA"/>
        </w:rPr>
        <w:tab/>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PAGEREF _Toc28440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16</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color w:val="auto"/>
          <w:kern w:val="2"/>
          <w:sz w:val="28"/>
          <w:szCs w:val="28"/>
          <w:highlight w:val="none"/>
          <w:lang w:val="en-US" w:eastAsia="zh-CN" w:bidi="ar-SA"/>
        </w:rPr>
        <w:fldChar w:fldCharType="end"/>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right="0" w:rightChars="0" w:firstLine="0" w:firstLineChars="0"/>
        <w:jc w:val="both"/>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fldChar w:fldCharType="begin"/>
      </w:r>
      <w:r>
        <w:rPr>
          <w:rFonts w:hint="default" w:ascii="Times New Roman" w:hAnsi="Times New Roman" w:eastAsia="仿宋_GB2312" w:cs="Times New Roman"/>
          <w:color w:val="auto"/>
          <w:kern w:val="2"/>
          <w:sz w:val="28"/>
          <w:szCs w:val="28"/>
          <w:highlight w:val="none"/>
          <w:lang w:val="en-US" w:eastAsia="zh-CN" w:bidi="ar-SA"/>
        </w:rPr>
        <w:instrText xml:space="preserve"> HYPERLINK \l _Toc25761 </w:instrText>
      </w:r>
      <w:r>
        <w:rPr>
          <w:rFonts w:hint="default" w:ascii="Times New Roman" w:hAnsi="Times New Roman" w:eastAsia="仿宋_GB2312" w:cs="Times New Roman"/>
          <w:color w:val="auto"/>
          <w:kern w:val="2"/>
          <w:sz w:val="28"/>
          <w:szCs w:val="28"/>
          <w:highlight w:val="none"/>
          <w:lang w:val="en-US" w:eastAsia="zh-CN" w:bidi="ar-SA"/>
        </w:rPr>
        <w:fldChar w:fldCharType="separate"/>
      </w:r>
      <w:r>
        <w:rPr>
          <w:rFonts w:hint="default" w:ascii="Times New Roman" w:hAnsi="Times New Roman" w:eastAsia="仿宋_GB2312" w:cs="Times New Roman"/>
          <w:kern w:val="2"/>
          <w:sz w:val="28"/>
          <w:szCs w:val="28"/>
          <w:highlight w:val="none"/>
          <w:lang w:val="en-US" w:eastAsia="zh-CN" w:bidi="ar-SA"/>
        </w:rPr>
        <w:t>六、一般公共预算财政拨款基本支出决算情况说明</w:t>
      </w:r>
      <w:r>
        <w:rPr>
          <w:rFonts w:hint="default" w:ascii="Times New Roman" w:hAnsi="Times New Roman" w:eastAsia="仿宋_GB2312" w:cs="Times New Roman"/>
          <w:kern w:val="2"/>
          <w:sz w:val="28"/>
          <w:szCs w:val="28"/>
          <w:lang w:val="en-US" w:eastAsia="zh-CN" w:bidi="ar-SA"/>
        </w:rPr>
        <w:tab/>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PAGEREF _Toc25761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21</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color w:val="auto"/>
          <w:kern w:val="2"/>
          <w:sz w:val="28"/>
          <w:szCs w:val="28"/>
          <w:highlight w:val="none"/>
          <w:lang w:val="en-US" w:eastAsia="zh-CN" w:bidi="ar-SA"/>
        </w:rPr>
        <w:fldChar w:fldCharType="end"/>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right="0" w:rightChars="0" w:firstLine="0" w:firstLineChars="0"/>
        <w:jc w:val="both"/>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fldChar w:fldCharType="begin"/>
      </w:r>
      <w:r>
        <w:rPr>
          <w:rFonts w:hint="default" w:ascii="Times New Roman" w:hAnsi="Times New Roman" w:eastAsia="仿宋_GB2312" w:cs="Times New Roman"/>
          <w:color w:val="auto"/>
          <w:kern w:val="2"/>
          <w:sz w:val="28"/>
          <w:szCs w:val="28"/>
          <w:highlight w:val="none"/>
          <w:lang w:val="en-US" w:eastAsia="zh-CN" w:bidi="ar-SA"/>
        </w:rPr>
        <w:instrText xml:space="preserve"> HYPERLINK \l _Toc24614 </w:instrText>
      </w:r>
      <w:r>
        <w:rPr>
          <w:rFonts w:hint="default" w:ascii="Times New Roman" w:hAnsi="Times New Roman" w:eastAsia="仿宋_GB2312" w:cs="Times New Roman"/>
          <w:color w:val="auto"/>
          <w:kern w:val="2"/>
          <w:sz w:val="28"/>
          <w:szCs w:val="28"/>
          <w:highlight w:val="none"/>
          <w:lang w:val="en-US" w:eastAsia="zh-CN" w:bidi="ar-SA"/>
        </w:rPr>
        <w:fldChar w:fldCharType="separate"/>
      </w:r>
      <w:r>
        <w:rPr>
          <w:rFonts w:hint="default" w:ascii="Times New Roman" w:hAnsi="Times New Roman" w:eastAsia="仿宋_GB2312" w:cs="Times New Roman"/>
          <w:kern w:val="2"/>
          <w:sz w:val="28"/>
          <w:szCs w:val="28"/>
          <w:highlight w:val="none"/>
          <w:lang w:val="en-US" w:eastAsia="zh-CN" w:bidi="ar-SA"/>
        </w:rPr>
        <w:t>七、“三公”经费财政拨款支出决算情况说明</w:t>
      </w:r>
      <w:r>
        <w:rPr>
          <w:rFonts w:hint="default" w:ascii="Times New Roman" w:hAnsi="Times New Roman" w:eastAsia="仿宋_GB2312" w:cs="Times New Roman"/>
          <w:kern w:val="2"/>
          <w:sz w:val="28"/>
          <w:szCs w:val="28"/>
          <w:lang w:val="en-US" w:eastAsia="zh-CN" w:bidi="ar-SA"/>
        </w:rPr>
        <w:tab/>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PAGEREF _Toc24614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21</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color w:val="auto"/>
          <w:kern w:val="2"/>
          <w:sz w:val="28"/>
          <w:szCs w:val="28"/>
          <w:highlight w:val="none"/>
          <w:lang w:val="en-US" w:eastAsia="zh-CN" w:bidi="ar-SA"/>
        </w:rPr>
        <w:fldChar w:fldCharType="end"/>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right="0" w:rightChars="0" w:firstLine="0" w:firstLineChars="0"/>
        <w:jc w:val="both"/>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fldChar w:fldCharType="begin"/>
      </w:r>
      <w:r>
        <w:rPr>
          <w:rFonts w:hint="default" w:ascii="Times New Roman" w:hAnsi="Times New Roman" w:eastAsia="仿宋_GB2312" w:cs="Times New Roman"/>
          <w:color w:val="auto"/>
          <w:kern w:val="2"/>
          <w:sz w:val="28"/>
          <w:szCs w:val="28"/>
          <w:highlight w:val="none"/>
          <w:lang w:val="en-US" w:eastAsia="zh-CN" w:bidi="ar-SA"/>
        </w:rPr>
        <w:instrText xml:space="preserve"> HYPERLINK \l _Toc25200 </w:instrText>
      </w:r>
      <w:r>
        <w:rPr>
          <w:rFonts w:hint="default" w:ascii="Times New Roman" w:hAnsi="Times New Roman" w:eastAsia="仿宋_GB2312" w:cs="Times New Roman"/>
          <w:color w:val="auto"/>
          <w:kern w:val="2"/>
          <w:sz w:val="28"/>
          <w:szCs w:val="28"/>
          <w:highlight w:val="none"/>
          <w:lang w:val="en-US" w:eastAsia="zh-CN" w:bidi="ar-SA"/>
        </w:rPr>
        <w:fldChar w:fldCharType="separate"/>
      </w:r>
      <w:r>
        <w:rPr>
          <w:rFonts w:hint="default" w:ascii="Times New Roman" w:hAnsi="Times New Roman" w:eastAsia="仿宋_GB2312" w:cs="Times New Roman"/>
          <w:kern w:val="2"/>
          <w:sz w:val="28"/>
          <w:szCs w:val="28"/>
          <w:highlight w:val="none"/>
          <w:lang w:val="en-US" w:eastAsia="zh-CN" w:bidi="ar-SA"/>
        </w:rPr>
        <w:t>八、政府性基金预算支出决算情况说明</w:t>
      </w:r>
      <w:r>
        <w:rPr>
          <w:rFonts w:hint="default" w:ascii="Times New Roman" w:hAnsi="Times New Roman" w:eastAsia="仿宋_GB2312" w:cs="Times New Roman"/>
          <w:kern w:val="2"/>
          <w:sz w:val="28"/>
          <w:szCs w:val="28"/>
          <w:lang w:val="en-US" w:eastAsia="zh-CN" w:bidi="ar-SA"/>
        </w:rPr>
        <w:tab/>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PAGEREF _Toc25200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23</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color w:val="auto"/>
          <w:kern w:val="2"/>
          <w:sz w:val="28"/>
          <w:szCs w:val="28"/>
          <w:highlight w:val="none"/>
          <w:lang w:val="en-US" w:eastAsia="zh-CN" w:bidi="ar-SA"/>
        </w:rPr>
        <w:fldChar w:fldCharType="end"/>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right="0" w:rightChars="0" w:firstLine="0" w:firstLineChars="0"/>
        <w:jc w:val="both"/>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fldChar w:fldCharType="begin"/>
      </w:r>
      <w:r>
        <w:rPr>
          <w:rFonts w:hint="default" w:ascii="Times New Roman" w:hAnsi="Times New Roman" w:eastAsia="仿宋_GB2312" w:cs="Times New Roman"/>
          <w:color w:val="auto"/>
          <w:kern w:val="2"/>
          <w:sz w:val="28"/>
          <w:szCs w:val="28"/>
          <w:highlight w:val="none"/>
          <w:lang w:val="en-US" w:eastAsia="zh-CN" w:bidi="ar-SA"/>
        </w:rPr>
        <w:instrText xml:space="preserve"> HYPERLINK \l _Toc16494 </w:instrText>
      </w:r>
      <w:r>
        <w:rPr>
          <w:rFonts w:hint="default" w:ascii="Times New Roman" w:hAnsi="Times New Roman" w:eastAsia="仿宋_GB2312" w:cs="Times New Roman"/>
          <w:color w:val="auto"/>
          <w:kern w:val="2"/>
          <w:sz w:val="28"/>
          <w:szCs w:val="28"/>
          <w:highlight w:val="none"/>
          <w:lang w:val="en-US" w:eastAsia="zh-CN" w:bidi="ar-SA"/>
        </w:rPr>
        <w:fldChar w:fldCharType="separate"/>
      </w:r>
      <w:r>
        <w:rPr>
          <w:rFonts w:hint="default" w:ascii="Times New Roman" w:hAnsi="Times New Roman" w:eastAsia="仿宋_GB2312" w:cs="Times New Roman"/>
          <w:kern w:val="2"/>
          <w:sz w:val="28"/>
          <w:szCs w:val="28"/>
          <w:highlight w:val="none"/>
          <w:lang w:val="en-US" w:eastAsia="zh-CN" w:bidi="ar-SA"/>
        </w:rPr>
        <w:t>九、国有资本经营预算支出决算情况说明</w:t>
      </w:r>
      <w:r>
        <w:rPr>
          <w:rFonts w:hint="default" w:ascii="Times New Roman" w:hAnsi="Times New Roman" w:eastAsia="仿宋_GB2312" w:cs="Times New Roman"/>
          <w:kern w:val="2"/>
          <w:sz w:val="28"/>
          <w:szCs w:val="28"/>
          <w:lang w:val="en-US" w:eastAsia="zh-CN" w:bidi="ar-SA"/>
        </w:rPr>
        <w:tab/>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PAGEREF _Toc16494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23</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color w:val="auto"/>
          <w:kern w:val="2"/>
          <w:sz w:val="28"/>
          <w:szCs w:val="28"/>
          <w:highlight w:val="none"/>
          <w:lang w:val="en-US" w:eastAsia="zh-CN" w:bidi="ar-SA"/>
        </w:rPr>
        <w:fldChar w:fldCharType="end"/>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right="0" w:rightChars="0" w:firstLine="0" w:firstLineChars="0"/>
        <w:jc w:val="both"/>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fldChar w:fldCharType="begin"/>
      </w:r>
      <w:r>
        <w:rPr>
          <w:rFonts w:hint="default" w:ascii="Times New Roman" w:hAnsi="Times New Roman" w:eastAsia="仿宋_GB2312" w:cs="Times New Roman"/>
          <w:color w:val="auto"/>
          <w:kern w:val="2"/>
          <w:sz w:val="28"/>
          <w:szCs w:val="28"/>
          <w:highlight w:val="none"/>
          <w:lang w:val="en-US" w:eastAsia="zh-CN" w:bidi="ar-SA"/>
        </w:rPr>
        <w:instrText xml:space="preserve"> HYPERLINK \l _Toc10372 </w:instrText>
      </w:r>
      <w:r>
        <w:rPr>
          <w:rFonts w:hint="default" w:ascii="Times New Roman" w:hAnsi="Times New Roman" w:eastAsia="仿宋_GB2312" w:cs="Times New Roman"/>
          <w:color w:val="auto"/>
          <w:kern w:val="2"/>
          <w:sz w:val="28"/>
          <w:szCs w:val="28"/>
          <w:highlight w:val="none"/>
          <w:lang w:val="en-US" w:eastAsia="zh-CN" w:bidi="ar-SA"/>
        </w:rPr>
        <w:fldChar w:fldCharType="separate"/>
      </w:r>
      <w:r>
        <w:rPr>
          <w:rFonts w:hint="default" w:ascii="Times New Roman" w:hAnsi="Times New Roman" w:eastAsia="仿宋_GB2312" w:cs="Times New Roman"/>
          <w:kern w:val="2"/>
          <w:sz w:val="28"/>
          <w:szCs w:val="28"/>
          <w:highlight w:val="none"/>
          <w:lang w:val="en-US" w:eastAsia="zh-CN" w:bidi="ar-SA"/>
        </w:rPr>
        <w:t>十、其他重要事项的情况说明</w:t>
      </w:r>
      <w:r>
        <w:rPr>
          <w:rFonts w:hint="default" w:ascii="Times New Roman" w:hAnsi="Times New Roman" w:eastAsia="仿宋_GB2312" w:cs="Times New Roman"/>
          <w:kern w:val="2"/>
          <w:sz w:val="28"/>
          <w:szCs w:val="28"/>
          <w:lang w:val="en-US" w:eastAsia="zh-CN" w:bidi="ar-SA"/>
        </w:rPr>
        <w:tab/>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PAGEREF _Toc10372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23</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color w:val="auto"/>
          <w:kern w:val="2"/>
          <w:sz w:val="28"/>
          <w:szCs w:val="28"/>
          <w:highlight w:val="none"/>
          <w:lang w:val="en-US" w:eastAsia="zh-CN" w:bidi="ar-SA"/>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right="0" w:rightChars="0" w:firstLine="0" w:firstLineChars="0"/>
        <w:jc w:val="both"/>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fldChar w:fldCharType="begin"/>
      </w:r>
      <w:r>
        <w:rPr>
          <w:rFonts w:hint="default" w:ascii="Times New Roman" w:hAnsi="Times New Roman" w:eastAsia="仿宋_GB2312" w:cs="Times New Roman"/>
          <w:color w:val="auto"/>
          <w:kern w:val="2"/>
          <w:sz w:val="28"/>
          <w:szCs w:val="28"/>
          <w:highlight w:val="none"/>
          <w:lang w:val="en-US" w:eastAsia="zh-CN" w:bidi="ar-SA"/>
        </w:rPr>
        <w:instrText xml:space="preserve"> HYPERLINK \l _Toc22613 </w:instrText>
      </w:r>
      <w:r>
        <w:rPr>
          <w:rFonts w:hint="default" w:ascii="Times New Roman" w:hAnsi="Times New Roman" w:eastAsia="仿宋_GB2312" w:cs="Times New Roman"/>
          <w:color w:val="auto"/>
          <w:kern w:val="2"/>
          <w:sz w:val="28"/>
          <w:szCs w:val="28"/>
          <w:highlight w:val="none"/>
          <w:lang w:val="en-US" w:eastAsia="zh-CN" w:bidi="ar-SA"/>
        </w:rPr>
        <w:fldChar w:fldCharType="separate"/>
      </w:r>
      <w:r>
        <w:rPr>
          <w:rFonts w:hint="default" w:ascii="Times New Roman" w:hAnsi="Times New Roman" w:eastAsia="仿宋_GB2312" w:cs="Times New Roman"/>
          <w:kern w:val="2"/>
          <w:sz w:val="28"/>
          <w:szCs w:val="28"/>
          <w:lang w:val="en-US" w:eastAsia="zh-CN" w:bidi="ar-SA"/>
        </w:rPr>
        <w:t>第</w:t>
      </w:r>
      <w:r>
        <w:rPr>
          <w:rFonts w:hint="default" w:ascii="Times New Roman" w:hAnsi="Times New Roman" w:eastAsia="仿宋_GB2312" w:cs="Times New Roman"/>
          <w:bCs/>
          <w:kern w:val="44"/>
          <w:sz w:val="28"/>
          <w:szCs w:val="28"/>
          <w:lang w:val="en-US" w:eastAsia="zh-CN" w:bidi="ar-SA"/>
        </w:rPr>
        <w:t xml:space="preserve">三部分 </w:t>
      </w:r>
      <w:r>
        <w:rPr>
          <w:rFonts w:hint="default" w:ascii="Times New Roman" w:hAnsi="Times New Roman" w:eastAsia="仿宋_GB2312" w:cs="Times New Roman"/>
          <w:kern w:val="2"/>
          <w:sz w:val="28"/>
          <w:szCs w:val="28"/>
          <w:highlight w:val="none"/>
          <w:lang w:val="en-US" w:eastAsia="zh-CN" w:bidi="ar-SA"/>
        </w:rPr>
        <w:t>名词解释</w:t>
      </w:r>
      <w:r>
        <w:rPr>
          <w:rFonts w:hint="default" w:ascii="Times New Roman" w:hAnsi="Times New Roman" w:eastAsia="仿宋_GB2312" w:cs="Times New Roman"/>
          <w:kern w:val="2"/>
          <w:sz w:val="28"/>
          <w:szCs w:val="28"/>
          <w:lang w:val="en-US" w:eastAsia="zh-CN" w:bidi="ar-SA"/>
        </w:rPr>
        <w:tab/>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PAGEREF _Toc22613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34</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bCs/>
          <w:color w:val="auto"/>
          <w:kern w:val="44"/>
          <w:sz w:val="28"/>
          <w:szCs w:val="28"/>
          <w:highlight w:val="none"/>
          <w:lang w:val="en-US" w:eastAsia="zh-CN" w:bidi="ar-SA"/>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right="0" w:rightChars="0" w:firstLine="0" w:firstLineChars="0"/>
        <w:jc w:val="both"/>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fldChar w:fldCharType="begin"/>
      </w:r>
      <w:r>
        <w:rPr>
          <w:rFonts w:hint="default" w:ascii="Times New Roman" w:hAnsi="Times New Roman" w:eastAsia="仿宋_GB2312" w:cs="Times New Roman"/>
          <w:color w:val="auto"/>
          <w:kern w:val="2"/>
          <w:sz w:val="28"/>
          <w:szCs w:val="28"/>
          <w:highlight w:val="none"/>
          <w:lang w:val="en-US" w:eastAsia="zh-CN" w:bidi="ar-SA"/>
        </w:rPr>
        <w:instrText xml:space="preserve"> HYPERLINK \l _Toc12632 </w:instrText>
      </w:r>
      <w:r>
        <w:rPr>
          <w:rFonts w:hint="default" w:ascii="Times New Roman" w:hAnsi="Times New Roman" w:eastAsia="仿宋_GB2312" w:cs="Times New Roman"/>
          <w:color w:val="auto"/>
          <w:kern w:val="2"/>
          <w:sz w:val="28"/>
          <w:szCs w:val="28"/>
          <w:highlight w:val="none"/>
          <w:lang w:val="en-US" w:eastAsia="zh-CN" w:bidi="ar-SA"/>
        </w:rPr>
        <w:fldChar w:fldCharType="separate"/>
      </w:r>
      <w:r>
        <w:rPr>
          <w:rFonts w:hint="default" w:ascii="Times New Roman" w:hAnsi="Times New Roman" w:eastAsia="仿宋_GB2312" w:cs="Times New Roman"/>
          <w:kern w:val="2"/>
          <w:sz w:val="28"/>
          <w:szCs w:val="28"/>
          <w:highlight w:val="none"/>
          <w:lang w:val="en-US" w:eastAsia="zh-CN" w:bidi="ar-SA"/>
        </w:rPr>
        <w:t>第四部分 附件</w:t>
      </w:r>
      <w:r>
        <w:rPr>
          <w:rFonts w:hint="default" w:ascii="Times New Roman" w:hAnsi="Times New Roman" w:eastAsia="仿宋_GB2312" w:cs="Times New Roman"/>
          <w:kern w:val="2"/>
          <w:sz w:val="28"/>
          <w:szCs w:val="28"/>
          <w:lang w:val="en-US" w:eastAsia="zh-CN" w:bidi="ar-SA"/>
        </w:rPr>
        <w:tab/>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PAGEREF _Toc12632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41</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color w:val="auto"/>
          <w:kern w:val="2"/>
          <w:sz w:val="28"/>
          <w:szCs w:val="28"/>
          <w:highlight w:val="none"/>
          <w:lang w:val="en-US" w:eastAsia="zh-CN" w:bidi="ar-SA"/>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right="0" w:rightChars="0" w:firstLine="0" w:firstLineChars="0"/>
        <w:jc w:val="both"/>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 xml:space="preserve">    </w:t>
      </w:r>
      <w:r>
        <w:rPr>
          <w:rFonts w:hint="default" w:ascii="Times New Roman" w:hAnsi="Times New Roman" w:eastAsia="仿宋_GB2312" w:cs="Times New Roman"/>
          <w:color w:val="auto"/>
          <w:kern w:val="2"/>
          <w:sz w:val="28"/>
          <w:szCs w:val="28"/>
          <w:highlight w:val="none"/>
          <w:lang w:val="en-US" w:eastAsia="zh-CN" w:bidi="ar-SA"/>
        </w:rPr>
        <w:fldChar w:fldCharType="begin"/>
      </w:r>
      <w:r>
        <w:rPr>
          <w:rFonts w:hint="default" w:ascii="Times New Roman" w:hAnsi="Times New Roman" w:eastAsia="仿宋_GB2312" w:cs="Times New Roman"/>
          <w:color w:val="auto"/>
          <w:kern w:val="2"/>
          <w:sz w:val="28"/>
          <w:szCs w:val="28"/>
          <w:highlight w:val="none"/>
          <w:lang w:val="en-US" w:eastAsia="zh-CN" w:bidi="ar-SA"/>
        </w:rPr>
        <w:instrText xml:space="preserve"> HYPERLINK \l _Toc27274 </w:instrText>
      </w:r>
      <w:r>
        <w:rPr>
          <w:rFonts w:hint="default" w:ascii="Times New Roman" w:hAnsi="Times New Roman" w:eastAsia="仿宋_GB2312" w:cs="Times New Roman"/>
          <w:color w:val="auto"/>
          <w:kern w:val="2"/>
          <w:sz w:val="28"/>
          <w:szCs w:val="28"/>
          <w:highlight w:val="none"/>
          <w:lang w:val="en-US" w:eastAsia="zh-CN" w:bidi="ar-SA"/>
        </w:rPr>
        <w:fldChar w:fldCharType="separate"/>
      </w:r>
      <w:r>
        <w:rPr>
          <w:rFonts w:hint="default" w:ascii="Times New Roman" w:hAnsi="Times New Roman" w:eastAsia="仿宋_GB2312" w:cs="Times New Roman"/>
          <w:kern w:val="2"/>
          <w:sz w:val="28"/>
          <w:szCs w:val="28"/>
          <w:highlight w:val="none"/>
          <w:lang w:val="en-US" w:eastAsia="zh-CN" w:bidi="ar-SA"/>
        </w:rPr>
        <w:t>附件1</w:t>
      </w:r>
      <w:r>
        <w:rPr>
          <w:rFonts w:hint="default" w:ascii="Times New Roman" w:hAnsi="Times New Roman" w:eastAsia="仿宋_GB2312" w:cs="Times New Roman"/>
          <w:kern w:val="2"/>
          <w:sz w:val="28"/>
          <w:szCs w:val="28"/>
          <w:lang w:val="en-US" w:eastAsia="zh-CN" w:bidi="ar-SA"/>
        </w:rPr>
        <w:tab/>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PAGEREF _Toc27274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41</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color w:val="auto"/>
          <w:kern w:val="2"/>
          <w:sz w:val="28"/>
          <w:szCs w:val="28"/>
          <w:highlight w:val="none"/>
          <w:lang w:val="en-US" w:eastAsia="zh-CN" w:bidi="ar-SA"/>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right="0" w:rightChars="0" w:firstLine="0" w:firstLineChars="0"/>
        <w:jc w:val="both"/>
        <w:textAlignment w:val="auto"/>
        <w:outlineLvl w:val="9"/>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 xml:space="preserve">    </w:t>
      </w:r>
      <w:r>
        <w:rPr>
          <w:rFonts w:hint="default" w:ascii="Times New Roman" w:hAnsi="Times New Roman" w:eastAsia="仿宋_GB2312" w:cs="Times New Roman"/>
          <w:color w:val="auto"/>
          <w:kern w:val="2"/>
          <w:sz w:val="28"/>
          <w:szCs w:val="28"/>
          <w:highlight w:val="none"/>
          <w:lang w:val="en-US" w:eastAsia="zh-CN" w:bidi="ar-SA"/>
        </w:rPr>
        <w:fldChar w:fldCharType="begin"/>
      </w:r>
      <w:r>
        <w:rPr>
          <w:rFonts w:hint="default" w:ascii="Times New Roman" w:hAnsi="Times New Roman" w:eastAsia="仿宋_GB2312" w:cs="Times New Roman"/>
          <w:color w:val="auto"/>
          <w:kern w:val="2"/>
          <w:sz w:val="28"/>
          <w:szCs w:val="28"/>
          <w:highlight w:val="none"/>
          <w:lang w:val="en-US" w:eastAsia="zh-CN" w:bidi="ar-SA"/>
        </w:rPr>
        <w:instrText xml:space="preserve"> HYPERLINK \l _Toc27274 </w:instrText>
      </w:r>
      <w:r>
        <w:rPr>
          <w:rFonts w:hint="default" w:ascii="Times New Roman" w:hAnsi="Times New Roman" w:eastAsia="仿宋_GB2312" w:cs="Times New Roman"/>
          <w:color w:val="auto"/>
          <w:kern w:val="2"/>
          <w:sz w:val="28"/>
          <w:szCs w:val="28"/>
          <w:highlight w:val="none"/>
          <w:lang w:val="en-US" w:eastAsia="zh-CN" w:bidi="ar-SA"/>
        </w:rPr>
        <w:fldChar w:fldCharType="separate"/>
      </w:r>
      <w:r>
        <w:rPr>
          <w:rFonts w:hint="default" w:ascii="Times New Roman" w:hAnsi="Times New Roman" w:eastAsia="仿宋_GB2312" w:cs="Times New Roman"/>
          <w:kern w:val="2"/>
          <w:sz w:val="28"/>
          <w:szCs w:val="28"/>
          <w:highlight w:val="none"/>
          <w:lang w:val="en-US" w:eastAsia="zh-CN" w:bidi="ar-SA"/>
        </w:rPr>
        <w:t>附件2</w:t>
      </w:r>
      <w:r>
        <w:rPr>
          <w:rFonts w:hint="default" w:ascii="Times New Roman" w:hAnsi="Times New Roman" w:eastAsia="仿宋_GB2312" w:cs="Times New Roman"/>
          <w:kern w:val="2"/>
          <w:sz w:val="28"/>
          <w:szCs w:val="28"/>
          <w:lang w:val="en-US" w:eastAsia="zh-CN" w:bidi="ar-SA"/>
        </w:rPr>
        <w:tab/>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PAGEREF _Toc27274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41</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color w:val="auto"/>
          <w:kern w:val="2"/>
          <w:sz w:val="28"/>
          <w:szCs w:val="28"/>
          <w:highlight w:val="none"/>
          <w:lang w:val="en-US" w:eastAsia="zh-CN" w:bidi="ar-SA"/>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right="0" w:rightChars="0" w:firstLine="0" w:firstLineChars="0"/>
        <w:jc w:val="both"/>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 xml:space="preserve">    附件3</w:t>
      </w:r>
      <w:r>
        <w:rPr>
          <w:rFonts w:hint="default" w:ascii="Times New Roman" w:hAnsi="Times New Roman" w:eastAsia="仿宋_GB2312" w:cs="Times New Roman"/>
          <w:color w:val="auto"/>
          <w:kern w:val="2"/>
          <w:sz w:val="28"/>
          <w:szCs w:val="28"/>
          <w:highlight w:val="none"/>
          <w:lang w:val="en-US" w:eastAsia="zh-CN" w:bidi="ar-SA"/>
        </w:rPr>
        <w:fldChar w:fldCharType="begin"/>
      </w:r>
      <w:r>
        <w:rPr>
          <w:rFonts w:hint="default" w:ascii="Times New Roman" w:hAnsi="Times New Roman" w:eastAsia="仿宋_GB2312" w:cs="Times New Roman"/>
          <w:color w:val="auto"/>
          <w:kern w:val="2"/>
          <w:sz w:val="28"/>
          <w:szCs w:val="28"/>
          <w:highlight w:val="none"/>
          <w:lang w:val="en-US" w:eastAsia="zh-CN" w:bidi="ar-SA"/>
        </w:rPr>
        <w:instrText xml:space="preserve"> HYPERLINK \l _Toc25138 </w:instrText>
      </w:r>
      <w:r>
        <w:rPr>
          <w:rFonts w:hint="default" w:ascii="Times New Roman" w:hAnsi="Times New Roman" w:eastAsia="仿宋_GB2312" w:cs="Times New Roman"/>
          <w:color w:val="auto"/>
          <w:kern w:val="2"/>
          <w:sz w:val="28"/>
          <w:szCs w:val="28"/>
          <w:highlight w:val="none"/>
          <w:lang w:val="en-US" w:eastAsia="zh-CN" w:bidi="ar-SA"/>
        </w:rPr>
        <w:fldChar w:fldCharType="separate"/>
      </w:r>
      <w:r>
        <w:rPr>
          <w:rFonts w:hint="default" w:ascii="Times New Roman" w:hAnsi="Times New Roman" w:eastAsia="仿宋_GB2312" w:cs="Times New Roman"/>
          <w:kern w:val="2"/>
          <w:sz w:val="28"/>
          <w:szCs w:val="28"/>
          <w:lang w:val="en-US" w:eastAsia="zh-CN" w:bidi="ar-SA"/>
        </w:rPr>
        <w:tab/>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PAGEREF _Toc25138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51</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color w:val="auto"/>
          <w:kern w:val="2"/>
          <w:sz w:val="28"/>
          <w:szCs w:val="28"/>
          <w:highlight w:val="none"/>
          <w:lang w:val="en-US" w:eastAsia="zh-CN" w:bidi="ar-SA"/>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right="0" w:rightChars="0" w:firstLine="0" w:firstLineChars="0"/>
        <w:jc w:val="both"/>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fldChar w:fldCharType="begin"/>
      </w:r>
      <w:r>
        <w:rPr>
          <w:rFonts w:hint="default" w:ascii="Times New Roman" w:hAnsi="Times New Roman" w:eastAsia="仿宋_GB2312" w:cs="Times New Roman"/>
          <w:color w:val="auto"/>
          <w:kern w:val="2"/>
          <w:sz w:val="28"/>
          <w:szCs w:val="28"/>
          <w:highlight w:val="none"/>
          <w:lang w:val="en-US" w:eastAsia="zh-CN" w:bidi="ar-SA"/>
        </w:rPr>
        <w:instrText xml:space="preserve"> HYPERLINK \l _Toc432 </w:instrText>
      </w:r>
      <w:r>
        <w:rPr>
          <w:rFonts w:hint="default" w:ascii="Times New Roman" w:hAnsi="Times New Roman" w:eastAsia="仿宋_GB2312" w:cs="Times New Roman"/>
          <w:color w:val="auto"/>
          <w:kern w:val="2"/>
          <w:sz w:val="28"/>
          <w:szCs w:val="28"/>
          <w:highlight w:val="none"/>
          <w:lang w:val="en-US" w:eastAsia="zh-CN" w:bidi="ar-SA"/>
        </w:rPr>
        <w:fldChar w:fldCharType="separate"/>
      </w:r>
      <w:r>
        <w:rPr>
          <w:rFonts w:hint="default" w:ascii="Times New Roman" w:hAnsi="Times New Roman" w:eastAsia="仿宋_GB2312" w:cs="Times New Roman"/>
          <w:kern w:val="2"/>
          <w:sz w:val="28"/>
          <w:szCs w:val="28"/>
          <w:highlight w:val="none"/>
          <w:lang w:val="en-US" w:eastAsia="zh-CN" w:bidi="ar-SA"/>
        </w:rPr>
        <w:t>第五部分 附表</w:t>
      </w:r>
      <w:r>
        <w:rPr>
          <w:rFonts w:hint="default" w:ascii="Times New Roman" w:hAnsi="Times New Roman" w:eastAsia="仿宋_GB2312" w:cs="Times New Roman"/>
          <w:kern w:val="2"/>
          <w:sz w:val="28"/>
          <w:szCs w:val="28"/>
          <w:lang w:val="en-US" w:eastAsia="zh-CN" w:bidi="ar-SA"/>
        </w:rPr>
        <w:tab/>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PAGEREF _Toc432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79</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color w:val="auto"/>
          <w:kern w:val="2"/>
          <w:sz w:val="28"/>
          <w:szCs w:val="28"/>
          <w:highlight w:val="none"/>
          <w:lang w:val="en-US" w:eastAsia="zh-CN" w:bidi="ar-SA"/>
        </w:rPr>
        <w:fldChar w:fldCharType="end"/>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right="0" w:rightChars="0" w:firstLine="0" w:firstLineChars="0"/>
        <w:jc w:val="both"/>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fldChar w:fldCharType="begin"/>
      </w:r>
      <w:r>
        <w:rPr>
          <w:rFonts w:hint="default" w:ascii="Times New Roman" w:hAnsi="Times New Roman" w:eastAsia="仿宋_GB2312" w:cs="Times New Roman"/>
          <w:color w:val="auto"/>
          <w:kern w:val="2"/>
          <w:sz w:val="28"/>
          <w:szCs w:val="28"/>
          <w:highlight w:val="none"/>
          <w:lang w:val="en-US" w:eastAsia="zh-CN" w:bidi="ar-SA"/>
        </w:rPr>
        <w:instrText xml:space="preserve"> HYPERLINK \l _Toc32581 </w:instrText>
      </w:r>
      <w:r>
        <w:rPr>
          <w:rFonts w:hint="default" w:ascii="Times New Roman" w:hAnsi="Times New Roman" w:eastAsia="仿宋_GB2312" w:cs="Times New Roman"/>
          <w:color w:val="auto"/>
          <w:kern w:val="2"/>
          <w:sz w:val="28"/>
          <w:szCs w:val="28"/>
          <w:highlight w:val="none"/>
          <w:lang w:val="en-US" w:eastAsia="zh-CN" w:bidi="ar-SA"/>
        </w:rPr>
        <w:fldChar w:fldCharType="separate"/>
      </w:r>
      <w:r>
        <w:rPr>
          <w:rFonts w:hint="default" w:ascii="Times New Roman" w:hAnsi="Times New Roman" w:eastAsia="仿宋_GB2312" w:cs="Times New Roman"/>
          <w:kern w:val="2"/>
          <w:sz w:val="28"/>
          <w:szCs w:val="28"/>
          <w:highlight w:val="none"/>
          <w:lang w:val="en-US" w:eastAsia="zh-CN" w:bidi="ar-SA"/>
        </w:rPr>
        <w:t>一、收</w:t>
      </w:r>
      <w:r>
        <w:rPr>
          <w:rFonts w:hint="default" w:ascii="Times New Roman" w:hAnsi="Times New Roman" w:eastAsia="仿宋_GB2312" w:cs="Times New Roman"/>
          <w:bCs w:val="0"/>
          <w:kern w:val="2"/>
          <w:sz w:val="28"/>
          <w:szCs w:val="28"/>
          <w:highlight w:val="none"/>
          <w:lang w:val="en-US" w:eastAsia="zh-CN" w:bidi="ar-SA"/>
        </w:rPr>
        <w:t>入支出决算总表</w:t>
      </w:r>
      <w:r>
        <w:rPr>
          <w:rFonts w:hint="default" w:ascii="Times New Roman" w:hAnsi="Times New Roman" w:eastAsia="仿宋_GB2312" w:cs="Times New Roman"/>
          <w:kern w:val="2"/>
          <w:sz w:val="28"/>
          <w:szCs w:val="28"/>
          <w:lang w:val="en-US" w:eastAsia="zh-CN" w:bidi="ar-SA"/>
        </w:rPr>
        <w:tab/>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PAGEREF _Toc32581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79</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color w:val="auto"/>
          <w:kern w:val="2"/>
          <w:sz w:val="28"/>
          <w:szCs w:val="28"/>
          <w:highlight w:val="none"/>
          <w:lang w:val="en-US" w:eastAsia="zh-CN" w:bidi="ar-SA"/>
        </w:rPr>
        <w:fldChar w:fldCharType="end"/>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right="0" w:rightChars="0" w:firstLine="0" w:firstLineChars="0"/>
        <w:jc w:val="both"/>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fldChar w:fldCharType="begin"/>
      </w:r>
      <w:r>
        <w:rPr>
          <w:rFonts w:hint="default" w:ascii="Times New Roman" w:hAnsi="Times New Roman" w:eastAsia="仿宋_GB2312" w:cs="Times New Roman"/>
          <w:color w:val="auto"/>
          <w:kern w:val="2"/>
          <w:sz w:val="28"/>
          <w:szCs w:val="28"/>
          <w:highlight w:val="none"/>
          <w:lang w:val="en-US" w:eastAsia="zh-CN" w:bidi="ar-SA"/>
        </w:rPr>
        <w:instrText xml:space="preserve"> HYPERLINK \l _Toc25604 </w:instrText>
      </w:r>
      <w:r>
        <w:rPr>
          <w:rFonts w:hint="default" w:ascii="Times New Roman" w:hAnsi="Times New Roman" w:eastAsia="仿宋_GB2312" w:cs="Times New Roman"/>
          <w:color w:val="auto"/>
          <w:kern w:val="2"/>
          <w:sz w:val="28"/>
          <w:szCs w:val="28"/>
          <w:highlight w:val="none"/>
          <w:lang w:val="en-US" w:eastAsia="zh-CN" w:bidi="ar-SA"/>
        </w:rPr>
        <w:fldChar w:fldCharType="separate"/>
      </w:r>
      <w:r>
        <w:rPr>
          <w:rFonts w:hint="default" w:ascii="Times New Roman" w:hAnsi="Times New Roman" w:eastAsia="仿宋_GB2312" w:cs="Times New Roman"/>
          <w:kern w:val="2"/>
          <w:sz w:val="28"/>
          <w:szCs w:val="28"/>
          <w:highlight w:val="none"/>
          <w:lang w:val="en-US" w:eastAsia="zh-CN" w:bidi="ar-SA"/>
        </w:rPr>
        <w:t>二、收</w:t>
      </w:r>
      <w:r>
        <w:rPr>
          <w:rFonts w:hint="default" w:ascii="Times New Roman" w:hAnsi="Times New Roman" w:eastAsia="仿宋_GB2312" w:cs="Times New Roman"/>
          <w:bCs w:val="0"/>
          <w:kern w:val="2"/>
          <w:sz w:val="28"/>
          <w:szCs w:val="28"/>
          <w:highlight w:val="none"/>
          <w:lang w:val="en-US" w:eastAsia="zh-CN" w:bidi="ar-SA"/>
        </w:rPr>
        <w:t>入决算表</w:t>
      </w:r>
      <w:r>
        <w:rPr>
          <w:rFonts w:hint="default" w:ascii="Times New Roman" w:hAnsi="Times New Roman" w:eastAsia="仿宋_GB2312" w:cs="Times New Roman"/>
          <w:kern w:val="2"/>
          <w:sz w:val="28"/>
          <w:szCs w:val="28"/>
          <w:lang w:val="en-US" w:eastAsia="zh-CN" w:bidi="ar-SA"/>
        </w:rPr>
        <w:tab/>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PAGEREF _Toc25604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79</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color w:val="auto"/>
          <w:kern w:val="2"/>
          <w:sz w:val="28"/>
          <w:szCs w:val="28"/>
          <w:highlight w:val="none"/>
          <w:lang w:val="en-US" w:eastAsia="zh-CN" w:bidi="ar-SA"/>
        </w:rPr>
        <w:fldChar w:fldCharType="end"/>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right="0" w:rightChars="0" w:firstLine="0" w:firstLineChars="0"/>
        <w:jc w:val="both"/>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fldChar w:fldCharType="begin"/>
      </w:r>
      <w:r>
        <w:rPr>
          <w:rFonts w:hint="default" w:ascii="Times New Roman" w:hAnsi="Times New Roman" w:eastAsia="仿宋_GB2312" w:cs="Times New Roman"/>
          <w:color w:val="auto"/>
          <w:kern w:val="2"/>
          <w:sz w:val="28"/>
          <w:szCs w:val="28"/>
          <w:highlight w:val="none"/>
          <w:lang w:val="en-US" w:eastAsia="zh-CN" w:bidi="ar-SA"/>
        </w:rPr>
        <w:instrText xml:space="preserve"> HYPERLINK \l _Toc2109 </w:instrText>
      </w:r>
      <w:r>
        <w:rPr>
          <w:rFonts w:hint="default" w:ascii="Times New Roman" w:hAnsi="Times New Roman" w:eastAsia="仿宋_GB2312" w:cs="Times New Roman"/>
          <w:color w:val="auto"/>
          <w:kern w:val="2"/>
          <w:sz w:val="28"/>
          <w:szCs w:val="28"/>
          <w:highlight w:val="none"/>
          <w:lang w:val="en-US" w:eastAsia="zh-CN" w:bidi="ar-SA"/>
        </w:rPr>
        <w:fldChar w:fldCharType="separate"/>
      </w:r>
      <w:r>
        <w:rPr>
          <w:rFonts w:hint="default" w:ascii="Times New Roman" w:hAnsi="Times New Roman" w:eastAsia="仿宋_GB2312" w:cs="Times New Roman"/>
          <w:bCs w:val="0"/>
          <w:kern w:val="2"/>
          <w:sz w:val="28"/>
          <w:szCs w:val="28"/>
          <w:highlight w:val="none"/>
          <w:lang w:val="en-US" w:eastAsia="zh-CN" w:bidi="ar-SA"/>
        </w:rPr>
        <w:t>三、</w:t>
      </w:r>
      <w:r>
        <w:rPr>
          <w:rFonts w:hint="default" w:ascii="Times New Roman" w:hAnsi="Times New Roman" w:eastAsia="仿宋_GB2312" w:cs="Times New Roman"/>
          <w:kern w:val="2"/>
          <w:sz w:val="28"/>
          <w:szCs w:val="28"/>
          <w:highlight w:val="none"/>
          <w:lang w:val="en-US" w:eastAsia="zh-CN" w:bidi="ar-SA"/>
        </w:rPr>
        <w:t>支</w:t>
      </w:r>
      <w:r>
        <w:rPr>
          <w:rFonts w:hint="default" w:ascii="Times New Roman" w:hAnsi="Times New Roman" w:eastAsia="仿宋_GB2312" w:cs="Times New Roman"/>
          <w:bCs w:val="0"/>
          <w:kern w:val="2"/>
          <w:sz w:val="28"/>
          <w:szCs w:val="28"/>
          <w:highlight w:val="none"/>
          <w:lang w:val="en-US" w:eastAsia="zh-CN" w:bidi="ar-SA"/>
        </w:rPr>
        <w:t>出决算表</w:t>
      </w:r>
      <w:r>
        <w:rPr>
          <w:rFonts w:hint="default" w:ascii="Times New Roman" w:hAnsi="Times New Roman" w:eastAsia="仿宋_GB2312" w:cs="Times New Roman"/>
          <w:kern w:val="2"/>
          <w:sz w:val="28"/>
          <w:szCs w:val="28"/>
          <w:lang w:val="en-US" w:eastAsia="zh-CN" w:bidi="ar-SA"/>
        </w:rPr>
        <w:tab/>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PAGEREF _Toc2109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79</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color w:val="auto"/>
          <w:kern w:val="2"/>
          <w:sz w:val="28"/>
          <w:szCs w:val="28"/>
          <w:highlight w:val="none"/>
          <w:lang w:val="en-US" w:eastAsia="zh-CN" w:bidi="ar-SA"/>
        </w:rPr>
        <w:fldChar w:fldCharType="end"/>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right="0" w:rightChars="0" w:firstLine="0" w:firstLineChars="0"/>
        <w:jc w:val="both"/>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fldChar w:fldCharType="begin"/>
      </w:r>
      <w:r>
        <w:rPr>
          <w:rFonts w:hint="default" w:ascii="Times New Roman" w:hAnsi="Times New Roman" w:eastAsia="仿宋_GB2312" w:cs="Times New Roman"/>
          <w:color w:val="auto"/>
          <w:kern w:val="2"/>
          <w:sz w:val="28"/>
          <w:szCs w:val="28"/>
          <w:highlight w:val="none"/>
          <w:lang w:val="en-US" w:eastAsia="zh-CN" w:bidi="ar-SA"/>
        </w:rPr>
        <w:instrText xml:space="preserve"> HYPERLINK \l _Toc9057 </w:instrText>
      </w:r>
      <w:r>
        <w:rPr>
          <w:rFonts w:hint="default" w:ascii="Times New Roman" w:hAnsi="Times New Roman" w:eastAsia="仿宋_GB2312" w:cs="Times New Roman"/>
          <w:color w:val="auto"/>
          <w:kern w:val="2"/>
          <w:sz w:val="28"/>
          <w:szCs w:val="28"/>
          <w:highlight w:val="none"/>
          <w:lang w:val="en-US" w:eastAsia="zh-CN" w:bidi="ar-SA"/>
        </w:rPr>
        <w:fldChar w:fldCharType="separate"/>
      </w:r>
      <w:r>
        <w:rPr>
          <w:rFonts w:hint="default" w:ascii="Times New Roman" w:hAnsi="Times New Roman" w:eastAsia="仿宋_GB2312" w:cs="Times New Roman"/>
          <w:bCs w:val="0"/>
          <w:kern w:val="2"/>
          <w:sz w:val="28"/>
          <w:szCs w:val="28"/>
          <w:highlight w:val="none"/>
          <w:lang w:val="en-US" w:eastAsia="zh-CN" w:bidi="ar-SA"/>
        </w:rPr>
        <w:t>四、</w:t>
      </w:r>
      <w:r>
        <w:rPr>
          <w:rFonts w:hint="default" w:ascii="Times New Roman" w:hAnsi="Times New Roman" w:eastAsia="仿宋_GB2312" w:cs="Times New Roman"/>
          <w:kern w:val="2"/>
          <w:sz w:val="28"/>
          <w:szCs w:val="28"/>
          <w:highlight w:val="none"/>
          <w:lang w:val="en-US" w:eastAsia="zh-CN" w:bidi="ar-SA"/>
        </w:rPr>
        <w:t>财</w:t>
      </w:r>
      <w:r>
        <w:rPr>
          <w:rFonts w:hint="default" w:ascii="Times New Roman" w:hAnsi="Times New Roman" w:eastAsia="仿宋_GB2312" w:cs="Times New Roman"/>
          <w:bCs w:val="0"/>
          <w:kern w:val="2"/>
          <w:sz w:val="28"/>
          <w:szCs w:val="28"/>
          <w:highlight w:val="none"/>
          <w:lang w:val="en-US" w:eastAsia="zh-CN" w:bidi="ar-SA"/>
        </w:rPr>
        <w:t>政拨款收入支出决算总表</w:t>
      </w:r>
      <w:r>
        <w:rPr>
          <w:rFonts w:hint="default" w:ascii="Times New Roman" w:hAnsi="Times New Roman" w:eastAsia="仿宋_GB2312" w:cs="Times New Roman"/>
          <w:kern w:val="2"/>
          <w:sz w:val="28"/>
          <w:szCs w:val="28"/>
          <w:lang w:val="en-US" w:eastAsia="zh-CN" w:bidi="ar-SA"/>
        </w:rPr>
        <w:tab/>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PAGEREF _Toc9057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79</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color w:val="auto"/>
          <w:kern w:val="2"/>
          <w:sz w:val="28"/>
          <w:szCs w:val="28"/>
          <w:highlight w:val="none"/>
          <w:lang w:val="en-US" w:eastAsia="zh-CN" w:bidi="ar-SA"/>
        </w:rPr>
        <w:fldChar w:fldCharType="end"/>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right="0" w:rightChars="0" w:firstLine="0" w:firstLineChars="0"/>
        <w:jc w:val="both"/>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fldChar w:fldCharType="begin"/>
      </w:r>
      <w:r>
        <w:rPr>
          <w:rFonts w:hint="default" w:ascii="Times New Roman" w:hAnsi="Times New Roman" w:eastAsia="仿宋_GB2312" w:cs="Times New Roman"/>
          <w:color w:val="auto"/>
          <w:kern w:val="2"/>
          <w:sz w:val="28"/>
          <w:szCs w:val="28"/>
          <w:highlight w:val="none"/>
          <w:lang w:val="en-US" w:eastAsia="zh-CN" w:bidi="ar-SA"/>
        </w:rPr>
        <w:instrText xml:space="preserve"> HYPERLINK \l _Toc31995 </w:instrText>
      </w:r>
      <w:r>
        <w:rPr>
          <w:rFonts w:hint="default" w:ascii="Times New Roman" w:hAnsi="Times New Roman" w:eastAsia="仿宋_GB2312" w:cs="Times New Roman"/>
          <w:color w:val="auto"/>
          <w:kern w:val="2"/>
          <w:sz w:val="28"/>
          <w:szCs w:val="28"/>
          <w:highlight w:val="none"/>
          <w:lang w:val="en-US" w:eastAsia="zh-CN" w:bidi="ar-SA"/>
        </w:rPr>
        <w:fldChar w:fldCharType="separate"/>
      </w:r>
      <w:r>
        <w:rPr>
          <w:rFonts w:hint="default" w:ascii="Times New Roman" w:hAnsi="Times New Roman" w:eastAsia="仿宋_GB2312" w:cs="Times New Roman"/>
          <w:bCs w:val="0"/>
          <w:kern w:val="2"/>
          <w:sz w:val="28"/>
          <w:szCs w:val="28"/>
          <w:highlight w:val="none"/>
          <w:lang w:val="en-US" w:eastAsia="zh-CN" w:bidi="ar-SA"/>
        </w:rPr>
        <w:t>五、</w:t>
      </w:r>
      <w:r>
        <w:rPr>
          <w:rFonts w:hint="default" w:ascii="Times New Roman" w:hAnsi="Times New Roman" w:eastAsia="仿宋_GB2312" w:cs="Times New Roman"/>
          <w:kern w:val="2"/>
          <w:sz w:val="28"/>
          <w:szCs w:val="28"/>
          <w:highlight w:val="none"/>
          <w:lang w:val="en-US" w:eastAsia="zh-CN" w:bidi="ar-SA"/>
        </w:rPr>
        <w:t>财</w:t>
      </w:r>
      <w:r>
        <w:rPr>
          <w:rFonts w:hint="default" w:ascii="Times New Roman" w:hAnsi="Times New Roman" w:eastAsia="仿宋_GB2312" w:cs="Times New Roman"/>
          <w:bCs w:val="0"/>
          <w:kern w:val="2"/>
          <w:sz w:val="28"/>
          <w:szCs w:val="28"/>
          <w:highlight w:val="none"/>
          <w:lang w:val="en-US" w:eastAsia="zh-CN" w:bidi="ar-SA"/>
        </w:rPr>
        <w:t>政拨款支出决算明细表</w:t>
      </w:r>
      <w:r>
        <w:rPr>
          <w:rFonts w:hint="default" w:ascii="Times New Roman" w:hAnsi="Times New Roman" w:eastAsia="仿宋_GB2312" w:cs="Times New Roman"/>
          <w:kern w:val="2"/>
          <w:sz w:val="28"/>
          <w:szCs w:val="28"/>
          <w:lang w:val="en-US" w:eastAsia="zh-CN" w:bidi="ar-SA"/>
        </w:rPr>
        <w:tab/>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PAGEREF _Toc31995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79</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color w:val="auto"/>
          <w:kern w:val="2"/>
          <w:sz w:val="28"/>
          <w:szCs w:val="28"/>
          <w:highlight w:val="none"/>
          <w:lang w:val="en-US" w:eastAsia="zh-CN" w:bidi="ar-SA"/>
        </w:rPr>
        <w:fldChar w:fldCharType="end"/>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right="0" w:rightChars="0" w:firstLine="0" w:firstLineChars="0"/>
        <w:jc w:val="both"/>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fldChar w:fldCharType="begin"/>
      </w:r>
      <w:r>
        <w:rPr>
          <w:rFonts w:hint="default" w:ascii="Times New Roman" w:hAnsi="Times New Roman" w:eastAsia="仿宋_GB2312" w:cs="Times New Roman"/>
          <w:color w:val="auto"/>
          <w:kern w:val="2"/>
          <w:sz w:val="28"/>
          <w:szCs w:val="28"/>
          <w:highlight w:val="none"/>
          <w:lang w:val="en-US" w:eastAsia="zh-CN" w:bidi="ar-SA"/>
        </w:rPr>
        <w:instrText xml:space="preserve"> HYPERLINK \l _Toc26571 </w:instrText>
      </w:r>
      <w:r>
        <w:rPr>
          <w:rFonts w:hint="default" w:ascii="Times New Roman" w:hAnsi="Times New Roman" w:eastAsia="仿宋_GB2312" w:cs="Times New Roman"/>
          <w:color w:val="auto"/>
          <w:kern w:val="2"/>
          <w:sz w:val="28"/>
          <w:szCs w:val="28"/>
          <w:highlight w:val="none"/>
          <w:lang w:val="en-US" w:eastAsia="zh-CN" w:bidi="ar-SA"/>
        </w:rPr>
        <w:fldChar w:fldCharType="separate"/>
      </w:r>
      <w:r>
        <w:rPr>
          <w:rFonts w:hint="default" w:ascii="Times New Roman" w:hAnsi="Times New Roman" w:eastAsia="仿宋_GB2312" w:cs="Times New Roman"/>
          <w:bCs w:val="0"/>
          <w:kern w:val="2"/>
          <w:sz w:val="28"/>
          <w:szCs w:val="28"/>
          <w:highlight w:val="none"/>
          <w:lang w:val="en-US" w:eastAsia="zh-CN" w:bidi="ar-SA"/>
        </w:rPr>
        <w:t>六、</w:t>
      </w:r>
      <w:r>
        <w:rPr>
          <w:rFonts w:hint="default" w:ascii="Times New Roman" w:hAnsi="Times New Roman" w:eastAsia="仿宋_GB2312" w:cs="Times New Roman"/>
          <w:kern w:val="2"/>
          <w:sz w:val="28"/>
          <w:szCs w:val="28"/>
          <w:highlight w:val="none"/>
          <w:lang w:val="en-US" w:eastAsia="zh-CN" w:bidi="ar-SA"/>
        </w:rPr>
        <w:t>一</w:t>
      </w:r>
      <w:r>
        <w:rPr>
          <w:rFonts w:hint="default" w:ascii="Times New Roman" w:hAnsi="Times New Roman" w:eastAsia="仿宋_GB2312" w:cs="Times New Roman"/>
          <w:bCs w:val="0"/>
          <w:kern w:val="2"/>
          <w:sz w:val="28"/>
          <w:szCs w:val="28"/>
          <w:highlight w:val="none"/>
          <w:lang w:val="en-US" w:eastAsia="zh-CN" w:bidi="ar-SA"/>
        </w:rPr>
        <w:t>般公共预算财政拨款支出决算表</w:t>
      </w:r>
      <w:r>
        <w:rPr>
          <w:rFonts w:hint="default" w:ascii="Times New Roman" w:hAnsi="Times New Roman" w:eastAsia="仿宋_GB2312" w:cs="Times New Roman"/>
          <w:kern w:val="2"/>
          <w:sz w:val="28"/>
          <w:szCs w:val="28"/>
          <w:lang w:val="en-US" w:eastAsia="zh-CN" w:bidi="ar-SA"/>
        </w:rPr>
        <w:tab/>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PAGEREF _Toc26571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79</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color w:val="auto"/>
          <w:kern w:val="2"/>
          <w:sz w:val="28"/>
          <w:szCs w:val="28"/>
          <w:highlight w:val="none"/>
          <w:lang w:val="en-US" w:eastAsia="zh-CN" w:bidi="ar-SA"/>
        </w:rPr>
        <w:fldChar w:fldCharType="end"/>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right="0" w:rightChars="0" w:firstLine="0" w:firstLineChars="0"/>
        <w:jc w:val="both"/>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fldChar w:fldCharType="begin"/>
      </w:r>
      <w:r>
        <w:rPr>
          <w:rFonts w:hint="default" w:ascii="Times New Roman" w:hAnsi="Times New Roman" w:eastAsia="仿宋_GB2312" w:cs="Times New Roman"/>
          <w:color w:val="auto"/>
          <w:kern w:val="2"/>
          <w:sz w:val="28"/>
          <w:szCs w:val="28"/>
          <w:highlight w:val="none"/>
          <w:lang w:val="en-US" w:eastAsia="zh-CN" w:bidi="ar-SA"/>
        </w:rPr>
        <w:instrText xml:space="preserve"> HYPERLINK \l _Toc5747 </w:instrText>
      </w:r>
      <w:r>
        <w:rPr>
          <w:rFonts w:hint="default" w:ascii="Times New Roman" w:hAnsi="Times New Roman" w:eastAsia="仿宋_GB2312" w:cs="Times New Roman"/>
          <w:color w:val="auto"/>
          <w:kern w:val="2"/>
          <w:sz w:val="28"/>
          <w:szCs w:val="28"/>
          <w:highlight w:val="none"/>
          <w:lang w:val="en-US" w:eastAsia="zh-CN" w:bidi="ar-SA"/>
        </w:rPr>
        <w:fldChar w:fldCharType="separate"/>
      </w:r>
      <w:r>
        <w:rPr>
          <w:rFonts w:hint="default" w:ascii="Times New Roman" w:hAnsi="Times New Roman" w:eastAsia="仿宋_GB2312" w:cs="Times New Roman"/>
          <w:bCs w:val="0"/>
          <w:kern w:val="2"/>
          <w:sz w:val="28"/>
          <w:szCs w:val="28"/>
          <w:highlight w:val="none"/>
          <w:lang w:val="en-US" w:eastAsia="zh-CN" w:bidi="ar-SA"/>
        </w:rPr>
        <w:t>七、</w:t>
      </w:r>
      <w:r>
        <w:rPr>
          <w:rFonts w:hint="default" w:ascii="Times New Roman" w:hAnsi="Times New Roman" w:eastAsia="仿宋_GB2312" w:cs="Times New Roman"/>
          <w:kern w:val="2"/>
          <w:sz w:val="28"/>
          <w:szCs w:val="28"/>
          <w:highlight w:val="none"/>
          <w:lang w:val="en-US" w:eastAsia="zh-CN" w:bidi="ar-SA"/>
        </w:rPr>
        <w:t>一</w:t>
      </w:r>
      <w:r>
        <w:rPr>
          <w:rFonts w:hint="default" w:ascii="Times New Roman" w:hAnsi="Times New Roman" w:eastAsia="仿宋_GB2312" w:cs="Times New Roman"/>
          <w:bCs w:val="0"/>
          <w:kern w:val="2"/>
          <w:sz w:val="28"/>
          <w:szCs w:val="28"/>
          <w:highlight w:val="none"/>
          <w:lang w:val="en-US" w:eastAsia="zh-CN" w:bidi="ar-SA"/>
        </w:rPr>
        <w:t>般公共预算财政拨款支出决算明细表</w:t>
      </w:r>
      <w:r>
        <w:rPr>
          <w:rFonts w:hint="default" w:ascii="Times New Roman" w:hAnsi="Times New Roman" w:eastAsia="仿宋_GB2312" w:cs="Times New Roman"/>
          <w:kern w:val="2"/>
          <w:sz w:val="28"/>
          <w:szCs w:val="28"/>
          <w:lang w:val="en-US" w:eastAsia="zh-CN" w:bidi="ar-SA"/>
        </w:rPr>
        <w:tab/>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PAGEREF _Toc5747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79</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color w:val="auto"/>
          <w:kern w:val="2"/>
          <w:sz w:val="28"/>
          <w:szCs w:val="28"/>
          <w:highlight w:val="none"/>
          <w:lang w:val="en-US" w:eastAsia="zh-CN" w:bidi="ar-SA"/>
        </w:rPr>
        <w:fldChar w:fldCharType="end"/>
      </w:r>
      <w:bookmarkStart w:id="137" w:name="_GoBack"/>
      <w:bookmarkEnd w:id="137"/>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right="0" w:rightChars="0" w:firstLine="0" w:firstLineChars="0"/>
        <w:jc w:val="both"/>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fldChar w:fldCharType="begin"/>
      </w:r>
      <w:r>
        <w:rPr>
          <w:rFonts w:hint="default" w:ascii="Times New Roman" w:hAnsi="Times New Roman" w:eastAsia="仿宋_GB2312" w:cs="Times New Roman"/>
          <w:color w:val="auto"/>
          <w:kern w:val="2"/>
          <w:sz w:val="28"/>
          <w:szCs w:val="28"/>
          <w:highlight w:val="none"/>
          <w:lang w:val="en-US" w:eastAsia="zh-CN" w:bidi="ar-SA"/>
        </w:rPr>
        <w:instrText xml:space="preserve"> HYPERLINK \l _Toc31581 </w:instrText>
      </w:r>
      <w:r>
        <w:rPr>
          <w:rFonts w:hint="default" w:ascii="Times New Roman" w:hAnsi="Times New Roman" w:eastAsia="仿宋_GB2312" w:cs="Times New Roman"/>
          <w:color w:val="auto"/>
          <w:kern w:val="2"/>
          <w:sz w:val="28"/>
          <w:szCs w:val="28"/>
          <w:highlight w:val="none"/>
          <w:lang w:val="en-US" w:eastAsia="zh-CN" w:bidi="ar-SA"/>
        </w:rPr>
        <w:fldChar w:fldCharType="separate"/>
      </w:r>
      <w:r>
        <w:rPr>
          <w:rFonts w:hint="default" w:ascii="Times New Roman" w:hAnsi="Times New Roman" w:eastAsia="仿宋_GB2312" w:cs="Times New Roman"/>
          <w:bCs w:val="0"/>
          <w:kern w:val="2"/>
          <w:sz w:val="28"/>
          <w:szCs w:val="28"/>
          <w:highlight w:val="none"/>
          <w:lang w:val="en-US" w:eastAsia="zh-CN" w:bidi="ar-SA"/>
        </w:rPr>
        <w:t>八、</w:t>
      </w:r>
      <w:r>
        <w:rPr>
          <w:rFonts w:hint="default" w:ascii="Times New Roman" w:hAnsi="Times New Roman" w:eastAsia="仿宋_GB2312" w:cs="Times New Roman"/>
          <w:kern w:val="2"/>
          <w:sz w:val="28"/>
          <w:szCs w:val="28"/>
          <w:highlight w:val="none"/>
          <w:lang w:val="en-US" w:eastAsia="zh-CN" w:bidi="ar-SA"/>
        </w:rPr>
        <w:t>一</w:t>
      </w:r>
      <w:r>
        <w:rPr>
          <w:rFonts w:hint="default" w:ascii="Times New Roman" w:hAnsi="Times New Roman" w:eastAsia="仿宋_GB2312" w:cs="Times New Roman"/>
          <w:bCs w:val="0"/>
          <w:kern w:val="2"/>
          <w:sz w:val="28"/>
          <w:szCs w:val="28"/>
          <w:highlight w:val="none"/>
          <w:lang w:val="en-US" w:eastAsia="zh-CN" w:bidi="ar-SA"/>
        </w:rPr>
        <w:t>般公共预算财政拨款基本支出决算表</w:t>
      </w:r>
      <w:r>
        <w:rPr>
          <w:rFonts w:hint="default" w:ascii="Times New Roman" w:hAnsi="Times New Roman" w:eastAsia="仿宋_GB2312" w:cs="Times New Roman"/>
          <w:kern w:val="2"/>
          <w:sz w:val="28"/>
          <w:szCs w:val="28"/>
          <w:lang w:val="en-US" w:eastAsia="zh-CN" w:bidi="ar-SA"/>
        </w:rPr>
        <w:tab/>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PAGEREF _Toc31581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79</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color w:val="auto"/>
          <w:kern w:val="2"/>
          <w:sz w:val="28"/>
          <w:szCs w:val="28"/>
          <w:highlight w:val="none"/>
          <w:lang w:val="en-US" w:eastAsia="zh-CN" w:bidi="ar-SA"/>
        </w:rPr>
        <w:fldChar w:fldCharType="end"/>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right="0" w:rightChars="0" w:firstLine="0" w:firstLineChars="0"/>
        <w:jc w:val="both"/>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fldChar w:fldCharType="begin"/>
      </w:r>
      <w:r>
        <w:rPr>
          <w:rFonts w:hint="default" w:ascii="Times New Roman" w:hAnsi="Times New Roman" w:eastAsia="仿宋_GB2312" w:cs="Times New Roman"/>
          <w:color w:val="auto"/>
          <w:kern w:val="2"/>
          <w:sz w:val="28"/>
          <w:szCs w:val="28"/>
          <w:highlight w:val="none"/>
          <w:lang w:val="en-US" w:eastAsia="zh-CN" w:bidi="ar-SA"/>
        </w:rPr>
        <w:instrText xml:space="preserve"> HYPERLINK \l _Toc32616 </w:instrText>
      </w:r>
      <w:r>
        <w:rPr>
          <w:rFonts w:hint="default" w:ascii="Times New Roman" w:hAnsi="Times New Roman" w:eastAsia="仿宋_GB2312" w:cs="Times New Roman"/>
          <w:color w:val="auto"/>
          <w:kern w:val="2"/>
          <w:sz w:val="28"/>
          <w:szCs w:val="28"/>
          <w:highlight w:val="none"/>
          <w:lang w:val="en-US" w:eastAsia="zh-CN" w:bidi="ar-SA"/>
        </w:rPr>
        <w:fldChar w:fldCharType="separate"/>
      </w:r>
      <w:r>
        <w:rPr>
          <w:rFonts w:hint="default" w:ascii="Times New Roman" w:hAnsi="Times New Roman" w:eastAsia="仿宋_GB2312" w:cs="Times New Roman"/>
          <w:bCs w:val="0"/>
          <w:kern w:val="2"/>
          <w:sz w:val="28"/>
          <w:szCs w:val="28"/>
          <w:highlight w:val="none"/>
          <w:lang w:val="en-US" w:eastAsia="zh-CN" w:bidi="ar-SA"/>
        </w:rPr>
        <w:t>九、</w:t>
      </w:r>
      <w:r>
        <w:rPr>
          <w:rFonts w:hint="default" w:ascii="Times New Roman" w:hAnsi="Times New Roman" w:eastAsia="仿宋_GB2312" w:cs="Times New Roman"/>
          <w:kern w:val="2"/>
          <w:sz w:val="28"/>
          <w:szCs w:val="28"/>
          <w:highlight w:val="none"/>
          <w:lang w:val="en-US" w:eastAsia="zh-CN" w:bidi="ar-SA"/>
        </w:rPr>
        <w:t>一</w:t>
      </w:r>
      <w:r>
        <w:rPr>
          <w:rFonts w:hint="default" w:ascii="Times New Roman" w:hAnsi="Times New Roman" w:eastAsia="仿宋_GB2312" w:cs="Times New Roman"/>
          <w:bCs w:val="0"/>
          <w:kern w:val="2"/>
          <w:sz w:val="28"/>
          <w:szCs w:val="28"/>
          <w:highlight w:val="none"/>
          <w:lang w:val="en-US" w:eastAsia="zh-CN" w:bidi="ar-SA"/>
        </w:rPr>
        <w:t>般公共预算财政拨款项目支出决算表</w:t>
      </w:r>
      <w:r>
        <w:rPr>
          <w:rFonts w:hint="default" w:ascii="Times New Roman" w:hAnsi="Times New Roman" w:eastAsia="仿宋_GB2312" w:cs="Times New Roman"/>
          <w:kern w:val="2"/>
          <w:sz w:val="28"/>
          <w:szCs w:val="28"/>
          <w:lang w:val="en-US" w:eastAsia="zh-CN" w:bidi="ar-SA"/>
        </w:rPr>
        <w:tab/>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PAGEREF _Toc32616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79</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color w:val="auto"/>
          <w:kern w:val="2"/>
          <w:sz w:val="28"/>
          <w:szCs w:val="28"/>
          <w:highlight w:val="none"/>
          <w:lang w:val="en-US" w:eastAsia="zh-CN" w:bidi="ar-SA"/>
        </w:rPr>
        <w:fldChar w:fldCharType="end"/>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right="0" w:rightChars="0" w:firstLine="0" w:firstLineChars="0"/>
        <w:jc w:val="both"/>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fldChar w:fldCharType="begin"/>
      </w:r>
      <w:r>
        <w:rPr>
          <w:rFonts w:hint="default" w:ascii="Times New Roman" w:hAnsi="Times New Roman" w:eastAsia="仿宋_GB2312" w:cs="Times New Roman"/>
          <w:color w:val="auto"/>
          <w:kern w:val="2"/>
          <w:sz w:val="28"/>
          <w:szCs w:val="28"/>
          <w:highlight w:val="none"/>
          <w:lang w:val="en-US" w:eastAsia="zh-CN" w:bidi="ar-SA"/>
        </w:rPr>
        <w:instrText xml:space="preserve"> HYPERLINK \l _Toc2720 </w:instrText>
      </w:r>
      <w:r>
        <w:rPr>
          <w:rFonts w:hint="default" w:ascii="Times New Roman" w:hAnsi="Times New Roman" w:eastAsia="仿宋_GB2312" w:cs="Times New Roman"/>
          <w:color w:val="auto"/>
          <w:kern w:val="2"/>
          <w:sz w:val="28"/>
          <w:szCs w:val="28"/>
          <w:highlight w:val="none"/>
          <w:lang w:val="en-US" w:eastAsia="zh-CN" w:bidi="ar-SA"/>
        </w:rPr>
        <w:fldChar w:fldCharType="separate"/>
      </w:r>
      <w:r>
        <w:rPr>
          <w:rFonts w:hint="default" w:ascii="Times New Roman" w:hAnsi="Times New Roman" w:eastAsia="仿宋_GB2312" w:cs="Times New Roman"/>
          <w:bCs w:val="0"/>
          <w:kern w:val="2"/>
          <w:sz w:val="28"/>
          <w:szCs w:val="28"/>
          <w:highlight w:val="none"/>
          <w:lang w:val="en-US" w:eastAsia="zh-CN" w:bidi="ar-SA"/>
        </w:rPr>
        <w:t>十、</w:t>
      </w:r>
      <w:r>
        <w:rPr>
          <w:rFonts w:hint="default" w:ascii="Times New Roman" w:hAnsi="Times New Roman" w:eastAsia="仿宋_GB2312" w:cs="Times New Roman"/>
          <w:kern w:val="2"/>
          <w:sz w:val="28"/>
          <w:szCs w:val="28"/>
          <w:highlight w:val="none"/>
          <w:lang w:val="en-US" w:eastAsia="zh-CN" w:bidi="ar-SA"/>
        </w:rPr>
        <w:t>一</w:t>
      </w:r>
      <w:r>
        <w:rPr>
          <w:rFonts w:hint="default" w:ascii="Times New Roman" w:hAnsi="Times New Roman" w:eastAsia="仿宋_GB2312" w:cs="Times New Roman"/>
          <w:bCs w:val="0"/>
          <w:kern w:val="2"/>
          <w:sz w:val="28"/>
          <w:szCs w:val="28"/>
          <w:highlight w:val="none"/>
          <w:lang w:val="en-US" w:eastAsia="zh-CN" w:bidi="ar-SA"/>
        </w:rPr>
        <w:t>般公共预算财政拨款“三公”经费支出决算表</w:t>
      </w:r>
      <w:r>
        <w:rPr>
          <w:rFonts w:hint="default" w:ascii="Times New Roman" w:hAnsi="Times New Roman" w:eastAsia="仿宋_GB2312" w:cs="Times New Roman"/>
          <w:kern w:val="2"/>
          <w:sz w:val="28"/>
          <w:szCs w:val="28"/>
          <w:lang w:val="en-US" w:eastAsia="zh-CN" w:bidi="ar-SA"/>
        </w:rPr>
        <w:tab/>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PAGEREF _Toc2720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79</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color w:val="auto"/>
          <w:kern w:val="2"/>
          <w:sz w:val="28"/>
          <w:szCs w:val="28"/>
          <w:highlight w:val="none"/>
          <w:lang w:val="en-US" w:eastAsia="zh-CN" w:bidi="ar-SA"/>
        </w:rPr>
        <w:fldChar w:fldCharType="end"/>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right="0" w:rightChars="0" w:firstLine="0" w:firstLineChars="0"/>
        <w:jc w:val="both"/>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fldChar w:fldCharType="begin"/>
      </w:r>
      <w:r>
        <w:rPr>
          <w:rFonts w:hint="default" w:ascii="Times New Roman" w:hAnsi="Times New Roman" w:eastAsia="仿宋_GB2312" w:cs="Times New Roman"/>
          <w:color w:val="auto"/>
          <w:kern w:val="2"/>
          <w:sz w:val="28"/>
          <w:szCs w:val="28"/>
          <w:highlight w:val="none"/>
          <w:lang w:val="en-US" w:eastAsia="zh-CN" w:bidi="ar-SA"/>
        </w:rPr>
        <w:instrText xml:space="preserve"> HYPERLINK \l _Toc21474 </w:instrText>
      </w:r>
      <w:r>
        <w:rPr>
          <w:rFonts w:hint="default" w:ascii="Times New Roman" w:hAnsi="Times New Roman" w:eastAsia="仿宋_GB2312" w:cs="Times New Roman"/>
          <w:color w:val="auto"/>
          <w:kern w:val="2"/>
          <w:sz w:val="28"/>
          <w:szCs w:val="28"/>
          <w:highlight w:val="none"/>
          <w:lang w:val="en-US" w:eastAsia="zh-CN" w:bidi="ar-SA"/>
        </w:rPr>
        <w:fldChar w:fldCharType="separate"/>
      </w:r>
      <w:r>
        <w:rPr>
          <w:rFonts w:hint="default" w:ascii="Times New Roman" w:hAnsi="Times New Roman" w:eastAsia="仿宋_GB2312" w:cs="Times New Roman"/>
          <w:bCs w:val="0"/>
          <w:kern w:val="2"/>
          <w:sz w:val="28"/>
          <w:szCs w:val="28"/>
          <w:highlight w:val="none"/>
          <w:lang w:val="en-US" w:eastAsia="zh-CN" w:bidi="ar-SA"/>
        </w:rPr>
        <w:t>十一、</w:t>
      </w:r>
      <w:r>
        <w:rPr>
          <w:rFonts w:hint="default" w:ascii="Times New Roman" w:hAnsi="Times New Roman" w:eastAsia="仿宋_GB2312" w:cs="Times New Roman"/>
          <w:kern w:val="2"/>
          <w:sz w:val="28"/>
          <w:szCs w:val="28"/>
          <w:highlight w:val="none"/>
          <w:lang w:val="en-US" w:eastAsia="zh-CN" w:bidi="ar-SA"/>
        </w:rPr>
        <w:t>政</w:t>
      </w:r>
      <w:r>
        <w:rPr>
          <w:rFonts w:hint="default" w:ascii="Times New Roman" w:hAnsi="Times New Roman" w:eastAsia="仿宋_GB2312" w:cs="Times New Roman"/>
          <w:bCs w:val="0"/>
          <w:kern w:val="2"/>
          <w:sz w:val="28"/>
          <w:szCs w:val="28"/>
          <w:highlight w:val="none"/>
          <w:lang w:val="en-US" w:eastAsia="zh-CN" w:bidi="ar-SA"/>
        </w:rPr>
        <w:t>府性基金预算财政拨款收入支出决算表</w:t>
      </w:r>
      <w:r>
        <w:rPr>
          <w:rFonts w:hint="default" w:ascii="Times New Roman" w:hAnsi="Times New Roman" w:eastAsia="仿宋_GB2312" w:cs="Times New Roman"/>
          <w:kern w:val="2"/>
          <w:sz w:val="28"/>
          <w:szCs w:val="28"/>
          <w:lang w:val="en-US" w:eastAsia="zh-CN" w:bidi="ar-SA"/>
        </w:rPr>
        <w:tab/>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PAGEREF _Toc21474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79</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color w:val="auto"/>
          <w:kern w:val="2"/>
          <w:sz w:val="28"/>
          <w:szCs w:val="28"/>
          <w:highlight w:val="none"/>
          <w:lang w:val="en-US" w:eastAsia="zh-CN" w:bidi="ar-SA"/>
        </w:rPr>
        <w:fldChar w:fldCharType="end"/>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right="0" w:rightChars="0" w:firstLine="0" w:firstLineChars="0"/>
        <w:jc w:val="both"/>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fldChar w:fldCharType="begin"/>
      </w:r>
      <w:r>
        <w:rPr>
          <w:rFonts w:hint="default" w:ascii="Times New Roman" w:hAnsi="Times New Roman" w:eastAsia="仿宋_GB2312" w:cs="Times New Roman"/>
          <w:color w:val="auto"/>
          <w:kern w:val="2"/>
          <w:sz w:val="28"/>
          <w:szCs w:val="28"/>
          <w:highlight w:val="none"/>
          <w:lang w:val="en-US" w:eastAsia="zh-CN" w:bidi="ar-SA"/>
        </w:rPr>
        <w:instrText xml:space="preserve"> HYPERLINK \l _Toc25742 </w:instrText>
      </w:r>
      <w:r>
        <w:rPr>
          <w:rFonts w:hint="default" w:ascii="Times New Roman" w:hAnsi="Times New Roman" w:eastAsia="仿宋_GB2312" w:cs="Times New Roman"/>
          <w:color w:val="auto"/>
          <w:kern w:val="2"/>
          <w:sz w:val="28"/>
          <w:szCs w:val="28"/>
          <w:highlight w:val="none"/>
          <w:lang w:val="en-US" w:eastAsia="zh-CN" w:bidi="ar-SA"/>
        </w:rPr>
        <w:fldChar w:fldCharType="separate"/>
      </w:r>
      <w:r>
        <w:rPr>
          <w:rFonts w:hint="default" w:ascii="Times New Roman" w:hAnsi="Times New Roman" w:eastAsia="仿宋_GB2312" w:cs="Times New Roman"/>
          <w:bCs w:val="0"/>
          <w:kern w:val="2"/>
          <w:sz w:val="28"/>
          <w:szCs w:val="28"/>
          <w:highlight w:val="none"/>
          <w:lang w:val="en-US" w:eastAsia="zh-CN" w:bidi="ar-SA"/>
        </w:rPr>
        <w:t>十二、</w:t>
      </w:r>
      <w:r>
        <w:rPr>
          <w:rFonts w:hint="default" w:ascii="Times New Roman" w:hAnsi="Times New Roman" w:eastAsia="仿宋_GB2312" w:cs="Times New Roman"/>
          <w:kern w:val="2"/>
          <w:sz w:val="28"/>
          <w:szCs w:val="28"/>
          <w:highlight w:val="none"/>
          <w:lang w:val="en-US" w:eastAsia="zh-CN" w:bidi="ar-SA"/>
        </w:rPr>
        <w:t>政</w:t>
      </w:r>
      <w:r>
        <w:rPr>
          <w:rFonts w:hint="default" w:ascii="Times New Roman" w:hAnsi="Times New Roman" w:eastAsia="仿宋_GB2312" w:cs="Times New Roman"/>
          <w:bCs w:val="0"/>
          <w:kern w:val="2"/>
          <w:sz w:val="28"/>
          <w:szCs w:val="28"/>
          <w:highlight w:val="none"/>
          <w:lang w:val="en-US" w:eastAsia="zh-CN" w:bidi="ar-SA"/>
        </w:rPr>
        <w:t>府性基金预算财政拨款“三公”经费支出决算表</w:t>
      </w:r>
      <w:r>
        <w:rPr>
          <w:rFonts w:hint="default" w:ascii="Times New Roman" w:hAnsi="Times New Roman" w:eastAsia="仿宋_GB2312" w:cs="Times New Roman"/>
          <w:kern w:val="2"/>
          <w:sz w:val="28"/>
          <w:szCs w:val="28"/>
          <w:lang w:val="en-US" w:eastAsia="zh-CN" w:bidi="ar-SA"/>
        </w:rPr>
        <w:tab/>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PAGEREF _Toc25742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79</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color w:val="auto"/>
          <w:kern w:val="2"/>
          <w:sz w:val="28"/>
          <w:szCs w:val="28"/>
          <w:highlight w:val="none"/>
          <w:lang w:val="en-US" w:eastAsia="zh-CN" w:bidi="ar-SA"/>
        </w:rPr>
        <w:fldChar w:fldCharType="end"/>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right="0" w:rightChars="0" w:firstLine="0" w:firstLineChars="0"/>
        <w:jc w:val="both"/>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fldChar w:fldCharType="begin"/>
      </w:r>
      <w:r>
        <w:rPr>
          <w:rFonts w:hint="default" w:ascii="Times New Roman" w:hAnsi="Times New Roman" w:eastAsia="仿宋_GB2312" w:cs="Times New Roman"/>
          <w:color w:val="auto"/>
          <w:kern w:val="2"/>
          <w:sz w:val="28"/>
          <w:szCs w:val="28"/>
          <w:highlight w:val="none"/>
          <w:lang w:val="en-US" w:eastAsia="zh-CN" w:bidi="ar-SA"/>
        </w:rPr>
        <w:instrText xml:space="preserve"> HYPERLINK \l _Toc9632 </w:instrText>
      </w:r>
      <w:r>
        <w:rPr>
          <w:rFonts w:hint="default" w:ascii="Times New Roman" w:hAnsi="Times New Roman" w:eastAsia="仿宋_GB2312" w:cs="Times New Roman"/>
          <w:color w:val="auto"/>
          <w:kern w:val="2"/>
          <w:sz w:val="28"/>
          <w:szCs w:val="28"/>
          <w:highlight w:val="none"/>
          <w:lang w:val="en-US" w:eastAsia="zh-CN" w:bidi="ar-SA"/>
        </w:rPr>
        <w:fldChar w:fldCharType="separate"/>
      </w:r>
      <w:r>
        <w:rPr>
          <w:rFonts w:hint="default" w:ascii="Times New Roman" w:hAnsi="Times New Roman" w:eastAsia="仿宋_GB2312" w:cs="Times New Roman"/>
          <w:bCs w:val="0"/>
          <w:kern w:val="2"/>
          <w:sz w:val="28"/>
          <w:szCs w:val="28"/>
          <w:highlight w:val="none"/>
          <w:lang w:val="en-US" w:eastAsia="zh-CN" w:bidi="ar-SA"/>
        </w:rPr>
        <w:t>十三、</w:t>
      </w:r>
      <w:r>
        <w:rPr>
          <w:rFonts w:hint="default" w:ascii="Times New Roman" w:hAnsi="Times New Roman" w:eastAsia="仿宋_GB2312" w:cs="Times New Roman"/>
          <w:kern w:val="2"/>
          <w:sz w:val="28"/>
          <w:szCs w:val="28"/>
          <w:highlight w:val="none"/>
          <w:lang w:val="en-US" w:eastAsia="zh-CN" w:bidi="ar-SA"/>
        </w:rPr>
        <w:t>国</w:t>
      </w:r>
      <w:r>
        <w:rPr>
          <w:rFonts w:hint="default" w:ascii="Times New Roman" w:hAnsi="Times New Roman" w:eastAsia="仿宋_GB2312" w:cs="Times New Roman"/>
          <w:bCs w:val="0"/>
          <w:kern w:val="2"/>
          <w:sz w:val="28"/>
          <w:szCs w:val="28"/>
          <w:highlight w:val="none"/>
          <w:lang w:val="en-US" w:eastAsia="zh-CN" w:bidi="ar-SA"/>
        </w:rPr>
        <w:t>有资本经营预算财政拨款收入支出决算表</w:t>
      </w:r>
      <w:r>
        <w:rPr>
          <w:rFonts w:hint="default" w:ascii="Times New Roman" w:hAnsi="Times New Roman" w:eastAsia="仿宋_GB2312" w:cs="Times New Roman"/>
          <w:kern w:val="2"/>
          <w:sz w:val="28"/>
          <w:szCs w:val="28"/>
          <w:lang w:val="en-US" w:eastAsia="zh-CN" w:bidi="ar-SA"/>
        </w:rPr>
        <w:tab/>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PAGEREF _Toc9632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79</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color w:val="auto"/>
          <w:kern w:val="2"/>
          <w:sz w:val="28"/>
          <w:szCs w:val="28"/>
          <w:highlight w:val="none"/>
          <w:lang w:val="en-US" w:eastAsia="zh-CN" w:bidi="ar-SA"/>
        </w:rPr>
        <w:fldChar w:fldCharType="end"/>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right="0" w:rightChars="0" w:firstLine="0" w:firstLineChars="0"/>
        <w:jc w:val="both"/>
        <w:textAlignment w:val="auto"/>
        <w:outlineLvl w:val="9"/>
        <w:rPr>
          <w:rFonts w:hint="default" w:ascii="Times New Roman" w:hAnsi="Times New Roman" w:eastAsia="宋体" w:cs="Times New Roman"/>
          <w:kern w:val="2"/>
          <w:szCs w:val="24"/>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fldChar w:fldCharType="begin"/>
      </w:r>
      <w:r>
        <w:rPr>
          <w:rFonts w:hint="default" w:ascii="Times New Roman" w:hAnsi="Times New Roman" w:eastAsia="仿宋_GB2312" w:cs="Times New Roman"/>
          <w:color w:val="auto"/>
          <w:kern w:val="2"/>
          <w:sz w:val="28"/>
          <w:szCs w:val="28"/>
          <w:highlight w:val="none"/>
          <w:lang w:val="en-US" w:eastAsia="zh-CN" w:bidi="ar-SA"/>
        </w:rPr>
        <w:instrText xml:space="preserve"> HYPERLINK \l _Toc8153 </w:instrText>
      </w:r>
      <w:r>
        <w:rPr>
          <w:rFonts w:hint="default" w:ascii="Times New Roman" w:hAnsi="Times New Roman" w:eastAsia="仿宋_GB2312" w:cs="Times New Roman"/>
          <w:color w:val="auto"/>
          <w:kern w:val="2"/>
          <w:sz w:val="28"/>
          <w:szCs w:val="28"/>
          <w:highlight w:val="none"/>
          <w:lang w:val="en-US" w:eastAsia="zh-CN" w:bidi="ar-SA"/>
        </w:rPr>
        <w:fldChar w:fldCharType="separate"/>
      </w:r>
      <w:r>
        <w:rPr>
          <w:rFonts w:hint="default" w:ascii="Times New Roman" w:hAnsi="Times New Roman" w:eastAsia="仿宋_GB2312" w:cs="Times New Roman"/>
          <w:bCs w:val="0"/>
          <w:kern w:val="2"/>
          <w:sz w:val="28"/>
          <w:szCs w:val="28"/>
          <w:highlight w:val="none"/>
          <w:lang w:val="en-US" w:eastAsia="zh-CN" w:bidi="ar-SA"/>
        </w:rPr>
        <w:t>十四、国有资本经营预算财政拨款支出决算表</w:t>
      </w:r>
      <w:r>
        <w:rPr>
          <w:rFonts w:hint="default" w:ascii="Times New Roman" w:hAnsi="Times New Roman" w:eastAsia="仿宋_GB2312" w:cs="Times New Roman"/>
          <w:kern w:val="2"/>
          <w:sz w:val="28"/>
          <w:szCs w:val="28"/>
          <w:lang w:val="en-US" w:eastAsia="zh-CN" w:bidi="ar-SA"/>
        </w:rPr>
        <w:tab/>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PAGEREF _Toc8153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79</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color w:val="auto"/>
          <w:kern w:val="2"/>
          <w:sz w:val="28"/>
          <w:szCs w:val="28"/>
          <w:highlight w:val="none"/>
          <w:lang w:val="en-US" w:eastAsia="zh-CN" w:bidi="ar-SA"/>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val="0"/>
        <w:snapToGrid w:val="0"/>
        <w:spacing w:line="540" w:lineRule="exact"/>
        <w:ind w:right="0" w:rightChars="0"/>
        <w:jc w:val="left"/>
        <w:textAlignment w:val="auto"/>
        <w:outlineLvl w:val="9"/>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color w:val="auto"/>
          <w:kern w:val="2"/>
          <w:szCs w:val="32"/>
          <w:highlight w:val="none"/>
          <w:lang w:val="en-US" w:eastAsia="zh-CN" w:bidi="ar-SA"/>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val="0"/>
        <w:snapToGrid w:val="0"/>
        <w:spacing w:line="540" w:lineRule="exact"/>
        <w:ind w:right="0" w:rightChars="0"/>
        <w:jc w:val="left"/>
        <w:textAlignment w:val="auto"/>
        <w:outlineLvl w:val="9"/>
        <w:rPr>
          <w:rFonts w:hint="default" w:ascii="Times New Roman" w:hAnsi="Times New Roman" w:eastAsia="仿宋" w:cs="Times New Roman"/>
          <w:bCs/>
          <w:color w:val="auto"/>
          <w:kern w:val="44"/>
          <w:sz w:val="24"/>
          <w:highlight w:val="none"/>
        </w:rPr>
      </w:pPr>
      <w:r>
        <w:rPr>
          <w:rFonts w:hint="default" w:ascii="Times New Roman" w:hAnsi="Times New Roman" w:eastAsia="仿宋" w:cs="Times New Roman"/>
          <w:b/>
          <w:color w:val="auto"/>
          <w:sz w:val="32"/>
          <w:szCs w:val="32"/>
          <w:highlight w:val="none"/>
        </w:rPr>
        <w:br w:type="page"/>
      </w:r>
    </w:p>
    <w:p>
      <w:pPr>
        <w:pStyle w:val="3"/>
        <w:pageBreakBefore w:val="0"/>
        <w:kinsoku/>
        <w:wordWrap/>
        <w:overflowPunct/>
        <w:topLinePunct w:val="0"/>
        <w:bidi w:val="0"/>
        <w:spacing w:after="0" w:line="540" w:lineRule="exact"/>
        <w:jc w:val="center"/>
        <w:rPr>
          <w:rStyle w:val="39"/>
          <w:rFonts w:hint="default" w:ascii="Times New Roman" w:hAnsi="Times New Roman" w:eastAsia="黑体" w:cs="Times New Roman"/>
          <w:b/>
          <w:bCs w:val="0"/>
          <w:color w:val="auto"/>
          <w:highlight w:val="none"/>
        </w:rPr>
      </w:pPr>
      <w:bookmarkStart w:id="16" w:name="_Toc8455"/>
      <w:r>
        <w:rPr>
          <w:rFonts w:hint="default" w:ascii="Times New Roman" w:hAnsi="Times New Roman" w:eastAsia="黑体" w:cs="Times New Roman"/>
          <w:b w:val="0"/>
          <w:color w:val="auto"/>
          <w:highlight w:val="none"/>
        </w:rPr>
        <w:t xml:space="preserve">第一部分 </w:t>
      </w:r>
      <w:r>
        <w:rPr>
          <w:rStyle w:val="39"/>
          <w:rFonts w:hint="default" w:ascii="Times New Roman" w:hAnsi="Times New Roman" w:eastAsia="黑体" w:cs="Times New Roman"/>
          <w:b w:val="0"/>
          <w:bCs w:val="0"/>
          <w:color w:val="auto"/>
          <w:highlight w:val="none"/>
        </w:rPr>
        <w:t>部门概况</w:t>
      </w:r>
      <w:bookmarkEnd w:id="14"/>
      <w:bookmarkEnd w:id="15"/>
      <w:bookmarkEnd w:id="16"/>
    </w:p>
    <w:p>
      <w:pPr>
        <w:pStyle w:val="4"/>
        <w:pageBreakBefore w:val="0"/>
        <w:kinsoku/>
        <w:wordWrap/>
        <w:overflowPunct/>
        <w:topLinePunct w:val="0"/>
        <w:bidi w:val="0"/>
        <w:spacing w:after="0" w:line="540" w:lineRule="exact"/>
        <w:rPr>
          <w:rStyle w:val="40"/>
          <w:rFonts w:hint="default" w:ascii="Times New Roman" w:hAnsi="Times New Roman" w:eastAsia="仿宋" w:cs="Times New Roman"/>
          <w:b w:val="0"/>
          <w:bCs w:val="0"/>
          <w:color w:val="auto"/>
          <w:highlight w:val="none"/>
        </w:rPr>
      </w:pPr>
      <w:bookmarkStart w:id="17" w:name="_Toc15396600"/>
      <w:bookmarkStart w:id="18" w:name="_Toc23777"/>
      <w:bookmarkStart w:id="19" w:name="_Toc15377197"/>
      <w:r>
        <w:rPr>
          <w:rFonts w:hint="default" w:ascii="Times New Roman" w:hAnsi="Times New Roman" w:eastAsia="黑体" w:cs="Times New Roman"/>
          <w:b w:val="0"/>
          <w:color w:val="auto"/>
          <w:highlight w:val="none"/>
        </w:rPr>
        <w:t>一、基</w:t>
      </w:r>
      <w:r>
        <w:rPr>
          <w:rStyle w:val="40"/>
          <w:rFonts w:hint="default" w:ascii="Times New Roman" w:hAnsi="Times New Roman" w:eastAsia="黑体" w:cs="Times New Roman"/>
          <w:b w:val="0"/>
          <w:bCs w:val="0"/>
          <w:color w:val="auto"/>
          <w:highlight w:val="none"/>
        </w:rPr>
        <w:t>本职能及主要工作</w:t>
      </w:r>
      <w:bookmarkEnd w:id="17"/>
      <w:bookmarkEnd w:id="18"/>
      <w:bookmarkEnd w:id="19"/>
    </w:p>
    <w:p>
      <w:pPr>
        <w:pStyle w:val="10"/>
        <w:pageBreakBefore w:val="0"/>
        <w:kinsoku/>
        <w:wordWrap/>
        <w:overflowPunct/>
        <w:topLinePunct w:val="0"/>
        <w:bidi w:val="0"/>
        <w:adjustRightInd w:val="0"/>
        <w:snapToGrid w:val="0"/>
        <w:spacing w:before="93" w:line="540" w:lineRule="exact"/>
        <w:ind w:firstLine="672" w:firstLineChars="210"/>
        <w:outlineLvl w:val="2"/>
        <w:rPr>
          <w:rFonts w:hint="default" w:ascii="Times New Roman" w:hAnsi="Times New Roman" w:eastAsia="楷体_GB2312" w:cs="Times New Roman"/>
          <w:bCs/>
          <w:color w:val="auto"/>
          <w:sz w:val="32"/>
          <w:szCs w:val="32"/>
          <w:highlight w:val="none"/>
        </w:rPr>
      </w:pPr>
      <w:bookmarkStart w:id="20" w:name="_Toc15378445"/>
      <w:bookmarkStart w:id="21" w:name="_Toc8884"/>
      <w:bookmarkStart w:id="22" w:name="_Toc15377198"/>
      <w:r>
        <w:rPr>
          <w:rFonts w:hint="default" w:ascii="Times New Roman" w:hAnsi="Times New Roman" w:eastAsia="楷体_GB2312" w:cs="Times New Roman"/>
          <w:bCs/>
          <w:color w:val="auto"/>
          <w:sz w:val="32"/>
          <w:szCs w:val="32"/>
          <w:highlight w:val="none"/>
        </w:rPr>
        <w:t>（一）主要职能</w:t>
      </w:r>
      <w:bookmarkEnd w:id="20"/>
      <w:bookmarkEnd w:id="21"/>
      <w:bookmarkEnd w:id="22"/>
    </w:p>
    <w:p>
      <w:pPr>
        <w:pageBreakBefore w:val="0"/>
        <w:kinsoku/>
        <w:wordWrap/>
        <w:overflowPunct/>
        <w:topLinePunct w:val="0"/>
        <w:bidi w:val="0"/>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贯彻实施国家有关国民经济和社会发展、经济体制改革的方针、政策和法律、法规。拟订全省有关国民经济和社会发展、经济体制改革的地方性法规、规章草案，负责本系统、本部门依法行政工作，落实行政执法责任制。</w:t>
      </w:r>
    </w:p>
    <w:p>
      <w:pPr>
        <w:pageBreakBefore w:val="0"/>
        <w:kinsoku/>
        <w:wordWrap/>
        <w:overflowPunct/>
        <w:topLinePunct w:val="0"/>
        <w:bidi w:val="0"/>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负责拟订并组织实施全省国民经济和社会发展战略、中长期规划和年度计划，统筹协调全省经济社会发展，研究分析宏观经济形势，提出全省经济社会发展、经济结构优化、价格总水平调控目标和政策建议。受省政府委托向省人大提交国民经济和社会发展计划报告。</w:t>
      </w:r>
    </w:p>
    <w:p>
      <w:pPr>
        <w:pageBreakBefore w:val="0"/>
        <w:kinsoku/>
        <w:wordWrap/>
        <w:overflowPunct/>
        <w:topLinePunct w:val="0"/>
        <w:bidi w:val="0"/>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负责监测宏观经济和社会发展态势，承担预测预警和信息引导的责任，研究宏观调控重大问题并提出政策建议，搞好总量平衡，综合协调经济社会发展中的重大问题。负责省级以上开发区的指导、协调和宏观管理。</w:t>
      </w:r>
    </w:p>
    <w:p>
      <w:pPr>
        <w:pageBreakBefore w:val="0"/>
        <w:kinsoku/>
        <w:wordWrap/>
        <w:overflowPunct/>
        <w:topLinePunct w:val="0"/>
        <w:bidi w:val="0"/>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负责汇总分析全省财政、金融等方面情况，参与制订财政、金融、土地政策，综合分析政策执行效果，负责全省全口径外债</w:t>
      </w:r>
      <w:r>
        <w:rPr>
          <w:rFonts w:hint="eastAsia" w:eastAsia="仿宋_GB2312" w:cs="Times New Roman"/>
          <w:color w:val="auto"/>
          <w:sz w:val="32"/>
          <w:szCs w:val="32"/>
          <w:highlight w:val="none"/>
          <w:lang w:val="en-US" w:eastAsia="zh-CN"/>
        </w:rPr>
        <w:t>管理有关工作</w:t>
      </w:r>
      <w:r>
        <w:rPr>
          <w:rFonts w:hint="default" w:ascii="Times New Roman" w:hAnsi="Times New Roman" w:eastAsia="仿宋_GB2312" w:cs="Times New Roman"/>
          <w:color w:val="auto"/>
          <w:sz w:val="32"/>
          <w:szCs w:val="32"/>
          <w:highlight w:val="none"/>
        </w:rPr>
        <w:t>，提出多渠道融资的政策建议，综合协调财政、金融、价格和产业政策等经济杠杆，保证全省国民经济计划和发展规划的实施。</w:t>
      </w:r>
    </w:p>
    <w:p>
      <w:pPr>
        <w:pageBreakBefore w:val="0"/>
        <w:kinsoku/>
        <w:wordWrap/>
        <w:overflowPunct/>
        <w:topLinePunct w:val="0"/>
        <w:bidi w:val="0"/>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承担指导推进和综合协调全省经济体制改革的责任，研究经济体制改革和对外开放的重大问题，组织拟订综合性经济体制改革方案，协调有关专项经济体制改革方案，会同有关部门搞好重要专项经济体制改革之间的衔接，指导经济体制改革试点和改革试验区工作。</w:t>
      </w:r>
    </w:p>
    <w:p>
      <w:pPr>
        <w:pageBreakBefore w:val="0"/>
        <w:kinsoku/>
        <w:wordWrap/>
        <w:overflowPunct/>
        <w:topLinePunct w:val="0"/>
        <w:bidi w:val="0"/>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贯彻实施国家和省价格法律、法规和方针、政策，编制和执行价格调整改革规划，提出年度价格总水平调控目标及价格调控措施并组织实施，管理国家、省列名管理的商品和服务价格，承担行政事业性收费管理工作，负责全省价格成本调查监审、价格监测、价格认证等工作。</w:t>
      </w:r>
    </w:p>
    <w:p>
      <w:pPr>
        <w:pageBreakBefore w:val="0"/>
        <w:kinsoku/>
        <w:wordWrap/>
        <w:overflowPunct/>
        <w:topLinePunct w:val="0"/>
        <w:bidi w:val="0"/>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负责全省投资宏观管理和协调推进重大项目建设。拟订全社会固定资产投资总规模和投资结构的调控目标、政策及措施，安排省级预算内基本建设资金，按规定权限审批、核准、备案或转报固定资产投资项目（企业技术改造项目除外）和资源开发利用、外资、境外投资项目。引导民间投资方向，研究提出利用外资和境外投资的规划、总量平衡和结构优化的目标和政策，指导和协调国外贷款项目实施。</w:t>
      </w:r>
    </w:p>
    <w:p>
      <w:pPr>
        <w:pageBreakBefore w:val="0"/>
        <w:kinsoku/>
        <w:wordWrap/>
        <w:overflowPunct/>
        <w:topLinePunct w:val="0"/>
        <w:bidi w:val="0"/>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推进经济结构战略性调整。组织拟订全省综合性产业政策，负责协调第一、二、三产业发展的重大问题，衔接平衡相关发展规划和重大政策，拟订重大产业发展规划，引导全省重大生产力合理布局，协调推进全省重大技术装备推广应用和重大产业基地建设，会同有关部门拟订服务业、现代物流业发展战略、规划和重大政策。组织拟订高技术产业发展、产业技术进步的战略、规划和重大政策，指导全省自主创新体系建设发展。</w:t>
      </w:r>
    </w:p>
    <w:p>
      <w:pPr>
        <w:pageBreakBefore w:val="0"/>
        <w:kinsoku/>
        <w:wordWrap/>
        <w:overflowPunct/>
        <w:topLinePunct w:val="0"/>
        <w:bidi w:val="0"/>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促进城乡区域协调发展。组织拟订区域协调发展战略、规划和重大政策，研究提出城镇化发展战略，负责地区经济协作的统筹协调。</w:t>
      </w:r>
    </w:p>
    <w:p>
      <w:pPr>
        <w:pageBreakBefore w:val="0"/>
        <w:kinsoku/>
        <w:wordWrap/>
        <w:overflowPunct/>
        <w:topLinePunct w:val="0"/>
        <w:bidi w:val="0"/>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负责重要商品总量平衡和宏观调控。研究分析省内外市场和对外贸易运行情况，会同有关部门管理重要物资的省级储备工作。</w:t>
      </w:r>
    </w:p>
    <w:p>
      <w:pPr>
        <w:pageBreakBefore w:val="0"/>
        <w:kinsoku/>
        <w:wordWrap/>
        <w:overflowPunct/>
        <w:topLinePunct w:val="0"/>
        <w:bidi w:val="0"/>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11.</w:t>
      </w:r>
      <w:r>
        <w:rPr>
          <w:rFonts w:hint="default" w:ascii="Times New Roman" w:hAnsi="Times New Roman" w:eastAsia="仿宋_GB2312" w:cs="Times New Roman"/>
          <w:color w:val="auto"/>
          <w:sz w:val="32"/>
          <w:szCs w:val="32"/>
          <w:highlight w:val="none"/>
        </w:rPr>
        <w:t>负责全省社会发展与国民经济发展的政策衔接，组织拟订社会发展战略、总体规划和年度计划，研究提出促进就业、调整收入分配、完善社会保障与经济协调发展的政策建议，协调社会事业发展中的重大问题及政策。</w:t>
      </w:r>
    </w:p>
    <w:p>
      <w:pPr>
        <w:pageBreakBefore w:val="0"/>
        <w:kinsoku/>
        <w:wordWrap/>
        <w:overflowPunct/>
        <w:topLinePunct w:val="0"/>
        <w:bidi w:val="0"/>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12.</w:t>
      </w:r>
      <w:r>
        <w:rPr>
          <w:rFonts w:hint="default" w:ascii="Times New Roman" w:hAnsi="Times New Roman" w:eastAsia="仿宋_GB2312" w:cs="Times New Roman"/>
          <w:color w:val="auto"/>
          <w:sz w:val="32"/>
          <w:szCs w:val="32"/>
          <w:highlight w:val="none"/>
        </w:rPr>
        <w:t>推进可持续发展，负责全省节能的综合协调工作，组织拟订并协调实施全省发展循环经济、能源资源节约和综合利用规划及政策措施，参与编制生态建设规划，协调生态建设、能源资源节约和综合利用的重大问题，综合协调环保产业和清洁生产促进有关工作。</w:t>
      </w:r>
    </w:p>
    <w:p>
      <w:pPr>
        <w:pageBreakBefore w:val="0"/>
        <w:kinsoku/>
        <w:wordWrap/>
        <w:overflowPunct/>
        <w:topLinePunct w:val="0"/>
        <w:bidi w:val="0"/>
        <w:snapToGrid w:val="0"/>
        <w:spacing w:line="540" w:lineRule="exact"/>
        <w:ind w:firstLine="640" w:firstLineChars="200"/>
        <w:rPr>
          <w:rFonts w:hint="eastAsia"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13.</w:t>
      </w:r>
      <w:r>
        <w:rPr>
          <w:rFonts w:hint="default" w:ascii="Times New Roman" w:hAnsi="Times New Roman" w:eastAsia="仿宋_GB2312" w:cs="Times New Roman"/>
          <w:color w:val="auto"/>
          <w:sz w:val="32"/>
          <w:szCs w:val="32"/>
          <w:highlight w:val="none"/>
        </w:rPr>
        <w:t>会同有关部门拟订民族地区、革命老区、贫困地区经济发展规划，会同有关部门制定加快民族地区、革命老区、贫困地区经济发展的重大政策，协调推进重大项目建设</w:t>
      </w:r>
      <w:r>
        <w:rPr>
          <w:rFonts w:hint="eastAsia" w:eastAsia="仿宋_GB2312" w:cs="Times New Roman"/>
          <w:color w:val="auto"/>
          <w:sz w:val="32"/>
          <w:szCs w:val="32"/>
          <w:highlight w:val="none"/>
          <w:lang w:eastAsia="zh-CN"/>
        </w:rPr>
        <w:t>。</w:t>
      </w:r>
    </w:p>
    <w:p>
      <w:pPr>
        <w:pageBreakBefore w:val="0"/>
        <w:kinsoku/>
        <w:wordWrap/>
        <w:overflowPunct/>
        <w:topLinePunct w:val="0"/>
        <w:bidi w:val="0"/>
        <w:snapToGrid w:val="0"/>
        <w:spacing w:line="540" w:lineRule="exact"/>
        <w:ind w:firstLine="640" w:firstLineChars="200"/>
        <w:rPr>
          <w:rFonts w:hint="eastAsia"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14.</w:t>
      </w:r>
      <w:r>
        <w:rPr>
          <w:rFonts w:hint="default" w:ascii="Times New Roman" w:hAnsi="Times New Roman" w:eastAsia="仿宋_GB2312" w:cs="Times New Roman"/>
          <w:color w:val="auto"/>
          <w:sz w:val="32"/>
          <w:szCs w:val="32"/>
          <w:highlight w:val="none"/>
        </w:rPr>
        <w:t>指导、协调并综合管理全省招标投标工作</w:t>
      </w:r>
      <w:r>
        <w:rPr>
          <w:rFonts w:hint="eastAsia" w:eastAsia="仿宋_GB2312" w:cs="Times New Roman"/>
          <w:color w:val="auto"/>
          <w:sz w:val="32"/>
          <w:szCs w:val="32"/>
          <w:highlight w:val="none"/>
          <w:lang w:eastAsia="zh-CN"/>
        </w:rPr>
        <w:t>。</w:t>
      </w:r>
    </w:p>
    <w:p>
      <w:pPr>
        <w:pageBreakBefore w:val="0"/>
        <w:kinsoku/>
        <w:wordWrap/>
        <w:overflowPunct/>
        <w:topLinePunct w:val="0"/>
        <w:bidi w:val="0"/>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15.</w:t>
      </w:r>
      <w:r>
        <w:rPr>
          <w:rFonts w:hint="default" w:ascii="Times New Roman" w:hAnsi="Times New Roman" w:eastAsia="仿宋_GB2312" w:cs="Times New Roman"/>
          <w:color w:val="auto"/>
          <w:sz w:val="32"/>
          <w:szCs w:val="32"/>
          <w:highlight w:val="none"/>
        </w:rPr>
        <w:t>负责组织协调和处理全省铁路</w:t>
      </w:r>
      <w:r>
        <w:rPr>
          <w:rFonts w:hint="eastAsia" w:eastAsia="仿宋_GB2312" w:cs="Times New Roman"/>
          <w:color w:val="auto"/>
          <w:sz w:val="32"/>
          <w:szCs w:val="32"/>
          <w:highlight w:val="none"/>
          <w:lang w:eastAsia="zh-CN"/>
        </w:rPr>
        <w:t>、</w:t>
      </w:r>
      <w:r>
        <w:rPr>
          <w:rFonts w:hint="eastAsia" w:eastAsia="仿宋_GB2312" w:cs="Times New Roman"/>
          <w:color w:val="auto"/>
          <w:sz w:val="32"/>
          <w:szCs w:val="32"/>
          <w:highlight w:val="none"/>
          <w:lang w:val="en-US" w:eastAsia="zh-CN"/>
        </w:rPr>
        <w:t>机场</w:t>
      </w:r>
      <w:r>
        <w:rPr>
          <w:rFonts w:hint="default" w:ascii="Times New Roman" w:hAnsi="Times New Roman" w:eastAsia="仿宋_GB2312" w:cs="Times New Roman"/>
          <w:color w:val="auto"/>
          <w:sz w:val="32"/>
          <w:szCs w:val="32"/>
          <w:highlight w:val="none"/>
        </w:rPr>
        <w:t>建设项目前期工作、征地拆迁、建设过程中涉及的重大问题，做好全省铁路</w:t>
      </w:r>
      <w:r>
        <w:rPr>
          <w:rFonts w:hint="eastAsia" w:eastAsia="仿宋_GB2312" w:cs="Times New Roman"/>
          <w:color w:val="auto"/>
          <w:sz w:val="32"/>
          <w:szCs w:val="32"/>
          <w:highlight w:val="none"/>
          <w:lang w:eastAsia="zh-CN"/>
        </w:rPr>
        <w:t>、</w:t>
      </w:r>
      <w:r>
        <w:rPr>
          <w:rFonts w:hint="eastAsia" w:eastAsia="仿宋_GB2312" w:cs="Times New Roman"/>
          <w:color w:val="auto"/>
          <w:sz w:val="32"/>
          <w:szCs w:val="32"/>
          <w:highlight w:val="none"/>
          <w:lang w:val="en-US" w:eastAsia="zh-CN"/>
        </w:rPr>
        <w:t>机场</w:t>
      </w:r>
      <w:r>
        <w:rPr>
          <w:rFonts w:hint="default" w:ascii="Times New Roman" w:hAnsi="Times New Roman" w:eastAsia="仿宋_GB2312" w:cs="Times New Roman"/>
          <w:color w:val="auto"/>
          <w:sz w:val="32"/>
          <w:szCs w:val="32"/>
          <w:highlight w:val="none"/>
        </w:rPr>
        <w:t>建设规划及年度计划编制的相关工作。</w:t>
      </w:r>
    </w:p>
    <w:p>
      <w:pPr>
        <w:pageBreakBefore w:val="0"/>
        <w:kinsoku/>
        <w:wordWrap/>
        <w:overflowPunct/>
        <w:topLinePunct w:val="0"/>
        <w:bidi w:val="0"/>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w:t>
      </w:r>
      <w:r>
        <w:rPr>
          <w:rFonts w:hint="eastAsia"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承担省实施西部大开发领导小组（省攀西地区资源开发领导小组）、省重点项目领导小组</w:t>
      </w:r>
      <w:r>
        <w:rPr>
          <w:rFonts w:hint="eastAsia" w:eastAsia="仿宋_GB2312" w:cs="Times New Roman"/>
          <w:color w:val="auto"/>
          <w:sz w:val="32"/>
          <w:szCs w:val="32"/>
          <w:highlight w:val="none"/>
          <w:lang w:val="en-US" w:eastAsia="zh-CN"/>
        </w:rPr>
        <w:t>等</w:t>
      </w:r>
      <w:r>
        <w:rPr>
          <w:rFonts w:hint="default" w:ascii="Times New Roman" w:hAnsi="Times New Roman" w:eastAsia="仿宋_GB2312" w:cs="Times New Roman"/>
          <w:color w:val="auto"/>
          <w:sz w:val="32"/>
          <w:szCs w:val="32"/>
          <w:highlight w:val="none"/>
        </w:rPr>
        <w:t>具体工作。</w:t>
      </w:r>
    </w:p>
    <w:p>
      <w:pPr>
        <w:pageBreakBefore w:val="0"/>
        <w:kinsoku/>
        <w:wordWrap/>
        <w:overflowPunct/>
        <w:topLinePunct w:val="0"/>
        <w:bidi w:val="0"/>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w:t>
      </w:r>
      <w:r>
        <w:rPr>
          <w:rFonts w:hint="eastAsia"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承担省政府公布的有关行政审批事项。</w:t>
      </w:r>
    </w:p>
    <w:p>
      <w:pPr>
        <w:pageBreakBefore w:val="0"/>
        <w:kinsoku/>
        <w:wordWrap/>
        <w:overflowPunct/>
        <w:topLinePunct w:val="0"/>
        <w:bidi w:val="0"/>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w:t>
      </w:r>
      <w:r>
        <w:rPr>
          <w:rFonts w:hint="eastAsia"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承办省政府交办的其他事项。</w:t>
      </w:r>
    </w:p>
    <w:p>
      <w:pPr>
        <w:pStyle w:val="10"/>
        <w:pageBreakBefore w:val="0"/>
        <w:kinsoku/>
        <w:wordWrap/>
        <w:overflowPunct/>
        <w:topLinePunct w:val="0"/>
        <w:bidi w:val="0"/>
        <w:adjustRightInd w:val="0"/>
        <w:snapToGrid w:val="0"/>
        <w:spacing w:before="93" w:line="540" w:lineRule="exact"/>
        <w:ind w:firstLine="672" w:firstLineChars="210"/>
        <w:outlineLvl w:val="2"/>
        <w:rPr>
          <w:rFonts w:hint="default" w:ascii="Times New Roman" w:hAnsi="Times New Roman" w:eastAsia="楷体_GB2312" w:cs="Times New Roman"/>
          <w:bCs/>
          <w:color w:val="auto"/>
          <w:sz w:val="32"/>
          <w:szCs w:val="32"/>
          <w:highlight w:val="none"/>
        </w:rPr>
      </w:pPr>
      <w:bookmarkStart w:id="23" w:name="_Toc15378446"/>
      <w:bookmarkStart w:id="24" w:name="_Toc9863"/>
      <w:bookmarkStart w:id="25" w:name="_Toc15377199"/>
      <w:r>
        <w:rPr>
          <w:rFonts w:hint="default" w:ascii="Times New Roman" w:hAnsi="Times New Roman" w:eastAsia="楷体_GB2312" w:cs="Times New Roman"/>
          <w:bCs/>
          <w:color w:val="auto"/>
          <w:sz w:val="32"/>
          <w:szCs w:val="32"/>
          <w:highlight w:val="none"/>
        </w:rPr>
        <w:t>（二）2020年重点工作完成情况</w:t>
      </w:r>
      <w:bookmarkEnd w:id="23"/>
      <w:bookmarkEnd w:id="24"/>
      <w:bookmarkEnd w:id="25"/>
    </w:p>
    <w:p>
      <w:pPr>
        <w:pStyle w:val="50"/>
        <w:pageBreakBefore w:val="0"/>
        <w:tabs>
          <w:tab w:val="left" w:pos="8789"/>
        </w:tabs>
        <w:kinsoku/>
        <w:wordWrap/>
        <w:overflowPunct/>
        <w:topLinePunct w:val="0"/>
        <w:bidi w:val="0"/>
        <w:adjustRightInd w:val="0"/>
        <w:snapToGrid w:val="0"/>
        <w:spacing w:line="540" w:lineRule="exact"/>
        <w:ind w:right="-149" w:rightChars="-71"/>
        <w:outlineLvl w:val="0"/>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lang w:val="en-US" w:eastAsia="zh-CN"/>
        </w:rPr>
        <w:t xml:space="preserve">    </w:t>
      </w:r>
      <w:bookmarkStart w:id="26" w:name="_Toc5852"/>
      <w:r>
        <w:rPr>
          <w:rFonts w:hint="default" w:ascii="Times New Roman" w:hAnsi="Times New Roman" w:cs="Times New Roman"/>
          <w:color w:val="auto"/>
          <w:szCs w:val="32"/>
          <w:highlight w:val="none"/>
        </w:rPr>
        <w:t>一</w:t>
      </w:r>
      <w:r>
        <w:rPr>
          <w:rFonts w:hint="default" w:ascii="Times New Roman" w:hAnsi="Times New Roman" w:cs="Times New Roman"/>
          <w:color w:val="auto"/>
          <w:szCs w:val="32"/>
          <w:highlight w:val="none"/>
          <w:lang w:val="en-US" w:eastAsia="zh-CN"/>
        </w:rPr>
        <w:t>是</w:t>
      </w:r>
      <w:r>
        <w:rPr>
          <w:rFonts w:hint="default" w:ascii="Times New Roman" w:hAnsi="Times New Roman" w:cs="Times New Roman"/>
          <w:color w:val="auto"/>
          <w:szCs w:val="32"/>
          <w:highlight w:val="none"/>
        </w:rPr>
        <w:t>积极应对疫情挑战，统筹推进经济社会发展。全力投入疫情防控阻击战，牵头做好生活物资保障工作，有效保证重要民生商品、防疫物资供应充足、价格稳定，完成732.77万只口罩国家调运任务。帮助企业纾困解难，及时出台缓解中小企业困难“13条”措施，落实中省补贴政策减免企业用电用气成本51亿元。抢前抓早推动复工复产，及时出台重点项目复工开工“7条”措施，安排专项补助推动省重点项目3月底全面复工开工、6月总体追回疫情影响进度。着力补齐防控能力短板，制定疾病防控救治能力提升三年行动方案和健全公共卫生应急物资保障体系实施方案，推动省公共卫生综合临床中心开工建设。</w:t>
      </w:r>
      <w:bookmarkEnd w:id="26"/>
    </w:p>
    <w:p>
      <w:pPr>
        <w:pageBreakBefore w:val="0"/>
        <w:tabs>
          <w:tab w:val="left" w:pos="8789"/>
        </w:tabs>
        <w:kinsoku/>
        <w:wordWrap/>
        <w:overflowPunct/>
        <w:topLinePunct w:val="0"/>
        <w:bidi w:val="0"/>
        <w:spacing w:line="540" w:lineRule="exact"/>
        <w:ind w:right="-149" w:rightChars="-71"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w:t>
      </w:r>
      <w:r>
        <w:rPr>
          <w:rFonts w:hint="default" w:ascii="Times New Roman" w:hAnsi="Times New Roman" w:eastAsia="仿宋_GB2312" w:cs="Times New Roman"/>
          <w:color w:val="auto"/>
          <w:sz w:val="32"/>
          <w:szCs w:val="32"/>
          <w:highlight w:val="none"/>
          <w:lang w:val="en-US" w:eastAsia="zh-CN"/>
        </w:rPr>
        <w:t>是</w:t>
      </w:r>
      <w:r>
        <w:rPr>
          <w:rFonts w:hint="default" w:ascii="Times New Roman" w:hAnsi="Times New Roman" w:eastAsia="仿宋_GB2312" w:cs="Times New Roman"/>
          <w:color w:val="auto"/>
          <w:sz w:val="32"/>
          <w:szCs w:val="32"/>
          <w:highlight w:val="none"/>
        </w:rPr>
        <w:t>加强运行监测调度，促进经济稳定增长。健全经济运行监测机制，建立经济运行联系点直报制度，按月开展苗头性倾向性潜在性问题研究，动态跟进全省“六稳”“六保”工作情况。谋划推动高质量发展，牵头制定我省高质量发展实施意见，建立推动高质量发展工作协调机制，完善综合绩效评价办法和指标体系。强化政策调控和运行调度，按季度筹备召开省委财经委会议，及时研判经济形势和疫情变化，分析经济运行面临突出问题，制定进一步做好经济工作努力实现全年经济社会发展目标的意见。落实“农业多贡献、工业挑大梁、投资唱主角、消费促升级”要求，认真筹备全省经济运行调度会议，推动全省经济由一季度下降3%，转为二季度增长3.8%、三季度增长5.7%，四季度有望恢复疫情前水平，预计全年增长3.7%左右。</w:t>
      </w:r>
    </w:p>
    <w:p>
      <w:pPr>
        <w:pStyle w:val="23"/>
        <w:pageBreakBefore w:val="0"/>
        <w:tabs>
          <w:tab w:val="left" w:pos="8789"/>
        </w:tabs>
        <w:kinsoku/>
        <w:wordWrap/>
        <w:overflowPunct/>
        <w:topLinePunct w:val="0"/>
        <w:bidi w:val="0"/>
        <w:spacing w:line="540" w:lineRule="exact"/>
        <w:ind w:right="-255"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三</w:t>
      </w:r>
      <w:r>
        <w:rPr>
          <w:rFonts w:hint="default" w:ascii="Times New Roman" w:hAnsi="Times New Roman" w:eastAsia="仿宋_GB2312" w:cs="Times New Roman"/>
          <w:color w:val="auto"/>
          <w:kern w:val="2"/>
          <w:sz w:val="32"/>
          <w:szCs w:val="32"/>
          <w:highlight w:val="none"/>
          <w:lang w:val="en-US" w:eastAsia="zh-CN"/>
        </w:rPr>
        <w:t>是</w:t>
      </w:r>
      <w:r>
        <w:rPr>
          <w:rFonts w:hint="default" w:ascii="Times New Roman" w:hAnsi="Times New Roman" w:eastAsia="仿宋_GB2312" w:cs="Times New Roman"/>
          <w:color w:val="auto"/>
          <w:kern w:val="2"/>
          <w:sz w:val="32"/>
          <w:szCs w:val="32"/>
          <w:highlight w:val="none"/>
        </w:rPr>
        <w:t>抢抓战略机遇，推动成渝地区双城经济圈建设开局起势。认真落实省委“1+4+7”总体部署，发挥推动成渝双城经济圈建设联合办公室作用，牵头制定建设具有全国影响力的重要经济中心、科技创新中心、高品质生活宜居地3个实施意见和加强交通基础设施建设专项规划。积极对接国家规划纲要编制，组织18个市和29个部门研究提出300余项重大事项争取国家支持。选派精干力量全力配合、积极参与国家规划纲要编制。深入实施“一干多支”发展战略，落实省委、省政府下好成德眉资同城化“先手棋”的要求，制定推动成德眉资同城化发展指导意见和支持成都建设践行新发展理念的公园城市示范区的意见，编制成都都市圈发展规划，推动轨道交通资阳线开工建设。研究制定设立省级新区的指导意见和支持政策，推动设立宜宾三江新区、成都东部新区、南充临江新区、绵阳科技城新区。印发五大片区2020年重点任务清单，筹备召开各片区联席会议。推动川渝合作走深走实，互派人员成立联合办公室和7个专项工作组，筹备川渝党政联席会议、常务副省市长协调会议各2次，召开6次联合办公室主任调度会议。共同研究制定深化四川重庆合作推动成渝地区双城经济圈建设工作方案、贯彻落实《成渝地区双城经济圈建设规划纲要》联合实施方案等9个政策文件，联合上报争取国家支持的重大事项39项，34项获采纳。推进川渝高竹新区等9个毗邻地区合作平台建设。梳理共同实施重大项目31个，已开工26个、累计完成投资318亿元。推进新型城镇化和城乡融合发展，编制我省新型城镇化发展规划，扎实推动县城城镇化补短板强弱项工作，建立健全城乡融合发展体制机制，推动成都西部片区城乡融合发展试验区建设。研究提出强县强区强镇培育方案和“一对一”支持政策，推动夯实县域经济底部基础。</w:t>
      </w:r>
    </w:p>
    <w:p>
      <w:pPr>
        <w:pStyle w:val="23"/>
        <w:pageBreakBefore w:val="0"/>
        <w:tabs>
          <w:tab w:val="left" w:pos="8789"/>
        </w:tabs>
        <w:kinsoku/>
        <w:wordWrap/>
        <w:overflowPunct/>
        <w:topLinePunct w:val="0"/>
        <w:bidi w:val="0"/>
        <w:spacing w:line="540" w:lineRule="exact"/>
        <w:ind w:right="-255"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四</w:t>
      </w:r>
      <w:r>
        <w:rPr>
          <w:rFonts w:hint="default" w:ascii="Times New Roman" w:hAnsi="Times New Roman" w:eastAsia="仿宋_GB2312" w:cs="Times New Roman"/>
          <w:color w:val="auto"/>
          <w:kern w:val="2"/>
          <w:sz w:val="32"/>
          <w:szCs w:val="32"/>
          <w:highlight w:val="none"/>
          <w:lang w:val="en-US" w:eastAsia="zh-CN"/>
        </w:rPr>
        <w:t>是</w:t>
      </w:r>
      <w:r>
        <w:rPr>
          <w:rFonts w:hint="default" w:ascii="Times New Roman" w:hAnsi="Times New Roman" w:eastAsia="仿宋_GB2312" w:cs="Times New Roman"/>
          <w:color w:val="auto"/>
          <w:kern w:val="2"/>
          <w:sz w:val="32"/>
          <w:szCs w:val="32"/>
          <w:highlight w:val="none"/>
        </w:rPr>
        <w:t>强化项目支撑，发挥投资关键作用。推动“投资唱主角”，围绕“两新一重”扎实抓好项目推进工作。筹备全省抓项目促投资现场会，持续推进基础设施等重点领域补短板三年行动，组织一、四季度全省重大项目集中开工，创新建立省重点项目推进和投资运行“红黑榜”通报机制，配合做好省领导牵头省级重点推进项目工作。坚持做好投资运行周报告、月调度、季考核工作，3月全省投资增速由负转正，9月全部市（州）投资实现正增长。狠抓重大项目突破，川藏铁路雅安至林芝段、成达万高铁、国家民航科技创新示范区开工建设，天府国际机场主体工程完工，乌东德水电站首批机组投产发电。</w:t>
      </w:r>
    </w:p>
    <w:p>
      <w:pPr>
        <w:pStyle w:val="23"/>
        <w:pageBreakBefore w:val="0"/>
        <w:tabs>
          <w:tab w:val="left" w:pos="8789"/>
        </w:tabs>
        <w:kinsoku/>
        <w:wordWrap/>
        <w:overflowPunct/>
        <w:topLinePunct w:val="0"/>
        <w:bidi w:val="0"/>
        <w:spacing w:line="540" w:lineRule="exact"/>
        <w:ind w:right="-255"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五</w:t>
      </w:r>
      <w:r>
        <w:rPr>
          <w:rFonts w:hint="default" w:ascii="Times New Roman" w:hAnsi="Times New Roman" w:eastAsia="仿宋_GB2312" w:cs="Times New Roman"/>
          <w:color w:val="auto"/>
          <w:kern w:val="2"/>
          <w:sz w:val="32"/>
          <w:szCs w:val="32"/>
          <w:highlight w:val="none"/>
          <w:lang w:val="en-US" w:eastAsia="zh-CN"/>
        </w:rPr>
        <w:t>是</w:t>
      </w:r>
      <w:r>
        <w:rPr>
          <w:rFonts w:hint="default" w:ascii="Times New Roman" w:hAnsi="Times New Roman" w:eastAsia="仿宋_GB2312" w:cs="Times New Roman"/>
          <w:color w:val="auto"/>
          <w:kern w:val="2"/>
          <w:sz w:val="32"/>
          <w:szCs w:val="32"/>
          <w:highlight w:val="none"/>
        </w:rPr>
        <w:t>加快创新驱动发展，推动产业转型升级。</w:t>
      </w:r>
      <w:r>
        <w:rPr>
          <w:rFonts w:hint="default" w:ascii="Times New Roman" w:hAnsi="Times New Roman" w:eastAsia="仿宋_GB2312" w:cs="Times New Roman"/>
          <w:color w:val="auto"/>
          <w:sz w:val="32"/>
          <w:szCs w:val="32"/>
          <w:highlight w:val="none"/>
        </w:rPr>
        <w:t xml:space="preserve">夯实科技创新中心建设基础，配合国家制定科技创新中心建设方案，成功争取国家布局建设综合性科学中心，集中启动第一批支撑项目、布局一批前沿交叉学科研究平台。打造数字经济发展高地，制定《国家数字经济创新发展试验区（四川）建设工作方案》，加快推动天府新区、中国·雅安大数据产业园等示范载体建设。加快新型基础设施建设，制定实施加快推进新型基础设施建设行动方案，出台跨行业信息通信基础设施合作建设指导意见。建立新型基础设施建设项目专有库，入库项目765个。推进产业基础高级化、产业链现代化，组建四川省精准医学产业创新中心，推动区块链、白酒省级产业创新中心创建工作。开展我省重点产业链对外依存度研究。抢抓川藏铁路建设机遇制定推动装备制造业与建筑材料业加快发展方案。形成我省消费品、装备制造、电子信息和数字经济产业发展战略研究报告。  </w:t>
      </w:r>
    </w:p>
    <w:p>
      <w:pPr>
        <w:pageBreakBefore w:val="0"/>
        <w:tabs>
          <w:tab w:val="left" w:pos="312"/>
          <w:tab w:val="left" w:pos="9072"/>
        </w:tabs>
        <w:kinsoku/>
        <w:wordWrap/>
        <w:overflowPunct/>
        <w:topLinePunct w:val="0"/>
        <w:bidi w:val="0"/>
        <w:spacing w:line="540" w:lineRule="exact"/>
        <w:ind w:right="-149" w:rightChars="-71"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六</w:t>
      </w:r>
      <w:r>
        <w:rPr>
          <w:rFonts w:hint="default" w:ascii="Times New Roman" w:hAnsi="Times New Roman" w:eastAsia="仿宋_GB2312" w:cs="Times New Roman"/>
          <w:color w:val="auto"/>
          <w:sz w:val="32"/>
          <w:szCs w:val="32"/>
          <w:highlight w:val="none"/>
          <w:lang w:val="en-US" w:eastAsia="zh-CN"/>
        </w:rPr>
        <w:t>是</w:t>
      </w:r>
      <w:r>
        <w:rPr>
          <w:rFonts w:hint="default" w:ascii="Times New Roman" w:hAnsi="Times New Roman" w:eastAsia="仿宋_GB2312" w:cs="Times New Roman"/>
          <w:color w:val="auto"/>
          <w:sz w:val="32"/>
          <w:szCs w:val="32"/>
          <w:highlight w:val="none"/>
        </w:rPr>
        <w:t>深化改革开放，增强发展动力活力。着力推进重点领域和关键环节改革取得新进展，全面完成牵头的52项省委改革台账任务，研究制定完善社会主义市场经济体制、要素市场化配置体制机制、推进服务业改革开放发展等政策文件。电力体制改革成效明显，预计今年平均到户电价降至0.51元/千瓦时，比去年再降0.03元/千瓦时。深入开展全面创新改革试验，制定印发实施方案和重点事项清单，新增4条经验纳入国务院第三批创新举措，我省累计20条经验在全国推广。扎实推动“两项改革”后半篇文章牵头工作，形成乡镇干部周转房保障、农村电网升级改造专项工作方案。持续优化营商环境，起草《四川省优化营商环境条例》草案，开展营商环境指标提升专项行动，组织实施营商环境评价。深化投资项目审批“最多跑一次”改革，加快社会信用体系建设。促进开放型经济发展，制定推进高水平对外开放、加快建设内陆开放战略高地的意见，全力稳住外资外贸基本盘。加快建设西部陆海新通道等开放大通道，推进成都“一带一路”国际多式联运综合试验区建设，推动成都入选全国首批中欧班列集结中心示范工程建设城市，中欧班列（成都）开行2190列、增长55.4%。积极争取加入泛珠三角区域高铁经济带合作，推进川桂国际产能合作产业园建设。</w:t>
      </w:r>
    </w:p>
    <w:p>
      <w:pPr>
        <w:pageBreakBefore w:val="0"/>
        <w:tabs>
          <w:tab w:val="left" w:pos="312"/>
          <w:tab w:val="left" w:pos="9072"/>
        </w:tabs>
        <w:kinsoku/>
        <w:wordWrap/>
        <w:overflowPunct/>
        <w:topLinePunct w:val="0"/>
        <w:bidi w:val="0"/>
        <w:spacing w:line="540" w:lineRule="exact"/>
        <w:ind w:right="-149" w:rightChars="-71"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七</w:t>
      </w:r>
      <w:r>
        <w:rPr>
          <w:rFonts w:hint="default" w:ascii="Times New Roman" w:hAnsi="Times New Roman" w:eastAsia="仿宋_GB2312" w:cs="Times New Roman"/>
          <w:color w:val="auto"/>
          <w:sz w:val="32"/>
          <w:szCs w:val="32"/>
          <w:highlight w:val="none"/>
          <w:lang w:val="en-US" w:eastAsia="zh-CN"/>
        </w:rPr>
        <w:t>是</w:t>
      </w:r>
      <w:r>
        <w:rPr>
          <w:rFonts w:hint="default" w:ascii="Times New Roman" w:hAnsi="Times New Roman" w:eastAsia="仿宋_GB2312" w:cs="Times New Roman"/>
          <w:color w:val="auto"/>
          <w:sz w:val="32"/>
          <w:szCs w:val="32"/>
          <w:highlight w:val="none"/>
        </w:rPr>
        <w:t>补齐民生短板，完成脱贫攻坚硬任务。坚决打赢易地扶贫搬迁攻坚战，组建4个工作专班实地督战凉山易地扶贫搬迁项目建设，攻坚克难推动全省37.93万户、136.05万人搬迁任务全部完成。扎实推进东西部扶贫协作和对口支援，落实浙江、广东两省财政帮扶资金35.7亿元，实施项目999个，吸引481家企业到贫困地区投资兴业助贫。承办川浙、川粤党政代表团交流互访活动，精心组织国家考核迎检工作。扩大公共服务有效供给，实施教育现代化推进、全民健康保障、文化旅游提升、社会服务兜底、公共体育普及“五大工程”，争取中央预算内资金支持816个社会事业项目建设，加快推进世界大学生运动会省属场馆、省妇幼保健院天府院区等重点项目建设。多措并举保基本民生，切实加强重要民生商品价格监测与市场调控，保持物价总体稳定。落实社会救助和保障标准与物价上涨挂钩联动机制，累计发放价格临时补贴38.69亿元，惠及困难群众约5380万人。落实援企稳岗政策，切实帮助重点群体就业。出台做好重特大自然灾害灾后恢复重建工作的实施意见，统筹安排中省资金3.35亿元支持暴雨洪涝灾害应急恢复和灾后重建，基本完成“8·8”九寨沟地震灾区灾后恢复重建三年任务。</w:t>
      </w:r>
    </w:p>
    <w:p>
      <w:pPr>
        <w:pStyle w:val="51"/>
        <w:pageBreakBefore w:val="0"/>
        <w:tabs>
          <w:tab w:val="left" w:pos="8931"/>
        </w:tabs>
        <w:kinsoku/>
        <w:wordWrap/>
        <w:overflowPunct/>
        <w:topLinePunct w:val="0"/>
        <w:bidi w:val="0"/>
        <w:spacing w:line="540" w:lineRule="exact"/>
        <w:ind w:right="-149" w:rightChars="-71" w:firstLine="640" w:firstLineChars="200"/>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八</w:t>
      </w:r>
      <w:r>
        <w:rPr>
          <w:rFonts w:hint="default" w:ascii="Times New Roman" w:hAnsi="Times New Roman" w:cs="Times New Roman"/>
          <w:color w:val="auto"/>
          <w:szCs w:val="32"/>
          <w:highlight w:val="none"/>
          <w:lang w:val="en-US" w:eastAsia="zh-CN"/>
        </w:rPr>
        <w:t>是</w:t>
      </w:r>
      <w:r>
        <w:rPr>
          <w:rFonts w:hint="default" w:ascii="Times New Roman" w:hAnsi="Times New Roman" w:cs="Times New Roman"/>
          <w:color w:val="auto"/>
          <w:szCs w:val="32"/>
          <w:highlight w:val="none"/>
        </w:rPr>
        <w:t>坚持生态优先，加快推进绿色发展。持续抓好生态环境突出问题整改，发挥省推进长江经济带发展领导小组办公室作用，中央环保督察反馈问题我委牵头事项全部整改完成，2018、2019两年长江经济带生态环境警示片披露的39个问题完成整改34个。着力推进黄河流域生态保护，积极争取若尔盖国家公园建设、高原牧区减畜补助等事项纳入国家规划。牵头开展森林草原防灭火基础设施建设专项整治，科学编制实施方案，安排下达省预算内资金2.08亿元。推动能源资源节约集约利用，制定出台构建现代环境治理体系、加强塑料污染治理、建立绿色生产和消费法规政策体系等意见，推进绿色产业示范基地、资源循环利用基地建设。大力推进节能减排，提前完成“十三五”能耗强度目标。实施电能替代行动，全年实现替代电量130亿千瓦时。</w:t>
      </w:r>
    </w:p>
    <w:p>
      <w:pPr>
        <w:pStyle w:val="23"/>
        <w:pageBreakBefore w:val="0"/>
        <w:tabs>
          <w:tab w:val="left" w:pos="9072"/>
          <w:tab w:val="clear" w:pos="9160"/>
        </w:tabs>
        <w:kinsoku/>
        <w:wordWrap/>
        <w:overflowPunct/>
        <w:topLinePunct w:val="0"/>
        <w:bidi w:val="0"/>
        <w:spacing w:line="540" w:lineRule="exact"/>
        <w:ind w:right="-255" w:firstLine="640" w:firstLineChars="200"/>
        <w:jc w:val="both"/>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九</w:t>
      </w:r>
      <w:r>
        <w:rPr>
          <w:rFonts w:hint="default" w:ascii="Times New Roman" w:hAnsi="Times New Roman" w:eastAsia="仿宋_GB2312" w:cs="Times New Roman"/>
          <w:color w:val="auto"/>
          <w:kern w:val="2"/>
          <w:sz w:val="32"/>
          <w:szCs w:val="32"/>
          <w:highlight w:val="none"/>
          <w:lang w:val="en-US" w:eastAsia="zh-CN"/>
        </w:rPr>
        <w:t>是</w:t>
      </w:r>
      <w:r>
        <w:rPr>
          <w:rFonts w:hint="default" w:ascii="Times New Roman" w:hAnsi="Times New Roman" w:eastAsia="仿宋_GB2312" w:cs="Times New Roman"/>
          <w:color w:val="auto"/>
          <w:kern w:val="2"/>
          <w:sz w:val="32"/>
          <w:szCs w:val="32"/>
          <w:highlight w:val="none"/>
        </w:rPr>
        <w:t>统筹发展和安全，切实加强能源粮食安全保障。推进“三江”水电基地建设，全省电力装机突破1亿千瓦，水电装机突破8000万千瓦。加强粮食和重要商品收储能力建设，全面完成粮食安全省长责任制重点任务，出台加强地方粮食储备安全管理的实施意见，新增地方粮食储备规模90万吨、食用植物油储备规模12.1万吨、应急成品粮油储备规模13.5万吨。开展全省应急成品粮油、食用油储备库存检查和粮食库存大清查问题整改。</w:t>
      </w:r>
    </w:p>
    <w:p>
      <w:pPr>
        <w:pageBreakBefore w:val="0"/>
        <w:tabs>
          <w:tab w:val="left" w:pos="9072"/>
        </w:tabs>
        <w:kinsoku/>
        <w:wordWrap/>
        <w:overflowPunct/>
        <w:topLinePunct w:val="0"/>
        <w:bidi w:val="0"/>
        <w:spacing w:line="540" w:lineRule="exact"/>
        <w:ind w:right="-149" w:rightChars="-71"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十</w:t>
      </w:r>
      <w:r>
        <w:rPr>
          <w:rFonts w:hint="default" w:ascii="Times New Roman" w:hAnsi="Times New Roman" w:eastAsia="仿宋_GB2312" w:cs="Times New Roman"/>
          <w:color w:val="auto"/>
          <w:sz w:val="32"/>
          <w:szCs w:val="32"/>
          <w:highlight w:val="none"/>
          <w:lang w:val="en-US" w:eastAsia="zh-CN"/>
        </w:rPr>
        <w:t>是</w:t>
      </w:r>
      <w:r>
        <w:rPr>
          <w:rFonts w:hint="default" w:ascii="Times New Roman" w:hAnsi="Times New Roman" w:eastAsia="仿宋_GB2312" w:cs="Times New Roman"/>
          <w:color w:val="auto"/>
          <w:sz w:val="32"/>
          <w:szCs w:val="32"/>
          <w:highlight w:val="none"/>
        </w:rPr>
        <w:t xml:space="preserve">广泛凝聚共识，精心组织编制“十四五”规划。开展25个“十四五”前期重大课题研究，完成我省“十三五”规划《纲要》实施情况总结，形成我省“十四五”规划《基本思路》。以中央规划建议和《成渝地区双城经济圈建设规划纲要》为指引，对标对表省委规划建议，把省委十一届三次全会以来的认识成果、实践成果和制度成果一以贯之坚持下去，形成“十四五”规划《纲要草案》送审稿。坚持开门编规划，充分吸收群众智慧、专家意见、基层经验。加强向国家汇报衔接，研究上报21个重大工程项目，争取纳入国家“十四五”规划。建立健全“1+1+6+47”省级规划体系，协同省级部门同步编制空间规划、区域规划、专项规划。加强对市（州）规划编制工作的指导，形成“一盘棋”。 </w:t>
      </w:r>
    </w:p>
    <w:p>
      <w:pPr>
        <w:pStyle w:val="49"/>
        <w:pageBreakBefore w:val="0"/>
        <w:tabs>
          <w:tab w:val="left" w:pos="9072"/>
        </w:tabs>
        <w:kinsoku/>
        <w:wordWrap/>
        <w:overflowPunct/>
        <w:topLinePunct w:val="0"/>
        <w:autoSpaceDE/>
        <w:autoSpaceDN/>
        <w:bidi w:val="0"/>
        <w:spacing w:line="540" w:lineRule="exact"/>
        <w:ind w:right="-149" w:rightChars="-71" w:firstLine="640" w:firstLineChars="200"/>
        <w:textAlignment w:val="auto"/>
        <w:outlineLvl w:val="1"/>
        <w:rPr>
          <w:rFonts w:hint="default" w:ascii="Times New Roman" w:hAnsi="Times New Roman" w:cs="Times New Roman"/>
          <w:color w:val="auto"/>
          <w:szCs w:val="32"/>
          <w:highlight w:val="none"/>
        </w:rPr>
      </w:pPr>
      <w:bookmarkStart w:id="27" w:name="_Toc8034"/>
      <w:r>
        <w:rPr>
          <w:rFonts w:hint="default" w:ascii="Times New Roman" w:hAnsi="Times New Roman" w:cs="Times New Roman"/>
          <w:color w:val="auto"/>
          <w:szCs w:val="32"/>
          <w:highlight w:val="none"/>
        </w:rPr>
        <w:t>十一</w:t>
      </w:r>
      <w:r>
        <w:rPr>
          <w:rFonts w:hint="default" w:ascii="Times New Roman" w:hAnsi="Times New Roman" w:cs="Times New Roman"/>
          <w:color w:val="auto"/>
          <w:szCs w:val="32"/>
          <w:highlight w:val="none"/>
          <w:lang w:val="en-US" w:eastAsia="zh-CN"/>
        </w:rPr>
        <w:t>是</w:t>
      </w:r>
      <w:r>
        <w:rPr>
          <w:rFonts w:hint="default" w:ascii="Times New Roman" w:hAnsi="Times New Roman" w:cs="Times New Roman"/>
          <w:color w:val="auto"/>
          <w:szCs w:val="32"/>
          <w:highlight w:val="none"/>
        </w:rPr>
        <w:t>强化政治引领，全面加强党的建设。着力加强思想政治建设，坚持党组会议第一议题及时学习习近平总书记最新重要讲话精神的制度，扎实开展党的十九届五中全会和省委十一届七次、八次全会精神学习贯彻，将政治考量贯穿到经济形势分析研判、发展战略规划设计、经济政策预研储备、重大工程谋划布局各方面全过程，以实际行动做到“两个维护”。落实意识形态工作责任制，出台做好意识形态工作举措“14条”，进一步筑牢思想防线。着力加强组织建设，积极创建“四好一强”领导班子，发挥党组领导核心作用，确保政治标准、政治要求贯穿发展改革工作全过程各领域。深化运用“四双”工作机制，推动党建和业务“两手抓”“两促进”，持续开展“五好党支部”创建工作，推进支部建设标准化规范化。着力加强队伍建设，创办“四川发改学习论坛”，优化调整内设机构和直属单位设置，选派46名干部到国家机关和基层挂职，着力打造专业化高素质干部队伍。着力加强作风建设，党组带头落实中央八项规定精神和省委省政府十项规定及其实施细则，深入整治形式主义、官僚主义，坚决抵制“四风”反弹回潮。完善党组和机关工作规则、议事决策规程和财务管理等14项工作制度，出台党组全面从严治党主体责任清单。持续推动精文简会，大力弘扬厉行节约，全员参与减少餐饮浪费行动。着力加强党风廉政建设，持续正风肃纪，认真落实党风廉政建设主体责任，开展工程招投标领域突出问题系统治理，全面清查发展改革部门自设权力情况，有效防止违规插手干预招投标问题；梳理形成机关“1+6”廉政风险防控台账，制定防控措施并推动落实，组织开展“守纪律、讲规矩”警示教育月活动，营造风清气正、积极向上的干事创业氛围。主动配合省委常规巡视工作，积极抓好巡视整改。建立健全党组与驻委纪检监察组沟通协调机制，推动主体责任和监督责任形成合力。</w:t>
      </w:r>
      <w:bookmarkEnd w:id="27"/>
      <w:bookmarkStart w:id="28" w:name="_Toc15377200"/>
      <w:bookmarkStart w:id="29" w:name="_Toc15396601"/>
    </w:p>
    <w:p>
      <w:pPr>
        <w:pStyle w:val="49"/>
        <w:pageBreakBefore w:val="0"/>
        <w:tabs>
          <w:tab w:val="left" w:pos="9072"/>
        </w:tabs>
        <w:kinsoku/>
        <w:wordWrap/>
        <w:overflowPunct/>
        <w:topLinePunct w:val="0"/>
        <w:autoSpaceDE/>
        <w:autoSpaceDN/>
        <w:bidi w:val="0"/>
        <w:spacing w:line="540" w:lineRule="exact"/>
        <w:ind w:right="-149" w:rightChars="-71" w:firstLine="640" w:firstLineChars="200"/>
        <w:textAlignment w:val="auto"/>
        <w:outlineLvl w:val="1"/>
        <w:rPr>
          <w:rStyle w:val="40"/>
          <w:rFonts w:hint="default" w:ascii="Times New Roman" w:hAnsi="Times New Roman" w:cs="Times New Roman"/>
          <w:b w:val="0"/>
          <w:bCs w:val="0"/>
          <w:color w:val="auto"/>
          <w:highlight w:val="none"/>
        </w:rPr>
      </w:pPr>
      <w:bookmarkStart w:id="30" w:name="_Toc21105"/>
      <w:r>
        <w:rPr>
          <w:rFonts w:hint="default" w:ascii="Times New Roman" w:hAnsi="Times New Roman" w:eastAsia="黑体" w:cs="Times New Roman"/>
          <w:b w:val="0"/>
          <w:color w:val="auto"/>
          <w:highlight w:val="none"/>
        </w:rPr>
        <w:t>二、机</w:t>
      </w:r>
      <w:r>
        <w:rPr>
          <w:rStyle w:val="40"/>
          <w:rFonts w:hint="default" w:ascii="Times New Roman" w:hAnsi="Times New Roman" w:eastAsia="黑体" w:cs="Times New Roman"/>
          <w:b w:val="0"/>
          <w:bCs w:val="0"/>
          <w:color w:val="auto"/>
          <w:highlight w:val="none"/>
        </w:rPr>
        <w:t>构设置</w:t>
      </w:r>
      <w:bookmarkEnd w:id="28"/>
      <w:bookmarkEnd w:id="29"/>
      <w:bookmarkEnd w:id="30"/>
    </w:p>
    <w:p>
      <w:pPr>
        <w:pageBreakBefore w:val="0"/>
        <w:kinsoku/>
        <w:wordWrap/>
        <w:overflowPunct/>
        <w:topLinePunct w:val="0"/>
        <w:autoSpaceDE/>
        <w:autoSpaceDN/>
        <w:bidi w:val="0"/>
        <w:spacing w:line="540" w:lineRule="exact"/>
        <w:ind w:firstLine="64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四川省发展改革委下属二级单位</w:t>
      </w:r>
      <w:r>
        <w:rPr>
          <w:rFonts w:hint="default" w:ascii="Times New Roman" w:hAnsi="Times New Roman" w:eastAsia="仿宋" w:cs="Times New Roman"/>
          <w:color w:val="auto"/>
          <w:sz w:val="32"/>
          <w:szCs w:val="32"/>
          <w:highlight w:val="none"/>
          <w:lang w:val="en-US" w:eastAsia="zh-CN"/>
        </w:rPr>
        <w:t>12</w:t>
      </w:r>
      <w:r>
        <w:rPr>
          <w:rFonts w:hint="default" w:ascii="Times New Roman" w:hAnsi="Times New Roman" w:eastAsia="仿宋" w:cs="Times New Roman"/>
          <w:color w:val="auto"/>
          <w:sz w:val="32"/>
          <w:szCs w:val="32"/>
          <w:highlight w:val="none"/>
        </w:rPr>
        <w:t>个，其中行政单位3个，参照公务员法管理的事业单位</w:t>
      </w:r>
      <w:r>
        <w:rPr>
          <w:rFonts w:hint="default" w:ascii="Times New Roman" w:hAnsi="Times New Roman" w:eastAsia="仿宋" w:cs="Times New Roman"/>
          <w:bCs/>
          <w:color w:val="auto"/>
          <w:sz w:val="32"/>
          <w:szCs w:val="32"/>
          <w:highlight w:val="none"/>
        </w:rPr>
        <w:t>2</w:t>
      </w:r>
      <w:r>
        <w:rPr>
          <w:rFonts w:hint="default" w:ascii="Times New Roman" w:hAnsi="Times New Roman" w:eastAsia="仿宋" w:cs="Times New Roman"/>
          <w:color w:val="auto"/>
          <w:sz w:val="32"/>
          <w:szCs w:val="32"/>
          <w:highlight w:val="none"/>
        </w:rPr>
        <w:t>个，其他事业单位</w:t>
      </w:r>
      <w:r>
        <w:rPr>
          <w:rFonts w:hint="default" w:ascii="Times New Roman" w:hAnsi="Times New Roman" w:eastAsia="仿宋" w:cs="Times New Roman"/>
          <w:color w:val="auto"/>
          <w:sz w:val="32"/>
          <w:szCs w:val="32"/>
          <w:highlight w:val="none"/>
          <w:lang w:val="en-US" w:eastAsia="zh-CN"/>
        </w:rPr>
        <w:t>7</w:t>
      </w:r>
      <w:r>
        <w:rPr>
          <w:rFonts w:hint="default" w:ascii="Times New Roman" w:hAnsi="Times New Roman" w:eastAsia="仿宋" w:cs="Times New Roman"/>
          <w:color w:val="auto"/>
          <w:sz w:val="32"/>
          <w:szCs w:val="32"/>
          <w:highlight w:val="none"/>
        </w:rPr>
        <w:t>个。</w:t>
      </w:r>
    </w:p>
    <w:p>
      <w:pPr>
        <w:pageBreakBefore w:val="0"/>
        <w:kinsoku/>
        <w:wordWrap/>
        <w:overflowPunct/>
        <w:topLinePunct w:val="0"/>
        <w:autoSpaceDE/>
        <w:autoSpaceDN/>
        <w:bidi w:val="0"/>
        <w:spacing w:line="540" w:lineRule="exact"/>
        <w:ind w:firstLine="64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纳入四川省发展改革委2020年度部门决算编制范围的二级预算单位包括：</w:t>
      </w:r>
    </w:p>
    <w:p>
      <w:pPr>
        <w:pStyle w:val="10"/>
        <w:pageBreakBefore w:val="0"/>
        <w:numPr>
          <w:ilvl w:val="0"/>
          <w:numId w:val="0"/>
        </w:numPr>
        <w:kinsoku/>
        <w:wordWrap/>
        <w:overflowPunct/>
        <w:topLinePunct w:val="0"/>
        <w:autoSpaceDE/>
        <w:autoSpaceDN/>
        <w:bidi w:val="0"/>
        <w:adjustRightInd w:val="0"/>
        <w:snapToGrid w:val="0"/>
        <w:spacing w:before="93" w:line="540" w:lineRule="exact"/>
        <w:ind w:left="672" w:leftChars="0"/>
        <w:textAlignment w:val="auto"/>
        <w:outlineLvl w:val="2"/>
        <w:rPr>
          <w:rFonts w:hint="default" w:ascii="Times New Roman" w:hAnsi="Times New Roman" w:cs="Times New Roman"/>
          <w:color w:val="auto"/>
          <w:sz w:val="32"/>
          <w:szCs w:val="32"/>
          <w:highlight w:val="none"/>
        </w:rPr>
      </w:pPr>
      <w:bookmarkStart w:id="31" w:name="_Toc1999"/>
      <w:bookmarkStart w:id="32" w:name="_Toc15306276"/>
      <w:bookmarkStart w:id="33" w:name="_Toc15377202"/>
      <w:bookmarkStart w:id="34" w:name="_Toc15377433"/>
      <w:bookmarkStart w:id="35" w:name="_Toc15378449"/>
      <w:r>
        <w:rPr>
          <w:rFonts w:hint="default" w:ascii="Times New Roman" w:hAnsi="Times New Roman" w:cs="Times New Roman"/>
          <w:color w:val="auto"/>
          <w:sz w:val="32"/>
          <w:szCs w:val="32"/>
          <w:highlight w:val="none"/>
          <w:lang w:val="en-US" w:eastAsia="zh-CN"/>
        </w:rPr>
        <w:t>1.</w:t>
      </w:r>
      <w:r>
        <w:rPr>
          <w:rFonts w:hint="default" w:ascii="Times New Roman" w:hAnsi="Times New Roman" w:cs="Times New Roman"/>
          <w:color w:val="auto"/>
          <w:sz w:val="32"/>
          <w:szCs w:val="32"/>
          <w:highlight w:val="none"/>
        </w:rPr>
        <w:t>四川省发展和改革委员会（本级）</w:t>
      </w:r>
      <w:bookmarkEnd w:id="31"/>
    </w:p>
    <w:p>
      <w:pPr>
        <w:pStyle w:val="10"/>
        <w:pageBreakBefore w:val="0"/>
        <w:numPr>
          <w:ilvl w:val="0"/>
          <w:numId w:val="0"/>
        </w:numPr>
        <w:kinsoku/>
        <w:wordWrap/>
        <w:overflowPunct/>
        <w:topLinePunct w:val="0"/>
        <w:autoSpaceDE/>
        <w:autoSpaceDN/>
        <w:bidi w:val="0"/>
        <w:adjustRightInd w:val="0"/>
        <w:snapToGrid w:val="0"/>
        <w:spacing w:before="93" w:line="540" w:lineRule="exact"/>
        <w:ind w:left="672" w:leftChars="0"/>
        <w:textAlignment w:val="auto"/>
        <w:outlineLvl w:val="2"/>
        <w:rPr>
          <w:rFonts w:hint="default" w:ascii="Times New Roman" w:hAnsi="Times New Roman" w:cs="Times New Roman"/>
          <w:color w:val="auto"/>
          <w:sz w:val="32"/>
          <w:szCs w:val="32"/>
          <w:highlight w:val="none"/>
        </w:rPr>
      </w:pPr>
      <w:bookmarkStart w:id="36" w:name="_Toc7882"/>
      <w:r>
        <w:rPr>
          <w:rFonts w:hint="default" w:ascii="Times New Roman" w:hAnsi="Times New Roman" w:cs="Times New Roman"/>
          <w:color w:val="auto"/>
          <w:sz w:val="32"/>
          <w:szCs w:val="32"/>
          <w:highlight w:val="none"/>
          <w:lang w:val="en-US" w:eastAsia="zh-CN"/>
        </w:rPr>
        <w:t>2.</w:t>
      </w:r>
      <w:r>
        <w:rPr>
          <w:rFonts w:hint="default" w:ascii="Times New Roman" w:hAnsi="Times New Roman" w:cs="Times New Roman"/>
          <w:color w:val="auto"/>
          <w:sz w:val="32"/>
          <w:szCs w:val="32"/>
          <w:highlight w:val="none"/>
        </w:rPr>
        <w:t>四川省发展和改革委员会机关服务中心</w:t>
      </w:r>
      <w:bookmarkEnd w:id="36"/>
    </w:p>
    <w:p>
      <w:pPr>
        <w:pStyle w:val="10"/>
        <w:pageBreakBefore w:val="0"/>
        <w:numPr>
          <w:ilvl w:val="0"/>
          <w:numId w:val="0"/>
        </w:numPr>
        <w:kinsoku/>
        <w:wordWrap/>
        <w:overflowPunct/>
        <w:topLinePunct w:val="0"/>
        <w:autoSpaceDE/>
        <w:autoSpaceDN/>
        <w:bidi w:val="0"/>
        <w:adjustRightInd w:val="0"/>
        <w:snapToGrid w:val="0"/>
        <w:spacing w:before="93" w:line="540" w:lineRule="exact"/>
        <w:ind w:left="672" w:leftChars="0"/>
        <w:textAlignment w:val="auto"/>
        <w:outlineLvl w:val="2"/>
        <w:rPr>
          <w:rFonts w:hint="default" w:ascii="Times New Roman" w:hAnsi="Times New Roman" w:cs="Times New Roman"/>
          <w:color w:val="auto"/>
          <w:sz w:val="32"/>
          <w:szCs w:val="32"/>
          <w:highlight w:val="none"/>
        </w:rPr>
      </w:pPr>
      <w:bookmarkStart w:id="37" w:name="_Toc3208"/>
      <w:r>
        <w:rPr>
          <w:rFonts w:hint="default" w:ascii="Times New Roman" w:hAnsi="Times New Roman" w:cs="Times New Roman"/>
          <w:color w:val="auto"/>
          <w:sz w:val="32"/>
          <w:szCs w:val="32"/>
          <w:highlight w:val="none"/>
          <w:lang w:val="en-US" w:eastAsia="zh-CN"/>
        </w:rPr>
        <w:t>3.</w:t>
      </w:r>
      <w:r>
        <w:rPr>
          <w:rFonts w:hint="default" w:ascii="Times New Roman" w:hAnsi="Times New Roman" w:cs="Times New Roman"/>
          <w:color w:val="auto"/>
          <w:sz w:val="32"/>
          <w:szCs w:val="32"/>
          <w:highlight w:val="none"/>
        </w:rPr>
        <w:t>四川省引进外资项目办公室（金沙江办）</w:t>
      </w:r>
      <w:bookmarkEnd w:id="37"/>
    </w:p>
    <w:p>
      <w:pPr>
        <w:pStyle w:val="10"/>
        <w:pageBreakBefore w:val="0"/>
        <w:numPr>
          <w:ilvl w:val="0"/>
          <w:numId w:val="0"/>
        </w:numPr>
        <w:kinsoku/>
        <w:wordWrap/>
        <w:overflowPunct/>
        <w:topLinePunct w:val="0"/>
        <w:autoSpaceDE/>
        <w:autoSpaceDN/>
        <w:bidi w:val="0"/>
        <w:adjustRightInd w:val="0"/>
        <w:snapToGrid w:val="0"/>
        <w:spacing w:before="93" w:line="540" w:lineRule="exact"/>
        <w:ind w:left="672" w:leftChars="0"/>
        <w:textAlignment w:val="auto"/>
        <w:outlineLvl w:val="2"/>
        <w:rPr>
          <w:rFonts w:hint="default" w:ascii="Times New Roman" w:hAnsi="Times New Roman" w:cs="Times New Roman"/>
          <w:color w:val="auto"/>
          <w:sz w:val="32"/>
          <w:szCs w:val="32"/>
          <w:highlight w:val="none"/>
        </w:rPr>
      </w:pPr>
      <w:bookmarkStart w:id="38" w:name="_Toc25453"/>
      <w:r>
        <w:rPr>
          <w:rFonts w:hint="default" w:ascii="Times New Roman" w:hAnsi="Times New Roman" w:cs="Times New Roman"/>
          <w:color w:val="auto"/>
          <w:sz w:val="32"/>
          <w:szCs w:val="32"/>
          <w:highlight w:val="none"/>
          <w:lang w:val="en-US" w:eastAsia="zh-CN"/>
        </w:rPr>
        <w:t>4.</w:t>
      </w:r>
      <w:r>
        <w:rPr>
          <w:rFonts w:hint="default" w:ascii="Times New Roman" w:hAnsi="Times New Roman" w:cs="Times New Roman"/>
          <w:color w:val="auto"/>
          <w:sz w:val="32"/>
          <w:szCs w:val="32"/>
          <w:highlight w:val="none"/>
        </w:rPr>
        <w:t>四川省成本调查监审局</w:t>
      </w:r>
      <w:bookmarkEnd w:id="38"/>
    </w:p>
    <w:p>
      <w:pPr>
        <w:pStyle w:val="10"/>
        <w:pageBreakBefore w:val="0"/>
        <w:numPr>
          <w:ilvl w:val="0"/>
          <w:numId w:val="0"/>
        </w:numPr>
        <w:kinsoku/>
        <w:wordWrap/>
        <w:overflowPunct/>
        <w:topLinePunct w:val="0"/>
        <w:autoSpaceDE/>
        <w:autoSpaceDN/>
        <w:bidi w:val="0"/>
        <w:adjustRightInd w:val="0"/>
        <w:snapToGrid w:val="0"/>
        <w:spacing w:before="93" w:line="540" w:lineRule="exact"/>
        <w:ind w:left="672" w:leftChars="0"/>
        <w:textAlignment w:val="auto"/>
        <w:outlineLvl w:val="2"/>
        <w:rPr>
          <w:rFonts w:hint="default" w:ascii="Times New Roman" w:hAnsi="Times New Roman" w:cs="Times New Roman"/>
          <w:color w:val="auto"/>
          <w:sz w:val="32"/>
          <w:szCs w:val="32"/>
          <w:highlight w:val="none"/>
        </w:rPr>
      </w:pPr>
      <w:bookmarkStart w:id="39" w:name="_Toc5584"/>
      <w:r>
        <w:rPr>
          <w:rFonts w:hint="default" w:ascii="Times New Roman" w:hAnsi="Times New Roman" w:cs="Times New Roman"/>
          <w:color w:val="auto"/>
          <w:sz w:val="32"/>
          <w:szCs w:val="32"/>
          <w:highlight w:val="none"/>
          <w:lang w:val="en-US" w:eastAsia="zh-CN"/>
        </w:rPr>
        <w:t>5.</w:t>
      </w:r>
      <w:r>
        <w:rPr>
          <w:rFonts w:hint="default" w:ascii="Times New Roman" w:hAnsi="Times New Roman" w:cs="Times New Roman"/>
          <w:color w:val="auto"/>
          <w:sz w:val="32"/>
          <w:szCs w:val="32"/>
          <w:highlight w:val="none"/>
        </w:rPr>
        <w:t>四川省价格监测局</w:t>
      </w:r>
      <w:bookmarkEnd w:id="39"/>
    </w:p>
    <w:p>
      <w:pPr>
        <w:pStyle w:val="10"/>
        <w:pageBreakBefore w:val="0"/>
        <w:numPr>
          <w:ilvl w:val="0"/>
          <w:numId w:val="0"/>
        </w:numPr>
        <w:kinsoku/>
        <w:wordWrap/>
        <w:overflowPunct/>
        <w:topLinePunct w:val="0"/>
        <w:autoSpaceDE/>
        <w:autoSpaceDN/>
        <w:bidi w:val="0"/>
        <w:adjustRightInd w:val="0"/>
        <w:snapToGrid w:val="0"/>
        <w:spacing w:before="93" w:line="540" w:lineRule="exact"/>
        <w:ind w:left="672" w:leftChars="0"/>
        <w:textAlignment w:val="auto"/>
        <w:outlineLvl w:val="2"/>
        <w:rPr>
          <w:rFonts w:hint="default" w:ascii="Times New Roman" w:hAnsi="Times New Roman" w:cs="Times New Roman"/>
          <w:color w:val="auto"/>
          <w:sz w:val="32"/>
          <w:szCs w:val="32"/>
          <w:highlight w:val="none"/>
        </w:rPr>
      </w:pPr>
      <w:bookmarkStart w:id="40" w:name="_Toc21281"/>
      <w:r>
        <w:rPr>
          <w:rFonts w:hint="default" w:ascii="Times New Roman" w:hAnsi="Times New Roman" w:cs="Times New Roman"/>
          <w:color w:val="auto"/>
          <w:sz w:val="32"/>
          <w:szCs w:val="32"/>
          <w:highlight w:val="none"/>
          <w:lang w:val="en-US" w:eastAsia="zh-CN"/>
        </w:rPr>
        <w:t>6.</w:t>
      </w:r>
      <w:r>
        <w:rPr>
          <w:rFonts w:hint="default" w:ascii="Times New Roman" w:hAnsi="Times New Roman" w:cs="Times New Roman"/>
          <w:color w:val="auto"/>
          <w:sz w:val="32"/>
          <w:szCs w:val="32"/>
          <w:highlight w:val="none"/>
        </w:rPr>
        <w:t>四川省价格认证中心</w:t>
      </w:r>
      <w:bookmarkEnd w:id="40"/>
    </w:p>
    <w:p>
      <w:pPr>
        <w:pStyle w:val="10"/>
        <w:pageBreakBefore w:val="0"/>
        <w:numPr>
          <w:ilvl w:val="0"/>
          <w:numId w:val="0"/>
        </w:numPr>
        <w:kinsoku/>
        <w:wordWrap/>
        <w:overflowPunct/>
        <w:topLinePunct w:val="0"/>
        <w:autoSpaceDE/>
        <w:autoSpaceDN/>
        <w:bidi w:val="0"/>
        <w:adjustRightInd w:val="0"/>
        <w:snapToGrid w:val="0"/>
        <w:spacing w:before="93" w:line="540" w:lineRule="exact"/>
        <w:ind w:left="672" w:leftChars="0"/>
        <w:textAlignment w:val="auto"/>
        <w:outlineLvl w:val="2"/>
        <w:rPr>
          <w:rFonts w:hint="default" w:ascii="Times New Roman" w:hAnsi="Times New Roman" w:cs="Times New Roman"/>
          <w:color w:val="auto"/>
          <w:sz w:val="32"/>
          <w:szCs w:val="32"/>
          <w:highlight w:val="none"/>
        </w:rPr>
      </w:pPr>
      <w:bookmarkStart w:id="41" w:name="_Toc28854"/>
      <w:r>
        <w:rPr>
          <w:rFonts w:hint="default" w:ascii="Times New Roman" w:hAnsi="Times New Roman" w:cs="Times New Roman"/>
          <w:color w:val="auto"/>
          <w:sz w:val="32"/>
          <w:szCs w:val="32"/>
          <w:highlight w:val="none"/>
          <w:lang w:val="en-US" w:eastAsia="zh-CN"/>
        </w:rPr>
        <w:t>7.</w:t>
      </w:r>
      <w:r>
        <w:rPr>
          <w:rFonts w:hint="default" w:ascii="Times New Roman" w:hAnsi="Times New Roman" w:cs="Times New Roman"/>
          <w:color w:val="auto"/>
          <w:sz w:val="32"/>
          <w:szCs w:val="32"/>
          <w:highlight w:val="none"/>
        </w:rPr>
        <w:t>四川省发展与改革研究所</w:t>
      </w:r>
      <w:bookmarkEnd w:id="41"/>
    </w:p>
    <w:p>
      <w:pPr>
        <w:pStyle w:val="10"/>
        <w:pageBreakBefore w:val="0"/>
        <w:numPr>
          <w:ilvl w:val="0"/>
          <w:numId w:val="0"/>
        </w:numPr>
        <w:kinsoku/>
        <w:wordWrap/>
        <w:overflowPunct/>
        <w:topLinePunct w:val="0"/>
        <w:autoSpaceDE/>
        <w:autoSpaceDN/>
        <w:bidi w:val="0"/>
        <w:adjustRightInd w:val="0"/>
        <w:snapToGrid w:val="0"/>
        <w:spacing w:before="93" w:line="540" w:lineRule="exact"/>
        <w:ind w:left="672" w:leftChars="0"/>
        <w:textAlignment w:val="auto"/>
        <w:outlineLvl w:val="2"/>
        <w:rPr>
          <w:rFonts w:hint="default" w:ascii="Times New Roman" w:hAnsi="Times New Roman" w:eastAsia="仿宋" w:cs="Times New Roman"/>
          <w:color w:val="auto"/>
          <w:sz w:val="32"/>
          <w:szCs w:val="32"/>
          <w:highlight w:val="none"/>
        </w:rPr>
      </w:pPr>
      <w:bookmarkStart w:id="42" w:name="_Toc24205"/>
      <w:r>
        <w:rPr>
          <w:rFonts w:hint="default" w:ascii="Times New Roman" w:hAnsi="Times New Roman" w:cs="Times New Roman"/>
          <w:color w:val="auto"/>
          <w:sz w:val="32"/>
          <w:szCs w:val="32"/>
          <w:highlight w:val="none"/>
          <w:lang w:val="en-US" w:eastAsia="zh-CN"/>
        </w:rPr>
        <w:t>8.</w:t>
      </w:r>
      <w:r>
        <w:rPr>
          <w:rFonts w:hint="default" w:ascii="Times New Roman" w:hAnsi="Times New Roman" w:cs="Times New Roman"/>
          <w:color w:val="auto"/>
          <w:sz w:val="32"/>
          <w:szCs w:val="32"/>
          <w:highlight w:val="none"/>
        </w:rPr>
        <w:t>四川省经济和社会发展研究院（四川省节能低碳中心）</w:t>
      </w:r>
      <w:bookmarkEnd w:id="32"/>
      <w:bookmarkEnd w:id="33"/>
      <w:bookmarkEnd w:id="34"/>
      <w:bookmarkEnd w:id="35"/>
      <w:bookmarkEnd w:id="42"/>
    </w:p>
    <w:p>
      <w:pPr>
        <w:pStyle w:val="10"/>
        <w:pageBreakBefore w:val="0"/>
        <w:numPr>
          <w:ilvl w:val="0"/>
          <w:numId w:val="0"/>
        </w:numPr>
        <w:kinsoku/>
        <w:wordWrap/>
        <w:overflowPunct/>
        <w:topLinePunct w:val="0"/>
        <w:autoSpaceDE/>
        <w:autoSpaceDN/>
        <w:bidi w:val="0"/>
        <w:adjustRightInd w:val="0"/>
        <w:snapToGrid w:val="0"/>
        <w:spacing w:before="93" w:line="540" w:lineRule="exact"/>
        <w:ind w:left="672" w:leftChars="0"/>
        <w:textAlignment w:val="auto"/>
        <w:outlineLvl w:val="2"/>
        <w:rPr>
          <w:rFonts w:hint="default" w:ascii="Times New Roman" w:hAnsi="Times New Roman" w:eastAsia="仿宋" w:cs="Times New Roman"/>
          <w:color w:val="auto"/>
          <w:sz w:val="32"/>
          <w:szCs w:val="32"/>
          <w:highlight w:val="none"/>
        </w:rPr>
      </w:pPr>
      <w:bookmarkStart w:id="43" w:name="_Toc11185"/>
      <w:r>
        <w:rPr>
          <w:rFonts w:hint="default" w:ascii="Times New Roman" w:hAnsi="Times New Roman" w:eastAsia="仿宋" w:cs="Times New Roman"/>
          <w:color w:val="auto"/>
          <w:sz w:val="32"/>
          <w:szCs w:val="32"/>
          <w:highlight w:val="none"/>
          <w:lang w:val="en-US" w:eastAsia="zh-CN"/>
        </w:rPr>
        <w:t>9.</w:t>
      </w:r>
      <w:r>
        <w:rPr>
          <w:rFonts w:hint="default" w:ascii="Times New Roman" w:hAnsi="Times New Roman" w:eastAsia="仿宋" w:cs="Times New Roman"/>
          <w:color w:val="auto"/>
          <w:sz w:val="32"/>
          <w:szCs w:val="32"/>
          <w:highlight w:val="none"/>
        </w:rPr>
        <w:t>四川省县域经济研究中心</w:t>
      </w:r>
      <w:bookmarkEnd w:id="43"/>
    </w:p>
    <w:p>
      <w:pPr>
        <w:pageBreakBefore w:val="0"/>
        <w:widowControl/>
        <w:kinsoku/>
        <w:wordWrap/>
        <w:overflowPunct/>
        <w:topLinePunct w:val="0"/>
        <w:autoSpaceDE/>
        <w:autoSpaceDN/>
        <w:bidi w:val="0"/>
        <w:spacing w:line="540" w:lineRule="exact"/>
        <w:jc w:val="left"/>
        <w:textAlignment w:val="auto"/>
        <w:rPr>
          <w:rFonts w:hint="default" w:ascii="Times New Roman" w:hAnsi="Times New Roman" w:eastAsia="仿宋" w:cs="Times New Roman"/>
          <w:color w:val="auto"/>
          <w:kern w:val="0"/>
          <w:sz w:val="32"/>
          <w:szCs w:val="32"/>
          <w:highlight w:val="none"/>
        </w:rPr>
      </w:pPr>
      <w:r>
        <w:rPr>
          <w:rFonts w:hint="default" w:ascii="Times New Roman" w:hAnsi="Times New Roman" w:eastAsia="仿宋" w:cs="Times New Roman"/>
          <w:color w:val="auto"/>
          <w:sz w:val="32"/>
          <w:szCs w:val="32"/>
          <w:highlight w:val="none"/>
        </w:rPr>
        <w:br w:type="page"/>
      </w:r>
    </w:p>
    <w:p>
      <w:pPr>
        <w:pStyle w:val="3"/>
        <w:pageBreakBefore w:val="0"/>
        <w:kinsoku/>
        <w:wordWrap/>
        <w:overflowPunct/>
        <w:topLinePunct w:val="0"/>
        <w:bidi w:val="0"/>
        <w:spacing w:after="0" w:line="540" w:lineRule="exact"/>
        <w:ind w:right="440"/>
        <w:jc w:val="center"/>
        <w:rPr>
          <w:rStyle w:val="39"/>
          <w:rFonts w:hint="default" w:ascii="Times New Roman" w:hAnsi="Times New Roman" w:eastAsia="黑体" w:cs="Times New Roman"/>
          <w:b w:val="0"/>
          <w:bCs/>
          <w:color w:val="auto"/>
          <w:highlight w:val="none"/>
        </w:rPr>
      </w:pPr>
      <w:bookmarkStart w:id="44" w:name="_Toc15377204"/>
      <w:bookmarkStart w:id="45" w:name="_Toc252"/>
      <w:bookmarkStart w:id="46" w:name="_Toc15396602"/>
      <w:r>
        <w:rPr>
          <w:rFonts w:hint="default" w:ascii="Times New Roman" w:hAnsi="Times New Roman" w:eastAsia="黑体" w:cs="Times New Roman"/>
          <w:b w:val="0"/>
          <w:color w:val="auto"/>
          <w:highlight w:val="none"/>
        </w:rPr>
        <w:t>第二部分 2020年度</w:t>
      </w:r>
      <w:r>
        <w:rPr>
          <w:rStyle w:val="39"/>
          <w:rFonts w:hint="default" w:ascii="Times New Roman" w:hAnsi="Times New Roman" w:eastAsia="黑体" w:cs="Times New Roman"/>
          <w:b w:val="0"/>
          <w:bCs/>
          <w:color w:val="auto"/>
          <w:highlight w:val="none"/>
        </w:rPr>
        <w:t>部门决算情况说明</w:t>
      </w:r>
      <w:bookmarkEnd w:id="44"/>
      <w:bookmarkEnd w:id="45"/>
      <w:bookmarkEnd w:id="46"/>
    </w:p>
    <w:p>
      <w:pPr>
        <w:pageBreakBefore w:val="0"/>
        <w:kinsoku/>
        <w:wordWrap/>
        <w:overflowPunct/>
        <w:topLinePunct w:val="0"/>
        <w:bidi w:val="0"/>
        <w:spacing w:line="540" w:lineRule="exact"/>
        <w:rPr>
          <w:rFonts w:hint="default" w:ascii="Times New Roman" w:hAnsi="Times New Roman" w:cs="Times New Roman"/>
          <w:color w:val="auto"/>
          <w:highlight w:val="none"/>
        </w:rPr>
      </w:pPr>
    </w:p>
    <w:p>
      <w:pPr>
        <w:pStyle w:val="38"/>
        <w:pageBreakBefore w:val="0"/>
        <w:numPr>
          <w:ilvl w:val="0"/>
          <w:numId w:val="1"/>
        </w:numPr>
        <w:kinsoku/>
        <w:wordWrap/>
        <w:overflowPunct/>
        <w:topLinePunct w:val="0"/>
        <w:bidi w:val="0"/>
        <w:spacing w:line="540" w:lineRule="exact"/>
        <w:ind w:firstLineChars="0"/>
        <w:outlineLvl w:val="1"/>
        <w:rPr>
          <w:rStyle w:val="40"/>
          <w:rFonts w:hint="default" w:ascii="Times New Roman" w:hAnsi="Times New Roman" w:eastAsia="黑体" w:cs="Times New Roman"/>
          <w:b w:val="0"/>
          <w:color w:val="auto"/>
          <w:highlight w:val="none"/>
        </w:rPr>
      </w:pPr>
      <w:bookmarkStart w:id="47" w:name="_Toc2279"/>
      <w:bookmarkStart w:id="48" w:name="_Toc15377205"/>
      <w:bookmarkStart w:id="49" w:name="_Toc15396603"/>
      <w:r>
        <w:rPr>
          <w:rFonts w:hint="default" w:ascii="Times New Roman" w:hAnsi="Times New Roman" w:eastAsia="黑体" w:cs="Times New Roman"/>
          <w:color w:val="auto"/>
          <w:sz w:val="32"/>
          <w:szCs w:val="32"/>
          <w:highlight w:val="none"/>
        </w:rPr>
        <w:t>收</w:t>
      </w:r>
      <w:r>
        <w:rPr>
          <w:rStyle w:val="40"/>
          <w:rFonts w:hint="default" w:ascii="Times New Roman" w:hAnsi="Times New Roman" w:eastAsia="黑体" w:cs="Times New Roman"/>
          <w:b w:val="0"/>
          <w:color w:val="auto"/>
          <w:highlight w:val="none"/>
        </w:rPr>
        <w:t>入支出决算总体情况说明</w:t>
      </w:r>
      <w:bookmarkEnd w:id="47"/>
      <w:bookmarkEnd w:id="48"/>
      <w:bookmarkEnd w:id="49"/>
    </w:p>
    <w:p>
      <w:pPr>
        <w:pageBreakBefore w:val="0"/>
        <w:kinsoku/>
        <w:wordWrap/>
        <w:overflowPunct/>
        <w:topLinePunct w:val="0"/>
        <w:bidi w:val="0"/>
        <w:spacing w:line="54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2020年度收、支总计20077.14万元。与2019年相比，收、支总计各增加1703.08万元，增长9.27%。主要变动原因是委机关安可工程等新增专项、直属事业单位事业收入、经营收入等增加。</w:t>
      </w:r>
    </w:p>
    <w:p>
      <w:pPr>
        <w:pageBreakBefore w:val="0"/>
        <w:kinsoku/>
        <w:wordWrap/>
        <w:overflowPunct/>
        <w:topLinePunct w:val="0"/>
        <w:bidi w:val="0"/>
        <w:spacing w:line="540" w:lineRule="exact"/>
        <w:ind w:firstLine="640" w:firstLineChars="200"/>
        <w:rPr>
          <w:rStyle w:val="40"/>
          <w:rFonts w:hint="default" w:ascii="Times New Roman" w:hAnsi="Times New Roman" w:eastAsia="黑体" w:cs="Times New Roman"/>
          <w:b w:val="0"/>
          <w:color w:val="auto"/>
          <w:highlight w:val="none"/>
        </w:rPr>
      </w:pPr>
      <w:r>
        <w:rPr>
          <w:rFonts w:hint="default" w:ascii="Times New Roman" w:hAnsi="Times New Roman" w:eastAsia="仿宋" w:cs="Times New Roman"/>
          <w:color w:val="auto"/>
          <w:sz w:val="32"/>
          <w:szCs w:val="32"/>
          <w:highlight w:val="none"/>
        </w:rPr>
        <w:drawing>
          <wp:anchor distT="0" distB="0" distL="114300" distR="114300" simplePos="0" relativeHeight="251658240" behindDoc="0" locked="0" layoutInCell="1" allowOverlap="1">
            <wp:simplePos x="0" y="0"/>
            <wp:positionH relativeFrom="margin">
              <wp:posOffset>54610</wp:posOffset>
            </wp:positionH>
            <wp:positionV relativeFrom="margin">
              <wp:posOffset>2505075</wp:posOffset>
            </wp:positionV>
            <wp:extent cx="5274310" cy="2055495"/>
            <wp:effectExtent l="19050" t="0" r="21590" b="1905"/>
            <wp:wrapSquare wrapText="bothSides"/>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bookmarkStart w:id="50" w:name="_Toc15396604"/>
      <w:bookmarkStart w:id="51" w:name="_Toc15377206"/>
      <w:r>
        <w:rPr>
          <w:rFonts w:hint="default" w:ascii="Times New Roman" w:hAnsi="Times New Roman" w:eastAsia="黑体" w:cs="Times New Roman"/>
          <w:color w:val="auto"/>
          <w:sz w:val="32"/>
          <w:szCs w:val="32"/>
          <w:highlight w:val="none"/>
          <w:lang w:val="en-US" w:eastAsia="zh-CN"/>
        </w:rPr>
        <w:t>二、</w:t>
      </w:r>
      <w:r>
        <w:rPr>
          <w:rFonts w:hint="default" w:ascii="Times New Roman" w:hAnsi="Times New Roman" w:eastAsia="黑体" w:cs="Times New Roman"/>
          <w:color w:val="auto"/>
          <w:sz w:val="32"/>
          <w:szCs w:val="32"/>
          <w:highlight w:val="none"/>
        </w:rPr>
        <w:t>收</w:t>
      </w:r>
      <w:r>
        <w:rPr>
          <w:rStyle w:val="40"/>
          <w:rFonts w:hint="default" w:ascii="Times New Roman" w:hAnsi="Times New Roman" w:eastAsia="黑体" w:cs="Times New Roman"/>
          <w:b w:val="0"/>
          <w:color w:val="auto"/>
          <w:highlight w:val="none"/>
        </w:rPr>
        <w:t>入决算情况说明</w:t>
      </w:r>
      <w:bookmarkEnd w:id="50"/>
      <w:bookmarkEnd w:id="51"/>
    </w:p>
    <w:p>
      <w:pPr>
        <w:pageBreakBefore w:val="0"/>
        <w:kinsoku/>
        <w:wordWrap/>
        <w:overflowPunct/>
        <w:topLinePunct w:val="0"/>
        <w:bidi w:val="0"/>
        <w:spacing w:line="540" w:lineRule="exact"/>
        <w:ind w:firstLine="640" w:firstLineChars="200"/>
        <w:outlineLvl w:val="1"/>
        <w:rPr>
          <w:rFonts w:hint="default" w:ascii="Times New Roman" w:hAnsi="Times New Roman" w:eastAsia="仿宋" w:cs="Times New Roman"/>
          <w:color w:val="auto"/>
          <w:sz w:val="32"/>
          <w:szCs w:val="32"/>
          <w:highlight w:val="none"/>
        </w:rPr>
      </w:pPr>
      <w:bookmarkStart w:id="52" w:name="_Toc24563"/>
      <w:r>
        <w:rPr>
          <w:rFonts w:hint="default" w:ascii="Times New Roman" w:hAnsi="Times New Roman" w:eastAsia="仿宋" w:cs="Times New Roman"/>
          <w:color w:val="auto"/>
          <w:sz w:val="32"/>
          <w:szCs w:val="32"/>
          <w:highlight w:val="none"/>
        </w:rPr>
        <w:t>2020年本年收入合计19837.3</w:t>
      </w:r>
      <w:r>
        <w:rPr>
          <w:rFonts w:hint="eastAsia" w:ascii="Times New Roman" w:hAnsi="Times New Roman" w:eastAsia="仿宋" w:cs="Times New Roman"/>
          <w:color w:val="auto"/>
          <w:sz w:val="32"/>
          <w:szCs w:val="32"/>
          <w:highlight w:val="none"/>
          <w:lang w:val="en-US" w:eastAsia="zh-CN"/>
        </w:rPr>
        <w:t>6</w:t>
      </w:r>
      <w:r>
        <w:rPr>
          <w:rFonts w:hint="default" w:ascii="Times New Roman" w:hAnsi="Times New Roman" w:eastAsia="仿宋" w:cs="Times New Roman"/>
          <w:color w:val="auto"/>
          <w:sz w:val="32"/>
          <w:szCs w:val="32"/>
          <w:highlight w:val="none"/>
        </w:rPr>
        <w:t>万元，其中：一般公共预算财政拨款收入18145.36万元，占91.47%；事业收入989.90万元，占4.99%；经营收入655.8</w:t>
      </w:r>
      <w:r>
        <w:rPr>
          <w:rFonts w:hint="eastAsia" w:ascii="Times New Roman" w:hAnsi="Times New Roman" w:eastAsia="仿宋" w:cs="Times New Roman"/>
          <w:color w:val="auto"/>
          <w:sz w:val="32"/>
          <w:szCs w:val="32"/>
          <w:highlight w:val="none"/>
          <w:lang w:val="en-US" w:eastAsia="zh-CN"/>
        </w:rPr>
        <w:t>3</w:t>
      </w:r>
      <w:r>
        <w:rPr>
          <w:rFonts w:hint="default" w:ascii="Times New Roman" w:hAnsi="Times New Roman" w:eastAsia="仿宋" w:cs="Times New Roman"/>
          <w:color w:val="auto"/>
          <w:sz w:val="32"/>
          <w:szCs w:val="32"/>
          <w:highlight w:val="none"/>
        </w:rPr>
        <w:t>万元，占3.31%；其他收入46.27万元，占0.23%。</w:t>
      </w:r>
      <w:bookmarkEnd w:id="52"/>
    </w:p>
    <w:p>
      <w:pPr>
        <w:pStyle w:val="2"/>
        <w:rPr>
          <w:rFonts w:hint="default"/>
        </w:rPr>
      </w:pPr>
      <w:r>
        <w:drawing>
          <wp:anchor distT="0" distB="0" distL="114300" distR="114300" simplePos="0" relativeHeight="251665408" behindDoc="0" locked="0" layoutInCell="1" allowOverlap="1">
            <wp:simplePos x="0" y="0"/>
            <wp:positionH relativeFrom="column">
              <wp:posOffset>254000</wp:posOffset>
            </wp:positionH>
            <wp:positionV relativeFrom="paragraph">
              <wp:posOffset>119380</wp:posOffset>
            </wp:positionV>
            <wp:extent cx="4787900" cy="2186940"/>
            <wp:effectExtent l="4445" t="4445" r="8255" b="18415"/>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38"/>
        <w:pageBreakBefore w:val="0"/>
        <w:numPr>
          <w:ilvl w:val="0"/>
          <w:numId w:val="0"/>
        </w:numPr>
        <w:kinsoku/>
        <w:wordWrap/>
        <w:overflowPunct/>
        <w:topLinePunct w:val="0"/>
        <w:bidi w:val="0"/>
        <w:spacing w:line="540" w:lineRule="exact"/>
        <w:ind w:left="640" w:leftChars="0"/>
        <w:outlineLvl w:val="1"/>
        <w:rPr>
          <w:rStyle w:val="40"/>
          <w:rFonts w:hint="default" w:ascii="Times New Roman" w:hAnsi="Times New Roman" w:eastAsia="黑体" w:cs="Times New Roman"/>
          <w:b w:val="0"/>
          <w:color w:val="auto"/>
          <w:highlight w:val="none"/>
        </w:rPr>
      </w:pPr>
      <w:bookmarkStart w:id="53" w:name="_Toc15396605"/>
      <w:bookmarkStart w:id="54" w:name="_Toc15377207"/>
      <w:bookmarkStart w:id="55" w:name="_Toc15320"/>
      <w:r>
        <w:rPr>
          <w:rFonts w:hint="default" w:ascii="Times New Roman" w:hAnsi="Times New Roman" w:eastAsia="黑体" w:cs="Times New Roman"/>
          <w:color w:val="auto"/>
          <w:sz w:val="32"/>
          <w:szCs w:val="32"/>
          <w:highlight w:val="none"/>
          <w:lang w:val="en-US" w:eastAsia="zh-CN"/>
        </w:rPr>
        <w:t>三、</w:t>
      </w:r>
      <w:r>
        <w:rPr>
          <w:rFonts w:hint="default" w:ascii="Times New Roman" w:hAnsi="Times New Roman" w:eastAsia="黑体" w:cs="Times New Roman"/>
          <w:color w:val="auto"/>
          <w:sz w:val="32"/>
          <w:szCs w:val="32"/>
          <w:highlight w:val="none"/>
        </w:rPr>
        <w:t>支</w:t>
      </w:r>
      <w:r>
        <w:rPr>
          <w:rStyle w:val="40"/>
          <w:rFonts w:hint="default" w:ascii="Times New Roman" w:hAnsi="Times New Roman" w:eastAsia="黑体" w:cs="Times New Roman"/>
          <w:b w:val="0"/>
          <w:color w:val="auto"/>
          <w:highlight w:val="none"/>
        </w:rPr>
        <w:t>出决算情况说明</w:t>
      </w:r>
      <w:bookmarkEnd w:id="53"/>
      <w:bookmarkEnd w:id="54"/>
      <w:bookmarkEnd w:id="55"/>
    </w:p>
    <w:p>
      <w:pPr>
        <w:pageBreakBefore w:val="0"/>
        <w:kinsoku/>
        <w:wordWrap/>
        <w:overflowPunct/>
        <w:topLinePunct w:val="0"/>
        <w:bidi w:val="0"/>
        <w:spacing w:line="540" w:lineRule="exact"/>
        <w:ind w:firstLine="640" w:firstLineChars="200"/>
        <w:outlineLvl w:val="1"/>
        <w:rPr>
          <w:rFonts w:hint="default" w:ascii="Times New Roman" w:hAnsi="Times New Roman" w:eastAsia="仿宋" w:cs="Times New Roman"/>
          <w:color w:val="auto"/>
          <w:sz w:val="32"/>
          <w:szCs w:val="32"/>
          <w:highlight w:val="none"/>
        </w:rPr>
      </w:pPr>
      <w:bookmarkStart w:id="56" w:name="_Toc15547"/>
      <w:r>
        <w:rPr>
          <w:rFonts w:hint="default" w:ascii="Times New Roman" w:hAnsi="Times New Roman" w:eastAsia="仿宋" w:cs="Times New Roman"/>
          <w:color w:val="auto"/>
          <w:sz w:val="32"/>
          <w:szCs w:val="32"/>
          <w:highlight w:val="none"/>
        </w:rPr>
        <w:t>2020年本年支出合计19690.97万元，其中：基本支出12653.1</w:t>
      </w:r>
      <w:r>
        <w:rPr>
          <w:rFonts w:hint="eastAsia" w:ascii="Times New Roman" w:hAnsi="Times New Roman" w:eastAsia="仿宋" w:cs="Times New Roman"/>
          <w:color w:val="auto"/>
          <w:sz w:val="32"/>
          <w:szCs w:val="32"/>
          <w:highlight w:val="none"/>
          <w:lang w:val="en-US" w:eastAsia="zh-CN"/>
        </w:rPr>
        <w:t>9</w:t>
      </w:r>
      <w:r>
        <w:rPr>
          <w:rFonts w:hint="default" w:ascii="Times New Roman" w:hAnsi="Times New Roman" w:eastAsia="仿宋" w:cs="Times New Roman"/>
          <w:color w:val="auto"/>
          <w:sz w:val="32"/>
          <w:szCs w:val="32"/>
          <w:highlight w:val="none"/>
        </w:rPr>
        <w:t>万元，占64.26%；项目支出6511.07万元，占33.07%；经营支出526.71万元，占2.67%。</w:t>
      </w:r>
      <w:bookmarkEnd w:id="56"/>
    </w:p>
    <w:p>
      <w:pPr>
        <w:pageBreakBefore w:val="0"/>
        <w:kinsoku/>
        <w:wordWrap/>
        <w:overflowPunct/>
        <w:topLinePunct w:val="0"/>
        <w:bidi w:val="0"/>
        <w:spacing w:line="540" w:lineRule="exact"/>
        <w:ind w:firstLine="640" w:firstLineChars="200"/>
        <w:outlineLvl w:val="1"/>
        <w:rPr>
          <w:rStyle w:val="40"/>
          <w:rFonts w:hint="default" w:ascii="Times New Roman" w:hAnsi="Times New Roman" w:eastAsia="黑体" w:cs="Times New Roman"/>
          <w:b w:val="0"/>
          <w:color w:val="auto"/>
          <w:highlight w:val="none"/>
        </w:rPr>
      </w:pPr>
      <w:bookmarkStart w:id="57" w:name="_Toc15396606"/>
      <w:bookmarkStart w:id="58" w:name="_Toc15377208"/>
      <w:bookmarkStart w:id="59" w:name="_Toc5452"/>
      <w:r>
        <w:rPr>
          <w:rFonts w:hint="default" w:ascii="Times New Roman" w:hAnsi="Times New Roman" w:eastAsia="仿宋" w:cs="Times New Roman"/>
          <w:b/>
          <w:color w:val="auto"/>
          <w:sz w:val="32"/>
          <w:szCs w:val="32"/>
          <w:highlight w:val="none"/>
        </w:rPr>
        <w:drawing>
          <wp:anchor distT="0" distB="0" distL="114300" distR="114300" simplePos="0" relativeHeight="251660288" behindDoc="0" locked="0" layoutInCell="1" allowOverlap="1">
            <wp:simplePos x="0" y="0"/>
            <wp:positionH relativeFrom="column">
              <wp:posOffset>171450</wp:posOffset>
            </wp:positionH>
            <wp:positionV relativeFrom="paragraph">
              <wp:posOffset>133350</wp:posOffset>
            </wp:positionV>
            <wp:extent cx="5057775" cy="2552700"/>
            <wp:effectExtent l="4445" t="4445" r="5080" b="14605"/>
            <wp:wrapTopAndBottom/>
            <wp:docPr id="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default" w:ascii="Times New Roman" w:hAnsi="Times New Roman" w:eastAsia="黑体" w:cs="Times New Roman"/>
          <w:color w:val="auto"/>
          <w:sz w:val="32"/>
          <w:szCs w:val="32"/>
          <w:highlight w:val="none"/>
        </w:rPr>
        <w:t>四、财</w:t>
      </w:r>
      <w:r>
        <w:rPr>
          <w:rStyle w:val="40"/>
          <w:rFonts w:hint="default" w:ascii="Times New Roman" w:hAnsi="Times New Roman" w:eastAsia="黑体" w:cs="Times New Roman"/>
          <w:b w:val="0"/>
          <w:color w:val="auto"/>
          <w:highlight w:val="none"/>
        </w:rPr>
        <w:t>政拨款收入支出决算总体情况说明</w:t>
      </w:r>
      <w:bookmarkEnd w:id="57"/>
      <w:bookmarkEnd w:id="58"/>
      <w:bookmarkEnd w:id="59"/>
    </w:p>
    <w:p>
      <w:pPr>
        <w:pageBreakBefore w:val="0"/>
        <w:kinsoku/>
        <w:wordWrap/>
        <w:overflowPunct/>
        <w:topLinePunct w:val="0"/>
        <w:bidi w:val="0"/>
        <w:spacing w:line="540" w:lineRule="exact"/>
        <w:ind w:firstLine="64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2020年财政拨款收、支总计18145.36万元。与2019年相比，财政拨款收、支总计各增加780.48万元，增长4.49%。主要变动原因是安可工程等专项资金增加。</w:t>
      </w:r>
    </w:p>
    <w:p>
      <w:pPr>
        <w:pageBreakBefore w:val="0"/>
        <w:kinsoku/>
        <w:wordWrap/>
        <w:overflowPunct/>
        <w:topLinePunct w:val="0"/>
        <w:bidi w:val="0"/>
        <w:spacing w:line="540" w:lineRule="exact"/>
        <w:ind w:firstLine="640" w:firstLineChars="200"/>
        <w:outlineLvl w:val="1"/>
        <w:rPr>
          <w:rStyle w:val="40"/>
          <w:rFonts w:hint="default" w:ascii="Times New Roman" w:hAnsi="Times New Roman" w:eastAsia="黑体" w:cs="Times New Roman"/>
          <w:b w:val="0"/>
          <w:color w:val="auto"/>
          <w:highlight w:val="none"/>
        </w:rPr>
      </w:pPr>
      <w:bookmarkStart w:id="60" w:name="_Toc15377209"/>
      <w:bookmarkStart w:id="61" w:name="_Toc15396607"/>
      <w:bookmarkStart w:id="62" w:name="_Toc28440"/>
      <w:r>
        <w:rPr>
          <w:rFonts w:hint="default" w:ascii="Times New Roman" w:hAnsi="Times New Roman" w:eastAsia="仿宋" w:cs="Times New Roman"/>
          <w:color w:val="auto"/>
          <w:sz w:val="32"/>
          <w:szCs w:val="32"/>
          <w:highlight w:val="none"/>
        </w:rPr>
        <w:drawing>
          <wp:anchor distT="0" distB="0" distL="114300" distR="114300" simplePos="0" relativeHeight="251661312" behindDoc="0" locked="0" layoutInCell="1" allowOverlap="1">
            <wp:simplePos x="0" y="0"/>
            <wp:positionH relativeFrom="margin">
              <wp:posOffset>31750</wp:posOffset>
            </wp:positionH>
            <wp:positionV relativeFrom="margin">
              <wp:posOffset>5582920</wp:posOffset>
            </wp:positionV>
            <wp:extent cx="5274310" cy="2055495"/>
            <wp:effectExtent l="19050" t="0" r="21590" b="1905"/>
            <wp:wrapSquare wrapText="bothSides"/>
            <wp:docPr id="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default" w:ascii="Times New Roman" w:hAnsi="Times New Roman" w:eastAsia="黑体" w:cs="Times New Roman"/>
          <w:color w:val="auto"/>
          <w:sz w:val="32"/>
          <w:szCs w:val="32"/>
          <w:highlight w:val="none"/>
        </w:rPr>
        <w:t>五、</w:t>
      </w:r>
      <w:r>
        <w:rPr>
          <w:rFonts w:hint="default" w:ascii="Times New Roman" w:hAnsi="Times New Roman" w:eastAsia="黑体" w:cs="Times New Roman"/>
          <w:b/>
          <w:color w:val="auto"/>
          <w:sz w:val="32"/>
          <w:szCs w:val="32"/>
          <w:highlight w:val="none"/>
        </w:rPr>
        <w:t>一</w:t>
      </w:r>
      <w:r>
        <w:rPr>
          <w:rStyle w:val="40"/>
          <w:rFonts w:hint="default" w:ascii="Times New Roman" w:hAnsi="Times New Roman" w:eastAsia="黑体" w:cs="Times New Roman"/>
          <w:b w:val="0"/>
          <w:color w:val="auto"/>
          <w:highlight w:val="none"/>
        </w:rPr>
        <w:t>般公共预算财政拨款支出决算情况说明</w:t>
      </w:r>
      <w:bookmarkEnd w:id="60"/>
      <w:bookmarkEnd w:id="61"/>
      <w:bookmarkEnd w:id="62"/>
    </w:p>
    <w:p>
      <w:pPr>
        <w:pageBreakBefore w:val="0"/>
        <w:kinsoku/>
        <w:wordWrap/>
        <w:overflowPunct/>
        <w:topLinePunct w:val="0"/>
        <w:bidi w:val="0"/>
        <w:spacing w:line="540" w:lineRule="exact"/>
        <w:ind w:firstLine="643" w:firstLineChars="200"/>
        <w:outlineLvl w:val="2"/>
        <w:rPr>
          <w:rFonts w:hint="default" w:ascii="Times New Roman" w:hAnsi="Times New Roman" w:eastAsia="楷体_GB2312" w:cs="Times New Roman"/>
          <w:b/>
          <w:bCs w:val="0"/>
          <w:color w:val="auto"/>
          <w:sz w:val="32"/>
          <w:szCs w:val="32"/>
          <w:highlight w:val="none"/>
        </w:rPr>
      </w:pPr>
      <w:bookmarkStart w:id="63" w:name="_Toc6061"/>
      <w:bookmarkStart w:id="64" w:name="_Toc15377210"/>
      <w:r>
        <w:rPr>
          <w:rFonts w:hint="default" w:ascii="Times New Roman" w:hAnsi="Times New Roman" w:eastAsia="楷体_GB2312" w:cs="Times New Roman"/>
          <w:b/>
          <w:bCs w:val="0"/>
          <w:color w:val="auto"/>
          <w:sz w:val="32"/>
          <w:szCs w:val="32"/>
          <w:highlight w:val="none"/>
        </w:rPr>
        <w:t>（一）一般公共预算财政拨款支出决算总体情况</w:t>
      </w:r>
      <w:bookmarkEnd w:id="63"/>
      <w:bookmarkEnd w:id="64"/>
    </w:p>
    <w:p>
      <w:pPr>
        <w:pageBreakBefore w:val="0"/>
        <w:kinsoku/>
        <w:wordWrap/>
        <w:overflowPunct/>
        <w:topLinePunct w:val="0"/>
        <w:bidi w:val="0"/>
        <w:spacing w:line="54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2020年一般公共预算财政拨款支出18145.36万元，占本年支出合计的780.48%。与2019年相比，一般公共预算财政拨款增加780.48万元，增长4.49%。主要变动原因是安可工程等专项资金增加。</w:t>
      </w:r>
    </w:p>
    <w:p>
      <w:pPr>
        <w:pageBreakBefore w:val="0"/>
        <w:kinsoku/>
        <w:wordWrap/>
        <w:overflowPunct/>
        <w:topLinePunct w:val="0"/>
        <w:bidi w:val="0"/>
        <w:spacing w:line="540" w:lineRule="exact"/>
        <w:ind w:firstLine="643" w:firstLineChars="200"/>
        <w:outlineLvl w:val="2"/>
        <w:rPr>
          <w:rFonts w:hint="default" w:ascii="Times New Roman" w:hAnsi="Times New Roman" w:eastAsia="楷体_GB2312" w:cs="Times New Roman"/>
          <w:b/>
          <w:bCs/>
          <w:color w:val="auto"/>
          <w:sz w:val="32"/>
          <w:szCs w:val="32"/>
          <w:highlight w:val="none"/>
        </w:rPr>
      </w:pPr>
      <w:bookmarkStart w:id="65" w:name="_Toc6836"/>
      <w:bookmarkStart w:id="66" w:name="_Toc15377211"/>
      <w:r>
        <w:rPr>
          <w:rFonts w:hint="default" w:ascii="Times New Roman" w:hAnsi="Times New Roman" w:eastAsia="楷体_GB2312" w:cs="Times New Roman"/>
          <w:b/>
          <w:bCs/>
          <w:color w:val="auto"/>
          <w:sz w:val="32"/>
          <w:szCs w:val="32"/>
          <w:highlight w:val="none"/>
        </w:rPr>
        <w:drawing>
          <wp:anchor distT="0" distB="0" distL="114300" distR="114300" simplePos="0" relativeHeight="251662336" behindDoc="0" locked="0" layoutInCell="1" allowOverlap="1">
            <wp:simplePos x="0" y="0"/>
            <wp:positionH relativeFrom="margin">
              <wp:posOffset>40640</wp:posOffset>
            </wp:positionH>
            <wp:positionV relativeFrom="margin">
              <wp:posOffset>1134745</wp:posOffset>
            </wp:positionV>
            <wp:extent cx="5274310" cy="2055495"/>
            <wp:effectExtent l="19050" t="0" r="21590" b="1905"/>
            <wp:wrapSquare wrapText="bothSides"/>
            <wp:docPr id="9"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default" w:ascii="Times New Roman" w:hAnsi="Times New Roman" w:eastAsia="楷体_GB2312" w:cs="Times New Roman"/>
          <w:b/>
          <w:bCs/>
          <w:color w:val="auto"/>
          <w:sz w:val="32"/>
          <w:szCs w:val="32"/>
          <w:highlight w:val="none"/>
        </w:rPr>
        <w:t>（二）一般公共预算财政拨款支出决算结构情况</w:t>
      </w:r>
      <w:bookmarkEnd w:id="65"/>
      <w:bookmarkEnd w:id="66"/>
    </w:p>
    <w:p>
      <w:pPr>
        <w:pageBreakBefore w:val="0"/>
        <w:kinsoku/>
        <w:wordWrap/>
        <w:overflowPunct/>
        <w:topLinePunct w:val="0"/>
        <w:bidi w:val="0"/>
        <w:spacing w:line="540" w:lineRule="exact"/>
        <w:ind w:firstLine="64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drawing>
          <wp:anchor distT="0" distB="0" distL="114300" distR="114300" simplePos="0" relativeHeight="251663360" behindDoc="0" locked="0" layoutInCell="1" allowOverlap="1">
            <wp:simplePos x="0" y="0"/>
            <wp:positionH relativeFrom="margin">
              <wp:posOffset>28575</wp:posOffset>
            </wp:positionH>
            <wp:positionV relativeFrom="margin">
              <wp:posOffset>6305550</wp:posOffset>
            </wp:positionV>
            <wp:extent cx="5200650" cy="2458085"/>
            <wp:effectExtent l="4445" t="4445" r="14605" b="13970"/>
            <wp:wrapTopAndBottom/>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default" w:ascii="Times New Roman" w:hAnsi="Times New Roman" w:eastAsia="仿宋_GB2312" w:cs="Times New Roman"/>
          <w:b w:val="0"/>
          <w:bCs w:val="0"/>
          <w:color w:val="auto"/>
          <w:sz w:val="32"/>
          <w:szCs w:val="32"/>
          <w:highlight w:val="none"/>
        </w:rPr>
        <w:t>2020年一般公共预算财政拨款支出18145.36万元，主要用于以下方面:一般公共服务（类）支出13742.48万元，占75.74%；教育支出（类）74.59万元，占0.41%；科学技术（类）支出404.15万元，占2.23%；社会保障和就业（类）支出2174.32万元，占11.98%；卫生健康支出613.34万元，占3.38%；住房保障支出1020.48万元，占5.62%；灾害防治及应急管理支出16万元，占0.09%；其他支出100万元，占0.55%。</w:t>
      </w:r>
    </w:p>
    <w:p>
      <w:pPr>
        <w:pageBreakBefore w:val="0"/>
        <w:kinsoku/>
        <w:wordWrap/>
        <w:overflowPunct/>
        <w:topLinePunct w:val="0"/>
        <w:bidi w:val="0"/>
        <w:spacing w:line="540" w:lineRule="exact"/>
        <w:ind w:firstLine="643" w:firstLineChars="200"/>
        <w:outlineLvl w:val="2"/>
        <w:rPr>
          <w:rFonts w:hint="default" w:ascii="Times New Roman" w:hAnsi="Times New Roman" w:eastAsia="楷体_GB2312" w:cs="Times New Roman"/>
          <w:b/>
          <w:bCs w:val="0"/>
          <w:color w:val="auto"/>
          <w:sz w:val="32"/>
          <w:szCs w:val="32"/>
          <w:highlight w:val="none"/>
        </w:rPr>
      </w:pPr>
      <w:bookmarkStart w:id="67" w:name="_Toc15377212"/>
      <w:bookmarkStart w:id="68" w:name="_Toc32566"/>
      <w:r>
        <w:rPr>
          <w:rFonts w:hint="default" w:ascii="Times New Roman" w:hAnsi="Times New Roman" w:eastAsia="楷体_GB2312" w:cs="Times New Roman"/>
          <w:b/>
          <w:bCs w:val="0"/>
          <w:color w:val="auto"/>
          <w:sz w:val="32"/>
          <w:szCs w:val="32"/>
          <w:highlight w:val="none"/>
        </w:rPr>
        <w:t>（三）一般公共预算财政拨款支出决算具体情况</w:t>
      </w:r>
      <w:bookmarkEnd w:id="67"/>
      <w:bookmarkEnd w:id="68"/>
    </w:p>
    <w:p>
      <w:pPr>
        <w:pageBreakBefore w:val="0"/>
        <w:kinsoku/>
        <w:wordWrap/>
        <w:overflowPunct/>
        <w:topLinePunct w:val="0"/>
        <w:bidi w:val="0"/>
        <w:spacing w:line="540" w:lineRule="exact"/>
        <w:ind w:firstLine="643" w:firstLineChars="200"/>
        <w:outlineLvl w:val="2"/>
        <w:rPr>
          <w:rFonts w:hint="default" w:ascii="Times New Roman" w:hAnsi="Times New Roman" w:eastAsia="仿宋" w:cs="Times New Roman"/>
          <w:color w:val="auto"/>
          <w:sz w:val="32"/>
          <w:szCs w:val="32"/>
          <w:highlight w:val="none"/>
        </w:rPr>
      </w:pPr>
      <w:bookmarkStart w:id="69" w:name="_Toc15377444"/>
      <w:bookmarkStart w:id="70" w:name="_Toc15378460"/>
      <w:bookmarkStart w:id="71" w:name="_Toc15377213"/>
      <w:bookmarkStart w:id="72" w:name="_Toc7450"/>
      <w:r>
        <w:rPr>
          <w:rFonts w:hint="default" w:ascii="Times New Roman" w:hAnsi="Times New Roman" w:eastAsia="仿宋" w:cs="Times New Roman"/>
          <w:b/>
          <w:color w:val="auto"/>
          <w:sz w:val="32"/>
          <w:szCs w:val="32"/>
          <w:highlight w:val="none"/>
        </w:rPr>
        <w:t>2020年一般公共预算支出决算数为18145.36</w:t>
      </w:r>
      <w:r>
        <w:rPr>
          <w:rFonts w:hint="default" w:ascii="Times New Roman" w:hAnsi="Times New Roman" w:eastAsia="仿宋" w:cs="Times New Roman"/>
          <w:color w:val="auto"/>
          <w:sz w:val="32"/>
          <w:szCs w:val="32"/>
          <w:highlight w:val="none"/>
        </w:rPr>
        <w:t>，</w:t>
      </w:r>
      <w:r>
        <w:rPr>
          <w:rStyle w:val="26"/>
          <w:rFonts w:hint="default" w:ascii="Times New Roman" w:hAnsi="Times New Roman" w:eastAsia="仿宋" w:cs="Times New Roman"/>
          <w:bCs/>
          <w:color w:val="auto"/>
          <w:sz w:val="32"/>
          <w:szCs w:val="32"/>
          <w:highlight w:val="none"/>
        </w:rPr>
        <w:t>完成预算100%。其中：</w:t>
      </w:r>
      <w:bookmarkEnd w:id="69"/>
      <w:bookmarkEnd w:id="70"/>
      <w:bookmarkEnd w:id="71"/>
      <w:bookmarkEnd w:id="72"/>
    </w:p>
    <w:p>
      <w:pPr>
        <w:pageBreakBefore w:val="0"/>
        <w:kinsoku/>
        <w:wordWrap/>
        <w:overflowPunct/>
        <w:topLinePunct w:val="0"/>
        <w:bidi w:val="0"/>
        <w:spacing w:line="540" w:lineRule="exact"/>
        <w:ind w:firstLine="643" w:firstLineChars="200"/>
        <w:rPr>
          <w:rStyle w:val="26"/>
          <w:rFonts w:hint="default" w:ascii="Times New Roman" w:hAnsi="Times New Roman" w:eastAsia="仿宋" w:cs="Times New Roman"/>
          <w:b w:val="0"/>
          <w:bCs/>
          <w:color w:val="auto"/>
          <w:sz w:val="32"/>
          <w:szCs w:val="32"/>
          <w:highlight w:val="none"/>
        </w:rPr>
      </w:pPr>
      <w:r>
        <w:rPr>
          <w:rStyle w:val="26"/>
          <w:rFonts w:hint="default" w:ascii="Times New Roman" w:hAnsi="Times New Roman" w:eastAsia="仿宋" w:cs="Times New Roman"/>
          <w:bCs/>
          <w:color w:val="auto"/>
          <w:sz w:val="32"/>
          <w:szCs w:val="32"/>
          <w:highlight w:val="none"/>
        </w:rPr>
        <w:t>1.一般公共服务（类）发展与改革事务（款）行政运行（项）:</w:t>
      </w:r>
      <w:r>
        <w:rPr>
          <w:rStyle w:val="26"/>
          <w:rFonts w:hint="default" w:ascii="Times New Roman" w:hAnsi="Times New Roman" w:eastAsia="仿宋" w:cs="Times New Roman"/>
          <w:b w:val="0"/>
          <w:bCs/>
          <w:color w:val="auto"/>
          <w:sz w:val="32"/>
          <w:szCs w:val="32"/>
          <w:highlight w:val="none"/>
        </w:rPr>
        <w:t>支出决算为6037.84万元，完成预算100%，决算数等于预算数。</w:t>
      </w:r>
    </w:p>
    <w:p>
      <w:pPr>
        <w:pageBreakBefore w:val="0"/>
        <w:kinsoku/>
        <w:wordWrap/>
        <w:overflowPunct/>
        <w:topLinePunct w:val="0"/>
        <w:bidi w:val="0"/>
        <w:spacing w:line="540" w:lineRule="exact"/>
        <w:ind w:firstLine="643" w:firstLineChars="200"/>
        <w:rPr>
          <w:rFonts w:hint="default" w:ascii="Times New Roman" w:hAnsi="Times New Roman" w:eastAsia="仿宋" w:cs="Times New Roman"/>
          <w:b/>
          <w:color w:val="auto"/>
          <w:sz w:val="32"/>
          <w:szCs w:val="32"/>
          <w:highlight w:val="none"/>
        </w:rPr>
      </w:pPr>
      <w:r>
        <w:rPr>
          <w:rStyle w:val="26"/>
          <w:rFonts w:hint="default" w:ascii="Times New Roman" w:hAnsi="Times New Roman" w:eastAsia="仿宋" w:cs="Times New Roman"/>
          <w:bCs/>
          <w:color w:val="auto"/>
          <w:sz w:val="32"/>
          <w:szCs w:val="32"/>
          <w:highlight w:val="none"/>
        </w:rPr>
        <w:t>2.一般公共服务（类）发展与改革事务（款）一般行政管理事务（项）:</w:t>
      </w:r>
      <w:r>
        <w:rPr>
          <w:rStyle w:val="26"/>
          <w:rFonts w:hint="default" w:ascii="Times New Roman" w:hAnsi="Times New Roman" w:eastAsia="仿宋" w:cs="Times New Roman"/>
          <w:b w:val="0"/>
          <w:bCs/>
          <w:color w:val="auto"/>
          <w:sz w:val="32"/>
          <w:szCs w:val="32"/>
          <w:highlight w:val="none"/>
        </w:rPr>
        <w:t>支出决算为2625.23万元，完成预算100%，决算数等于预算数。</w:t>
      </w:r>
    </w:p>
    <w:p>
      <w:pPr>
        <w:pageBreakBefore w:val="0"/>
        <w:kinsoku/>
        <w:wordWrap/>
        <w:overflowPunct/>
        <w:topLinePunct w:val="0"/>
        <w:bidi w:val="0"/>
        <w:spacing w:line="540" w:lineRule="exact"/>
        <w:ind w:firstLine="643" w:firstLineChars="200"/>
        <w:rPr>
          <w:rFonts w:hint="default" w:ascii="Times New Roman" w:hAnsi="Times New Roman" w:eastAsia="仿宋" w:cs="Times New Roman"/>
          <w:b/>
          <w:color w:val="auto"/>
          <w:sz w:val="32"/>
          <w:szCs w:val="32"/>
          <w:highlight w:val="none"/>
        </w:rPr>
      </w:pPr>
      <w:r>
        <w:rPr>
          <w:rStyle w:val="26"/>
          <w:rFonts w:hint="default" w:ascii="Times New Roman" w:hAnsi="Times New Roman" w:eastAsia="仿宋" w:cs="Times New Roman"/>
          <w:bCs/>
          <w:color w:val="auto"/>
          <w:sz w:val="32"/>
          <w:szCs w:val="32"/>
          <w:highlight w:val="none"/>
        </w:rPr>
        <w:t>3.一般公共服务（类）发展与改革事务（款）机关服务（项）:</w:t>
      </w:r>
      <w:r>
        <w:rPr>
          <w:rStyle w:val="26"/>
          <w:rFonts w:hint="default" w:ascii="Times New Roman" w:hAnsi="Times New Roman" w:eastAsia="仿宋" w:cs="Times New Roman"/>
          <w:b w:val="0"/>
          <w:bCs/>
          <w:color w:val="auto"/>
          <w:sz w:val="32"/>
          <w:szCs w:val="32"/>
          <w:highlight w:val="none"/>
        </w:rPr>
        <w:t>支出决算为441.6万元，完成预算100%，决算数等于预算数。</w:t>
      </w:r>
    </w:p>
    <w:p>
      <w:pPr>
        <w:pageBreakBefore w:val="0"/>
        <w:kinsoku/>
        <w:wordWrap/>
        <w:overflowPunct/>
        <w:topLinePunct w:val="0"/>
        <w:bidi w:val="0"/>
        <w:spacing w:line="540" w:lineRule="exact"/>
        <w:ind w:firstLine="643" w:firstLineChars="200"/>
        <w:rPr>
          <w:rFonts w:hint="default" w:ascii="Times New Roman" w:hAnsi="Times New Roman" w:eastAsia="仿宋" w:cs="Times New Roman"/>
          <w:b/>
          <w:color w:val="auto"/>
          <w:sz w:val="32"/>
          <w:szCs w:val="32"/>
          <w:highlight w:val="none"/>
        </w:rPr>
      </w:pPr>
      <w:r>
        <w:rPr>
          <w:rStyle w:val="26"/>
          <w:rFonts w:hint="default" w:ascii="Times New Roman" w:hAnsi="Times New Roman" w:eastAsia="仿宋" w:cs="Times New Roman"/>
          <w:bCs/>
          <w:color w:val="auto"/>
          <w:sz w:val="32"/>
          <w:szCs w:val="32"/>
          <w:highlight w:val="none"/>
        </w:rPr>
        <w:t>4.一般公共服务（类）发展与改革事务（款）战略规划与实施（项）:</w:t>
      </w:r>
      <w:r>
        <w:rPr>
          <w:rStyle w:val="26"/>
          <w:rFonts w:hint="default" w:ascii="Times New Roman" w:hAnsi="Times New Roman" w:eastAsia="仿宋" w:cs="Times New Roman"/>
          <w:b w:val="0"/>
          <w:bCs/>
          <w:color w:val="auto"/>
          <w:sz w:val="32"/>
          <w:szCs w:val="32"/>
          <w:highlight w:val="none"/>
        </w:rPr>
        <w:t>支出决算为184.9万元，完成预算100%，决算数等于预算数。</w:t>
      </w:r>
    </w:p>
    <w:p>
      <w:pPr>
        <w:pageBreakBefore w:val="0"/>
        <w:kinsoku/>
        <w:wordWrap/>
        <w:overflowPunct/>
        <w:topLinePunct w:val="0"/>
        <w:bidi w:val="0"/>
        <w:spacing w:line="540" w:lineRule="exact"/>
        <w:ind w:firstLine="643" w:firstLineChars="200"/>
        <w:rPr>
          <w:rFonts w:hint="default" w:ascii="Times New Roman" w:hAnsi="Times New Roman" w:eastAsia="仿宋" w:cs="Times New Roman"/>
          <w:b/>
          <w:color w:val="auto"/>
          <w:sz w:val="32"/>
          <w:szCs w:val="32"/>
          <w:highlight w:val="none"/>
        </w:rPr>
      </w:pPr>
      <w:r>
        <w:rPr>
          <w:rStyle w:val="26"/>
          <w:rFonts w:hint="default" w:ascii="Times New Roman" w:hAnsi="Times New Roman" w:eastAsia="仿宋" w:cs="Times New Roman"/>
          <w:bCs/>
          <w:color w:val="auto"/>
          <w:sz w:val="32"/>
          <w:szCs w:val="32"/>
          <w:highlight w:val="none"/>
        </w:rPr>
        <w:t>5.一般公共服务（类）发展与改革事务（款）社会事业发展规划（项）:</w:t>
      </w:r>
      <w:r>
        <w:rPr>
          <w:rStyle w:val="26"/>
          <w:rFonts w:hint="default" w:ascii="Times New Roman" w:hAnsi="Times New Roman" w:eastAsia="仿宋" w:cs="Times New Roman"/>
          <w:b w:val="0"/>
          <w:bCs/>
          <w:color w:val="auto"/>
          <w:sz w:val="32"/>
          <w:szCs w:val="32"/>
          <w:highlight w:val="none"/>
        </w:rPr>
        <w:t>支出决算为707.13万元，完成预算100%，决算数等于预算数。</w:t>
      </w:r>
    </w:p>
    <w:p>
      <w:pPr>
        <w:pageBreakBefore w:val="0"/>
        <w:kinsoku/>
        <w:wordWrap/>
        <w:overflowPunct/>
        <w:topLinePunct w:val="0"/>
        <w:bidi w:val="0"/>
        <w:spacing w:line="540" w:lineRule="exact"/>
        <w:ind w:firstLine="643" w:firstLineChars="200"/>
        <w:rPr>
          <w:rFonts w:hint="default" w:ascii="Times New Roman" w:hAnsi="Times New Roman" w:eastAsia="仿宋" w:cs="Times New Roman"/>
          <w:color w:val="auto"/>
          <w:sz w:val="32"/>
          <w:highlight w:val="none"/>
          <w:shd w:val="clear" w:color="auto" w:fill="FFFFFF"/>
        </w:rPr>
      </w:pPr>
      <w:r>
        <w:rPr>
          <w:rStyle w:val="26"/>
          <w:rFonts w:hint="default" w:ascii="Times New Roman" w:hAnsi="Times New Roman" w:eastAsia="仿宋" w:cs="Times New Roman"/>
          <w:bCs/>
          <w:color w:val="auto"/>
          <w:sz w:val="32"/>
          <w:szCs w:val="32"/>
          <w:highlight w:val="none"/>
        </w:rPr>
        <w:t>6.一般公共服务（类）发展与改革事务（款）物价管理（项）:</w:t>
      </w:r>
      <w:r>
        <w:rPr>
          <w:rStyle w:val="26"/>
          <w:rFonts w:hint="default" w:ascii="Times New Roman" w:hAnsi="Times New Roman" w:eastAsia="仿宋" w:cs="Times New Roman"/>
          <w:b w:val="0"/>
          <w:bCs/>
          <w:color w:val="auto"/>
          <w:sz w:val="32"/>
          <w:szCs w:val="32"/>
          <w:highlight w:val="none"/>
        </w:rPr>
        <w:t>支出决算为173.92万元，完成预算99.71%，</w:t>
      </w:r>
      <w:r>
        <w:rPr>
          <w:rFonts w:hint="default" w:ascii="Times New Roman" w:hAnsi="Times New Roman" w:eastAsia="仿宋" w:cs="Times New Roman"/>
          <w:color w:val="auto"/>
          <w:sz w:val="32"/>
          <w:highlight w:val="none"/>
          <w:shd w:val="clear" w:color="auto" w:fill="FFFFFF"/>
        </w:rPr>
        <w:t>决算数小于预算数的主要原因：差额0.5万元为省价格检测局使用财政资金支付的复印机租赁押金，账面上未列支，形成财政拨款结转。</w:t>
      </w:r>
    </w:p>
    <w:p>
      <w:pPr>
        <w:pageBreakBefore w:val="0"/>
        <w:kinsoku/>
        <w:wordWrap/>
        <w:overflowPunct/>
        <w:topLinePunct w:val="0"/>
        <w:bidi w:val="0"/>
        <w:spacing w:line="540" w:lineRule="exact"/>
        <w:ind w:firstLine="643" w:firstLineChars="200"/>
        <w:rPr>
          <w:rFonts w:hint="default" w:ascii="Times New Roman" w:hAnsi="Times New Roman" w:eastAsia="仿宋" w:cs="Times New Roman"/>
          <w:b/>
          <w:color w:val="auto"/>
          <w:sz w:val="32"/>
          <w:szCs w:val="32"/>
          <w:highlight w:val="none"/>
        </w:rPr>
      </w:pPr>
      <w:r>
        <w:rPr>
          <w:rStyle w:val="26"/>
          <w:rFonts w:hint="default" w:ascii="Times New Roman" w:hAnsi="Times New Roman" w:eastAsia="仿宋" w:cs="Times New Roman"/>
          <w:bCs/>
          <w:color w:val="auto"/>
          <w:sz w:val="32"/>
          <w:szCs w:val="32"/>
          <w:highlight w:val="none"/>
        </w:rPr>
        <w:t>7.一般公共服务（类）发展与改革事务（款）事业运行（项）:</w:t>
      </w:r>
      <w:r>
        <w:rPr>
          <w:rStyle w:val="26"/>
          <w:rFonts w:hint="default" w:ascii="Times New Roman" w:hAnsi="Times New Roman" w:eastAsia="仿宋" w:cs="Times New Roman"/>
          <w:b w:val="0"/>
          <w:bCs/>
          <w:color w:val="auto"/>
          <w:sz w:val="32"/>
          <w:szCs w:val="32"/>
          <w:highlight w:val="none"/>
        </w:rPr>
        <w:t>支出决算为655.75万元，完成预算100%，决算数等于预算数。</w:t>
      </w:r>
    </w:p>
    <w:p>
      <w:pPr>
        <w:pageBreakBefore w:val="0"/>
        <w:kinsoku/>
        <w:wordWrap/>
        <w:overflowPunct/>
        <w:topLinePunct w:val="0"/>
        <w:bidi w:val="0"/>
        <w:spacing w:line="540" w:lineRule="exact"/>
        <w:ind w:firstLine="643" w:firstLineChars="200"/>
        <w:rPr>
          <w:rStyle w:val="26"/>
          <w:rFonts w:hint="default" w:ascii="Times New Roman" w:hAnsi="Times New Roman" w:eastAsia="仿宋" w:cs="Times New Roman"/>
          <w:b w:val="0"/>
          <w:bCs/>
          <w:color w:val="auto"/>
          <w:sz w:val="32"/>
          <w:szCs w:val="32"/>
          <w:highlight w:val="none"/>
        </w:rPr>
      </w:pPr>
      <w:r>
        <w:rPr>
          <w:rStyle w:val="26"/>
          <w:rFonts w:hint="default" w:ascii="Times New Roman" w:hAnsi="Times New Roman" w:eastAsia="仿宋" w:cs="Times New Roman"/>
          <w:bCs/>
          <w:color w:val="auto"/>
          <w:sz w:val="32"/>
          <w:szCs w:val="32"/>
          <w:highlight w:val="none"/>
        </w:rPr>
        <w:t>8.一般公共服务（类）发展与改革事务（款）其他发展与改革事务支出（项）:</w:t>
      </w:r>
      <w:r>
        <w:rPr>
          <w:rStyle w:val="26"/>
          <w:rFonts w:hint="default" w:ascii="Times New Roman" w:hAnsi="Times New Roman" w:eastAsia="仿宋" w:cs="Times New Roman"/>
          <w:b w:val="0"/>
          <w:bCs/>
          <w:color w:val="auto"/>
          <w:sz w:val="32"/>
          <w:szCs w:val="32"/>
          <w:highlight w:val="none"/>
        </w:rPr>
        <w:t>支出决算为2502.19万元，完成预算100%，决算数等于预算数。</w:t>
      </w:r>
    </w:p>
    <w:p>
      <w:pPr>
        <w:pageBreakBefore w:val="0"/>
        <w:kinsoku/>
        <w:wordWrap/>
        <w:overflowPunct/>
        <w:topLinePunct w:val="0"/>
        <w:bidi w:val="0"/>
        <w:spacing w:line="540" w:lineRule="exact"/>
        <w:ind w:firstLine="643" w:firstLineChars="200"/>
        <w:rPr>
          <w:rStyle w:val="26"/>
          <w:rFonts w:hint="default" w:ascii="Times New Roman" w:hAnsi="Times New Roman" w:eastAsia="仿宋" w:cs="Times New Roman"/>
          <w:b w:val="0"/>
          <w:bCs/>
          <w:color w:val="auto"/>
          <w:sz w:val="32"/>
          <w:szCs w:val="32"/>
          <w:highlight w:val="none"/>
        </w:rPr>
      </w:pPr>
      <w:r>
        <w:rPr>
          <w:rStyle w:val="26"/>
          <w:rFonts w:hint="default" w:ascii="Times New Roman" w:hAnsi="Times New Roman" w:eastAsia="仿宋" w:cs="Times New Roman"/>
          <w:bCs/>
          <w:color w:val="auto"/>
          <w:sz w:val="32"/>
          <w:szCs w:val="32"/>
          <w:highlight w:val="none"/>
        </w:rPr>
        <w:t>9.一般公共服务（类）组织事务（款）一般行政管理事务（项）:</w:t>
      </w:r>
      <w:r>
        <w:rPr>
          <w:rStyle w:val="26"/>
          <w:rFonts w:hint="default" w:ascii="Times New Roman" w:hAnsi="Times New Roman" w:eastAsia="仿宋" w:cs="Times New Roman"/>
          <w:b w:val="0"/>
          <w:bCs/>
          <w:color w:val="auto"/>
          <w:sz w:val="32"/>
          <w:szCs w:val="32"/>
          <w:highlight w:val="none"/>
        </w:rPr>
        <w:t>支出决算为3.5万元，完成预算100%，决算数等于预算数。</w:t>
      </w:r>
    </w:p>
    <w:p>
      <w:pPr>
        <w:pageBreakBefore w:val="0"/>
        <w:kinsoku/>
        <w:wordWrap/>
        <w:overflowPunct/>
        <w:topLinePunct w:val="0"/>
        <w:bidi w:val="0"/>
        <w:spacing w:line="540" w:lineRule="exact"/>
        <w:ind w:firstLine="643" w:firstLineChars="200"/>
        <w:rPr>
          <w:rFonts w:hint="default" w:ascii="Times New Roman" w:hAnsi="Times New Roman" w:eastAsia="仿宋" w:cs="Times New Roman"/>
          <w:bCs/>
          <w:color w:val="auto"/>
          <w:sz w:val="32"/>
          <w:szCs w:val="32"/>
          <w:highlight w:val="none"/>
        </w:rPr>
      </w:pPr>
      <w:r>
        <w:rPr>
          <w:rStyle w:val="26"/>
          <w:rFonts w:hint="default" w:ascii="Times New Roman" w:hAnsi="Times New Roman" w:eastAsia="仿宋" w:cs="Times New Roman"/>
          <w:bCs/>
          <w:color w:val="auto"/>
          <w:sz w:val="32"/>
          <w:szCs w:val="32"/>
          <w:highlight w:val="none"/>
        </w:rPr>
        <w:t>10.一般公共服务（类）其他一般公共服务支出（款）其他一般公共服务支出（项）:</w:t>
      </w:r>
      <w:r>
        <w:rPr>
          <w:rStyle w:val="26"/>
          <w:rFonts w:hint="default" w:ascii="Times New Roman" w:hAnsi="Times New Roman" w:eastAsia="仿宋" w:cs="Times New Roman"/>
          <w:b w:val="0"/>
          <w:bCs/>
          <w:color w:val="auto"/>
          <w:sz w:val="32"/>
          <w:szCs w:val="32"/>
          <w:highlight w:val="none"/>
        </w:rPr>
        <w:t>支出决算为410.42万元，完成预算100%，决算数等于预算数。</w:t>
      </w:r>
    </w:p>
    <w:p>
      <w:pPr>
        <w:pageBreakBefore w:val="0"/>
        <w:kinsoku/>
        <w:wordWrap/>
        <w:overflowPunct/>
        <w:topLinePunct w:val="0"/>
        <w:bidi w:val="0"/>
        <w:spacing w:line="540" w:lineRule="exact"/>
        <w:ind w:firstLine="643" w:firstLineChars="200"/>
        <w:rPr>
          <w:rFonts w:hint="default" w:ascii="Times New Roman" w:hAnsi="Times New Roman" w:eastAsia="仿宋" w:cs="Times New Roman"/>
          <w:b/>
          <w:color w:val="auto"/>
          <w:sz w:val="32"/>
          <w:szCs w:val="32"/>
          <w:highlight w:val="none"/>
        </w:rPr>
      </w:pPr>
      <w:r>
        <w:rPr>
          <w:rStyle w:val="26"/>
          <w:rFonts w:hint="default" w:ascii="Times New Roman" w:hAnsi="Times New Roman" w:eastAsia="仿宋" w:cs="Times New Roman"/>
          <w:bCs/>
          <w:color w:val="auto"/>
          <w:sz w:val="32"/>
          <w:szCs w:val="32"/>
          <w:highlight w:val="none"/>
        </w:rPr>
        <w:t>11.</w:t>
      </w:r>
      <w:r>
        <w:rPr>
          <w:rFonts w:hint="default" w:ascii="Times New Roman" w:hAnsi="Times New Roman" w:cs="Times New Roman"/>
          <w:color w:val="auto"/>
          <w:highlight w:val="none"/>
        </w:rPr>
        <w:t xml:space="preserve"> </w:t>
      </w:r>
      <w:r>
        <w:rPr>
          <w:rStyle w:val="26"/>
          <w:rFonts w:hint="default" w:ascii="Times New Roman" w:hAnsi="Times New Roman" w:eastAsia="仿宋" w:cs="Times New Roman"/>
          <w:bCs/>
          <w:color w:val="auto"/>
          <w:sz w:val="32"/>
          <w:szCs w:val="32"/>
          <w:highlight w:val="none"/>
        </w:rPr>
        <w:t>教育支出（类）进修及培训（款）培训支出（项）:</w:t>
      </w:r>
      <w:r>
        <w:rPr>
          <w:rStyle w:val="26"/>
          <w:rFonts w:hint="default" w:ascii="Times New Roman" w:hAnsi="Times New Roman" w:eastAsia="仿宋" w:cs="Times New Roman"/>
          <w:b w:val="0"/>
          <w:bCs/>
          <w:color w:val="auto"/>
          <w:sz w:val="32"/>
          <w:szCs w:val="32"/>
          <w:highlight w:val="none"/>
        </w:rPr>
        <w:t>支出决算为74.59万元，完成预算100%，决算数等于预算数。</w:t>
      </w:r>
    </w:p>
    <w:p>
      <w:pPr>
        <w:pageBreakBefore w:val="0"/>
        <w:kinsoku/>
        <w:wordWrap/>
        <w:overflowPunct/>
        <w:topLinePunct w:val="0"/>
        <w:bidi w:val="0"/>
        <w:spacing w:line="540" w:lineRule="exact"/>
        <w:ind w:firstLine="643" w:firstLineChars="200"/>
        <w:rPr>
          <w:rStyle w:val="26"/>
          <w:rFonts w:hint="default" w:ascii="Times New Roman" w:hAnsi="Times New Roman" w:eastAsia="仿宋" w:cs="Times New Roman"/>
          <w:b w:val="0"/>
          <w:bCs/>
          <w:color w:val="auto"/>
          <w:sz w:val="32"/>
          <w:szCs w:val="32"/>
          <w:highlight w:val="none"/>
        </w:rPr>
      </w:pPr>
      <w:r>
        <w:rPr>
          <w:rStyle w:val="26"/>
          <w:rFonts w:hint="default" w:ascii="Times New Roman" w:hAnsi="Times New Roman" w:eastAsia="仿宋" w:cs="Times New Roman"/>
          <w:bCs/>
          <w:color w:val="auto"/>
          <w:sz w:val="32"/>
          <w:szCs w:val="32"/>
          <w:highlight w:val="none"/>
        </w:rPr>
        <w:t>12.科学技术（类）应用研究（款）机构运行（项）:</w:t>
      </w:r>
      <w:r>
        <w:rPr>
          <w:rStyle w:val="26"/>
          <w:rFonts w:hint="default" w:ascii="Times New Roman" w:hAnsi="Times New Roman" w:eastAsia="仿宋" w:cs="Times New Roman"/>
          <w:b w:val="0"/>
          <w:bCs/>
          <w:color w:val="auto"/>
          <w:sz w:val="32"/>
          <w:szCs w:val="32"/>
          <w:highlight w:val="none"/>
        </w:rPr>
        <w:t>支出决算为281.91万元，完成预算100%，决算数等于预算数。</w:t>
      </w:r>
    </w:p>
    <w:p>
      <w:pPr>
        <w:pageBreakBefore w:val="0"/>
        <w:kinsoku/>
        <w:wordWrap/>
        <w:overflowPunct/>
        <w:topLinePunct w:val="0"/>
        <w:bidi w:val="0"/>
        <w:spacing w:line="540" w:lineRule="exact"/>
        <w:ind w:firstLine="643" w:firstLineChars="200"/>
        <w:rPr>
          <w:rFonts w:hint="default" w:ascii="Times New Roman" w:hAnsi="Times New Roman" w:eastAsia="仿宋" w:cs="Times New Roman"/>
          <w:b/>
          <w:color w:val="auto"/>
          <w:sz w:val="32"/>
          <w:szCs w:val="32"/>
          <w:highlight w:val="none"/>
        </w:rPr>
      </w:pPr>
      <w:r>
        <w:rPr>
          <w:rStyle w:val="26"/>
          <w:rFonts w:hint="default" w:ascii="Times New Roman" w:hAnsi="Times New Roman" w:eastAsia="仿宋" w:cs="Times New Roman"/>
          <w:bCs/>
          <w:color w:val="auto"/>
          <w:sz w:val="32"/>
          <w:szCs w:val="32"/>
          <w:highlight w:val="none"/>
        </w:rPr>
        <w:t>13.科学技术（类）应用研究（款）社会公益研究（项）:</w:t>
      </w:r>
      <w:r>
        <w:rPr>
          <w:rStyle w:val="26"/>
          <w:rFonts w:hint="default" w:ascii="Times New Roman" w:hAnsi="Times New Roman" w:eastAsia="仿宋" w:cs="Times New Roman"/>
          <w:b w:val="0"/>
          <w:bCs/>
          <w:color w:val="auto"/>
          <w:sz w:val="32"/>
          <w:szCs w:val="32"/>
          <w:highlight w:val="none"/>
        </w:rPr>
        <w:t>支出决算为91.14万元，完成预算100%，决算数等于预算数。</w:t>
      </w:r>
    </w:p>
    <w:p>
      <w:pPr>
        <w:pageBreakBefore w:val="0"/>
        <w:kinsoku/>
        <w:wordWrap/>
        <w:overflowPunct/>
        <w:topLinePunct w:val="0"/>
        <w:bidi w:val="0"/>
        <w:spacing w:line="540" w:lineRule="exact"/>
        <w:ind w:firstLine="643" w:firstLineChars="200"/>
        <w:rPr>
          <w:rFonts w:hint="default" w:ascii="Times New Roman" w:hAnsi="Times New Roman" w:eastAsia="仿宋" w:cs="Times New Roman"/>
          <w:b/>
          <w:color w:val="auto"/>
          <w:sz w:val="32"/>
          <w:szCs w:val="32"/>
          <w:highlight w:val="none"/>
        </w:rPr>
      </w:pPr>
      <w:r>
        <w:rPr>
          <w:rStyle w:val="26"/>
          <w:rFonts w:hint="default" w:ascii="Times New Roman" w:hAnsi="Times New Roman" w:eastAsia="仿宋" w:cs="Times New Roman"/>
          <w:bCs/>
          <w:color w:val="auto"/>
          <w:sz w:val="32"/>
          <w:szCs w:val="32"/>
          <w:highlight w:val="none"/>
        </w:rPr>
        <w:t>14.科学技术（类）技术研究与开发（款）其他技术研究与开发支出（项）:</w:t>
      </w:r>
      <w:r>
        <w:rPr>
          <w:rStyle w:val="26"/>
          <w:rFonts w:hint="default" w:ascii="Times New Roman" w:hAnsi="Times New Roman" w:eastAsia="仿宋" w:cs="Times New Roman"/>
          <w:b w:val="0"/>
          <w:bCs/>
          <w:color w:val="auto"/>
          <w:sz w:val="32"/>
          <w:szCs w:val="32"/>
          <w:highlight w:val="none"/>
        </w:rPr>
        <w:t>支出决算为26.75万元，完成预算100%，决算数等于预算数。</w:t>
      </w:r>
    </w:p>
    <w:p>
      <w:pPr>
        <w:pageBreakBefore w:val="0"/>
        <w:kinsoku/>
        <w:wordWrap/>
        <w:overflowPunct/>
        <w:topLinePunct w:val="0"/>
        <w:bidi w:val="0"/>
        <w:spacing w:line="540" w:lineRule="exact"/>
        <w:ind w:firstLine="643" w:firstLineChars="200"/>
        <w:rPr>
          <w:rFonts w:hint="default" w:ascii="Times New Roman" w:hAnsi="Times New Roman" w:eastAsia="仿宋" w:cs="Times New Roman"/>
          <w:b/>
          <w:color w:val="auto"/>
          <w:sz w:val="32"/>
          <w:szCs w:val="32"/>
          <w:highlight w:val="none"/>
        </w:rPr>
      </w:pPr>
      <w:r>
        <w:rPr>
          <w:rStyle w:val="26"/>
          <w:rFonts w:hint="default" w:ascii="Times New Roman" w:hAnsi="Times New Roman" w:eastAsia="仿宋" w:cs="Times New Roman"/>
          <w:bCs/>
          <w:color w:val="auto"/>
          <w:sz w:val="32"/>
          <w:szCs w:val="32"/>
          <w:highlight w:val="none"/>
        </w:rPr>
        <w:t>15.科学技术（类）其他科学技术支出（款）其他科学技术支出（项）:</w:t>
      </w:r>
      <w:r>
        <w:rPr>
          <w:rStyle w:val="26"/>
          <w:rFonts w:hint="default" w:ascii="Times New Roman" w:hAnsi="Times New Roman" w:eastAsia="仿宋" w:cs="Times New Roman"/>
          <w:b w:val="0"/>
          <w:bCs/>
          <w:color w:val="auto"/>
          <w:sz w:val="32"/>
          <w:szCs w:val="32"/>
          <w:highlight w:val="none"/>
        </w:rPr>
        <w:t>支出决算为4.35万元，完成预算100%，决算数等于预算数。</w:t>
      </w:r>
    </w:p>
    <w:p>
      <w:pPr>
        <w:pageBreakBefore w:val="0"/>
        <w:kinsoku/>
        <w:wordWrap/>
        <w:overflowPunct/>
        <w:topLinePunct w:val="0"/>
        <w:bidi w:val="0"/>
        <w:spacing w:line="540" w:lineRule="exact"/>
        <w:ind w:firstLine="643" w:firstLineChars="200"/>
        <w:rPr>
          <w:rStyle w:val="26"/>
          <w:rFonts w:hint="default" w:ascii="Times New Roman" w:hAnsi="Times New Roman" w:eastAsia="仿宋" w:cs="Times New Roman"/>
          <w:b w:val="0"/>
          <w:bCs/>
          <w:color w:val="auto"/>
          <w:sz w:val="32"/>
          <w:szCs w:val="32"/>
          <w:highlight w:val="none"/>
        </w:rPr>
      </w:pPr>
      <w:r>
        <w:rPr>
          <w:rStyle w:val="26"/>
          <w:rFonts w:hint="default" w:ascii="Times New Roman" w:hAnsi="Times New Roman" w:eastAsia="仿宋" w:cs="Times New Roman"/>
          <w:bCs/>
          <w:color w:val="auto"/>
          <w:sz w:val="32"/>
          <w:szCs w:val="32"/>
          <w:highlight w:val="none"/>
        </w:rPr>
        <w:t>16.社会保障和就业（类）行政事业单位养老支出（款）行政单位离退休（项）:</w:t>
      </w:r>
      <w:r>
        <w:rPr>
          <w:rStyle w:val="26"/>
          <w:rFonts w:hint="default" w:ascii="Times New Roman" w:hAnsi="Times New Roman" w:eastAsia="仿宋" w:cs="Times New Roman"/>
          <w:b w:val="0"/>
          <w:bCs/>
          <w:color w:val="auto"/>
          <w:sz w:val="32"/>
          <w:szCs w:val="32"/>
          <w:highlight w:val="none"/>
        </w:rPr>
        <w:t>支出决算为1125.93万元，完成预算100%，决算数等于预算数。</w:t>
      </w:r>
    </w:p>
    <w:p>
      <w:pPr>
        <w:pageBreakBefore w:val="0"/>
        <w:kinsoku/>
        <w:wordWrap/>
        <w:overflowPunct/>
        <w:topLinePunct w:val="0"/>
        <w:bidi w:val="0"/>
        <w:spacing w:line="540" w:lineRule="exact"/>
        <w:ind w:firstLine="643" w:firstLineChars="200"/>
        <w:rPr>
          <w:rFonts w:hint="default" w:ascii="Times New Roman" w:hAnsi="Times New Roman" w:eastAsia="仿宋" w:cs="Times New Roman"/>
          <w:b/>
          <w:color w:val="auto"/>
          <w:sz w:val="32"/>
          <w:szCs w:val="32"/>
          <w:highlight w:val="none"/>
        </w:rPr>
      </w:pPr>
      <w:r>
        <w:rPr>
          <w:rStyle w:val="26"/>
          <w:rFonts w:hint="default" w:ascii="Times New Roman" w:hAnsi="Times New Roman" w:eastAsia="仿宋" w:cs="Times New Roman"/>
          <w:bCs/>
          <w:color w:val="auto"/>
          <w:sz w:val="32"/>
          <w:szCs w:val="32"/>
          <w:highlight w:val="none"/>
        </w:rPr>
        <w:t>17.社会保障和就业（类）行政事业单位养老支出（款）事业单位离退休（项）:</w:t>
      </w:r>
      <w:r>
        <w:rPr>
          <w:rStyle w:val="26"/>
          <w:rFonts w:hint="default" w:ascii="Times New Roman" w:hAnsi="Times New Roman" w:eastAsia="仿宋" w:cs="Times New Roman"/>
          <w:b w:val="0"/>
          <w:bCs/>
          <w:color w:val="auto"/>
          <w:sz w:val="32"/>
          <w:szCs w:val="32"/>
          <w:highlight w:val="none"/>
        </w:rPr>
        <w:t>支出决算为126.32万元，完成预算100%，决算数等于预算数。</w:t>
      </w:r>
    </w:p>
    <w:p>
      <w:pPr>
        <w:pageBreakBefore w:val="0"/>
        <w:kinsoku/>
        <w:wordWrap/>
        <w:overflowPunct/>
        <w:topLinePunct w:val="0"/>
        <w:bidi w:val="0"/>
        <w:spacing w:line="540" w:lineRule="exact"/>
        <w:ind w:firstLine="643" w:firstLineChars="200"/>
        <w:rPr>
          <w:rFonts w:hint="default" w:ascii="Times New Roman" w:hAnsi="Times New Roman" w:eastAsia="仿宋" w:cs="Times New Roman"/>
          <w:b/>
          <w:color w:val="auto"/>
          <w:sz w:val="32"/>
          <w:szCs w:val="32"/>
          <w:highlight w:val="none"/>
        </w:rPr>
      </w:pPr>
      <w:r>
        <w:rPr>
          <w:rStyle w:val="26"/>
          <w:rFonts w:hint="default" w:ascii="Times New Roman" w:hAnsi="Times New Roman" w:eastAsia="仿宋" w:cs="Times New Roman"/>
          <w:bCs/>
          <w:color w:val="auto"/>
          <w:sz w:val="32"/>
          <w:szCs w:val="32"/>
          <w:highlight w:val="none"/>
        </w:rPr>
        <w:t>18.社会保障和就业（类）行政事业单位养老支出（款）机关事业单位基本养老保险缴费支出（项）:</w:t>
      </w:r>
      <w:r>
        <w:rPr>
          <w:rStyle w:val="26"/>
          <w:rFonts w:hint="default" w:ascii="Times New Roman" w:hAnsi="Times New Roman" w:eastAsia="仿宋" w:cs="Times New Roman"/>
          <w:b w:val="0"/>
          <w:bCs/>
          <w:color w:val="auto"/>
          <w:sz w:val="32"/>
          <w:szCs w:val="32"/>
          <w:highlight w:val="none"/>
        </w:rPr>
        <w:t>支出决算为657.91万元，完成预算100%，决算数等于预算数。</w:t>
      </w:r>
    </w:p>
    <w:p>
      <w:pPr>
        <w:pageBreakBefore w:val="0"/>
        <w:kinsoku/>
        <w:wordWrap/>
        <w:overflowPunct/>
        <w:topLinePunct w:val="0"/>
        <w:bidi w:val="0"/>
        <w:spacing w:line="540" w:lineRule="exact"/>
        <w:ind w:firstLine="643" w:firstLineChars="200"/>
        <w:rPr>
          <w:rFonts w:hint="default" w:ascii="Times New Roman" w:hAnsi="Times New Roman" w:eastAsia="仿宋" w:cs="Times New Roman"/>
          <w:b/>
          <w:color w:val="auto"/>
          <w:sz w:val="32"/>
          <w:szCs w:val="32"/>
          <w:highlight w:val="none"/>
        </w:rPr>
      </w:pPr>
      <w:r>
        <w:rPr>
          <w:rStyle w:val="26"/>
          <w:rFonts w:hint="default" w:ascii="Times New Roman" w:hAnsi="Times New Roman" w:eastAsia="仿宋" w:cs="Times New Roman"/>
          <w:bCs/>
          <w:color w:val="auto"/>
          <w:sz w:val="32"/>
          <w:szCs w:val="32"/>
          <w:highlight w:val="none"/>
        </w:rPr>
        <w:t>19.社会保障和就业（类）行政事业单位养老支出（款）机关事业单位职业年金缴费支出（项）:</w:t>
      </w:r>
      <w:r>
        <w:rPr>
          <w:rStyle w:val="26"/>
          <w:rFonts w:hint="default" w:ascii="Times New Roman" w:hAnsi="Times New Roman" w:eastAsia="仿宋" w:cs="Times New Roman"/>
          <w:b w:val="0"/>
          <w:bCs/>
          <w:color w:val="auto"/>
          <w:sz w:val="32"/>
          <w:szCs w:val="32"/>
          <w:highlight w:val="none"/>
        </w:rPr>
        <w:t>支出决算为110.9万元，完成预算100%，决算数等于预算数。</w:t>
      </w:r>
    </w:p>
    <w:p>
      <w:pPr>
        <w:pageBreakBefore w:val="0"/>
        <w:kinsoku/>
        <w:wordWrap/>
        <w:overflowPunct/>
        <w:topLinePunct w:val="0"/>
        <w:bidi w:val="0"/>
        <w:spacing w:line="540" w:lineRule="exact"/>
        <w:ind w:firstLine="643" w:firstLineChars="200"/>
        <w:rPr>
          <w:rFonts w:hint="default" w:ascii="Times New Roman" w:hAnsi="Times New Roman" w:eastAsia="仿宋" w:cs="Times New Roman"/>
          <w:b/>
          <w:color w:val="auto"/>
          <w:sz w:val="32"/>
          <w:szCs w:val="32"/>
          <w:highlight w:val="none"/>
        </w:rPr>
      </w:pPr>
      <w:r>
        <w:rPr>
          <w:rStyle w:val="26"/>
          <w:rFonts w:hint="default" w:ascii="Times New Roman" w:hAnsi="Times New Roman" w:eastAsia="仿宋" w:cs="Times New Roman"/>
          <w:bCs/>
          <w:color w:val="auto"/>
          <w:sz w:val="32"/>
          <w:szCs w:val="32"/>
          <w:highlight w:val="none"/>
        </w:rPr>
        <w:t>20.社会保障和就业（类）抚恤（款）死亡抚恤（项）:</w:t>
      </w:r>
      <w:r>
        <w:rPr>
          <w:rStyle w:val="26"/>
          <w:rFonts w:hint="default" w:ascii="Times New Roman" w:hAnsi="Times New Roman" w:eastAsia="仿宋" w:cs="Times New Roman"/>
          <w:b w:val="0"/>
          <w:bCs/>
          <w:color w:val="auto"/>
          <w:sz w:val="32"/>
          <w:szCs w:val="32"/>
          <w:highlight w:val="none"/>
        </w:rPr>
        <w:t>支出决算为149.48万元，完成预算100%，决算数等于预算数。</w:t>
      </w:r>
    </w:p>
    <w:p>
      <w:pPr>
        <w:pageBreakBefore w:val="0"/>
        <w:kinsoku/>
        <w:wordWrap/>
        <w:overflowPunct/>
        <w:topLinePunct w:val="0"/>
        <w:bidi w:val="0"/>
        <w:spacing w:line="540" w:lineRule="exact"/>
        <w:ind w:firstLine="643" w:firstLineChars="200"/>
        <w:rPr>
          <w:rFonts w:hint="default" w:ascii="Times New Roman" w:hAnsi="Times New Roman" w:eastAsia="仿宋" w:cs="Times New Roman"/>
          <w:b/>
          <w:color w:val="auto"/>
          <w:sz w:val="32"/>
          <w:szCs w:val="32"/>
          <w:highlight w:val="none"/>
        </w:rPr>
      </w:pPr>
      <w:r>
        <w:rPr>
          <w:rStyle w:val="26"/>
          <w:rFonts w:hint="default" w:ascii="Times New Roman" w:hAnsi="Times New Roman" w:eastAsia="仿宋" w:cs="Times New Roman"/>
          <w:bCs/>
          <w:color w:val="auto"/>
          <w:sz w:val="32"/>
          <w:szCs w:val="32"/>
          <w:highlight w:val="none"/>
        </w:rPr>
        <w:t>21.社会保障和就业（类）其他社会保障和就业支出（款）其他社会保障和就业支出（项）:</w:t>
      </w:r>
      <w:r>
        <w:rPr>
          <w:rStyle w:val="26"/>
          <w:rFonts w:hint="default" w:ascii="Times New Roman" w:hAnsi="Times New Roman" w:eastAsia="仿宋" w:cs="Times New Roman"/>
          <w:b w:val="0"/>
          <w:bCs/>
          <w:color w:val="auto"/>
          <w:sz w:val="32"/>
          <w:szCs w:val="32"/>
          <w:highlight w:val="none"/>
        </w:rPr>
        <w:t>支出决算为3.58万元，完成预算100%，决算数等于预算数。</w:t>
      </w:r>
    </w:p>
    <w:p>
      <w:pPr>
        <w:pageBreakBefore w:val="0"/>
        <w:kinsoku/>
        <w:wordWrap/>
        <w:overflowPunct/>
        <w:topLinePunct w:val="0"/>
        <w:bidi w:val="0"/>
        <w:spacing w:line="540" w:lineRule="exact"/>
        <w:ind w:firstLine="643" w:firstLineChars="200"/>
        <w:rPr>
          <w:rFonts w:hint="default" w:ascii="Times New Roman" w:hAnsi="Times New Roman" w:eastAsia="仿宋" w:cs="Times New Roman"/>
          <w:b/>
          <w:color w:val="auto"/>
          <w:sz w:val="32"/>
          <w:szCs w:val="32"/>
          <w:highlight w:val="none"/>
        </w:rPr>
      </w:pPr>
      <w:r>
        <w:rPr>
          <w:rStyle w:val="26"/>
          <w:rFonts w:hint="default" w:ascii="Times New Roman" w:hAnsi="Times New Roman" w:eastAsia="仿宋" w:cs="Times New Roman"/>
          <w:bCs/>
          <w:color w:val="auto"/>
          <w:sz w:val="32"/>
          <w:szCs w:val="32"/>
          <w:highlight w:val="none"/>
        </w:rPr>
        <w:t>22.</w:t>
      </w:r>
      <w:r>
        <w:rPr>
          <w:rFonts w:hint="default" w:ascii="Times New Roman" w:hAnsi="Times New Roman" w:eastAsia="仿宋" w:cs="Times New Roman"/>
          <w:b/>
          <w:bCs/>
          <w:color w:val="auto"/>
          <w:sz w:val="32"/>
          <w:szCs w:val="32"/>
          <w:highlight w:val="none"/>
        </w:rPr>
        <w:t>卫生健康</w:t>
      </w:r>
      <w:r>
        <w:rPr>
          <w:rStyle w:val="26"/>
          <w:rFonts w:hint="default" w:ascii="Times New Roman" w:hAnsi="Times New Roman" w:eastAsia="仿宋" w:cs="Times New Roman"/>
          <w:bCs/>
          <w:color w:val="auto"/>
          <w:sz w:val="32"/>
          <w:szCs w:val="32"/>
          <w:highlight w:val="none"/>
        </w:rPr>
        <w:t>（类）行政事业单位医疗（款）行政单位医疗（项）:</w:t>
      </w:r>
      <w:r>
        <w:rPr>
          <w:rStyle w:val="26"/>
          <w:rFonts w:hint="default" w:ascii="Times New Roman" w:hAnsi="Times New Roman" w:eastAsia="仿宋" w:cs="Times New Roman"/>
          <w:b w:val="0"/>
          <w:bCs/>
          <w:color w:val="auto"/>
          <w:sz w:val="32"/>
          <w:szCs w:val="32"/>
          <w:highlight w:val="none"/>
        </w:rPr>
        <w:t>支出决算为67.42万元，完成预算100%，决算数等于预算数。</w:t>
      </w:r>
    </w:p>
    <w:p>
      <w:pPr>
        <w:pageBreakBefore w:val="0"/>
        <w:kinsoku/>
        <w:wordWrap/>
        <w:overflowPunct/>
        <w:topLinePunct w:val="0"/>
        <w:bidi w:val="0"/>
        <w:spacing w:line="540" w:lineRule="exact"/>
        <w:ind w:firstLine="643" w:firstLineChars="200"/>
        <w:rPr>
          <w:rFonts w:hint="default" w:ascii="Times New Roman" w:hAnsi="Times New Roman" w:eastAsia="仿宋" w:cs="Times New Roman"/>
          <w:b/>
          <w:color w:val="auto"/>
          <w:sz w:val="32"/>
          <w:szCs w:val="32"/>
          <w:highlight w:val="none"/>
        </w:rPr>
      </w:pPr>
      <w:r>
        <w:rPr>
          <w:rStyle w:val="26"/>
          <w:rFonts w:hint="default" w:ascii="Times New Roman" w:hAnsi="Times New Roman" w:eastAsia="仿宋" w:cs="Times New Roman"/>
          <w:bCs/>
          <w:color w:val="auto"/>
          <w:sz w:val="32"/>
          <w:szCs w:val="32"/>
          <w:highlight w:val="none"/>
        </w:rPr>
        <w:t>23.</w:t>
      </w:r>
      <w:r>
        <w:rPr>
          <w:rFonts w:hint="default" w:ascii="Times New Roman" w:hAnsi="Times New Roman" w:eastAsia="仿宋" w:cs="Times New Roman"/>
          <w:b/>
          <w:bCs/>
          <w:color w:val="auto"/>
          <w:sz w:val="32"/>
          <w:szCs w:val="32"/>
          <w:highlight w:val="none"/>
        </w:rPr>
        <w:t>卫生健康</w:t>
      </w:r>
      <w:r>
        <w:rPr>
          <w:rStyle w:val="26"/>
          <w:rFonts w:hint="default" w:ascii="Times New Roman" w:hAnsi="Times New Roman" w:eastAsia="仿宋" w:cs="Times New Roman"/>
          <w:bCs/>
          <w:color w:val="auto"/>
          <w:sz w:val="32"/>
          <w:szCs w:val="32"/>
          <w:highlight w:val="none"/>
        </w:rPr>
        <w:t>（类）行政事业单位医疗（款）事业单位医疗（项）:</w:t>
      </w:r>
      <w:r>
        <w:rPr>
          <w:rStyle w:val="26"/>
          <w:rFonts w:hint="default" w:ascii="Times New Roman" w:hAnsi="Times New Roman" w:eastAsia="仿宋" w:cs="Times New Roman"/>
          <w:b w:val="0"/>
          <w:bCs/>
          <w:color w:val="auto"/>
          <w:sz w:val="32"/>
          <w:szCs w:val="32"/>
          <w:highlight w:val="none"/>
        </w:rPr>
        <w:t>支出决算为430.19万元，完成预算100%，决算数等于预算数。</w:t>
      </w:r>
    </w:p>
    <w:p>
      <w:pPr>
        <w:pageBreakBefore w:val="0"/>
        <w:kinsoku/>
        <w:wordWrap/>
        <w:overflowPunct/>
        <w:topLinePunct w:val="0"/>
        <w:bidi w:val="0"/>
        <w:spacing w:line="540" w:lineRule="exact"/>
        <w:ind w:firstLine="643" w:firstLineChars="200"/>
        <w:rPr>
          <w:rFonts w:hint="default" w:ascii="Times New Roman" w:hAnsi="Times New Roman" w:eastAsia="仿宋" w:cs="Times New Roman"/>
          <w:b/>
          <w:color w:val="auto"/>
          <w:sz w:val="32"/>
          <w:szCs w:val="32"/>
          <w:highlight w:val="none"/>
        </w:rPr>
      </w:pPr>
      <w:r>
        <w:rPr>
          <w:rStyle w:val="26"/>
          <w:rFonts w:hint="default" w:ascii="Times New Roman" w:hAnsi="Times New Roman" w:eastAsia="仿宋" w:cs="Times New Roman"/>
          <w:bCs/>
          <w:color w:val="auto"/>
          <w:sz w:val="32"/>
          <w:szCs w:val="32"/>
          <w:highlight w:val="none"/>
        </w:rPr>
        <w:t>24.</w:t>
      </w:r>
      <w:r>
        <w:rPr>
          <w:rFonts w:hint="default" w:ascii="Times New Roman" w:hAnsi="Times New Roman" w:eastAsia="仿宋" w:cs="Times New Roman"/>
          <w:b/>
          <w:bCs/>
          <w:color w:val="auto"/>
          <w:sz w:val="32"/>
          <w:szCs w:val="32"/>
          <w:highlight w:val="none"/>
        </w:rPr>
        <w:t>卫生健康</w:t>
      </w:r>
      <w:r>
        <w:rPr>
          <w:rStyle w:val="26"/>
          <w:rFonts w:hint="default" w:ascii="Times New Roman" w:hAnsi="Times New Roman" w:eastAsia="仿宋" w:cs="Times New Roman"/>
          <w:bCs/>
          <w:color w:val="auto"/>
          <w:sz w:val="32"/>
          <w:szCs w:val="32"/>
          <w:highlight w:val="none"/>
        </w:rPr>
        <w:t>（类）行政事业单位医疗（款）公务员医疗补助（项）:</w:t>
      </w:r>
      <w:r>
        <w:rPr>
          <w:rStyle w:val="26"/>
          <w:rFonts w:hint="default" w:ascii="Times New Roman" w:hAnsi="Times New Roman" w:eastAsia="仿宋" w:cs="Times New Roman"/>
          <w:b w:val="0"/>
          <w:bCs/>
          <w:color w:val="auto"/>
          <w:sz w:val="32"/>
          <w:szCs w:val="32"/>
          <w:highlight w:val="none"/>
        </w:rPr>
        <w:t>支出决算为115.73万元，完成预算100%，决算数等于预算数。</w:t>
      </w:r>
    </w:p>
    <w:p>
      <w:pPr>
        <w:pageBreakBefore w:val="0"/>
        <w:kinsoku/>
        <w:wordWrap/>
        <w:overflowPunct/>
        <w:topLinePunct w:val="0"/>
        <w:bidi w:val="0"/>
        <w:spacing w:line="540" w:lineRule="exact"/>
        <w:ind w:firstLine="643" w:firstLineChars="200"/>
        <w:rPr>
          <w:rFonts w:hint="default" w:ascii="Times New Roman" w:hAnsi="Times New Roman" w:eastAsia="仿宋" w:cs="Times New Roman"/>
          <w:b/>
          <w:color w:val="auto"/>
          <w:sz w:val="32"/>
          <w:szCs w:val="32"/>
          <w:highlight w:val="none"/>
        </w:rPr>
      </w:pPr>
      <w:r>
        <w:rPr>
          <w:rStyle w:val="26"/>
          <w:rFonts w:hint="default" w:ascii="Times New Roman" w:hAnsi="Times New Roman" w:eastAsia="仿宋" w:cs="Times New Roman"/>
          <w:bCs/>
          <w:color w:val="auto"/>
          <w:sz w:val="32"/>
          <w:szCs w:val="32"/>
          <w:highlight w:val="none"/>
        </w:rPr>
        <w:t>25.</w:t>
      </w:r>
      <w:r>
        <w:rPr>
          <w:rFonts w:hint="default" w:ascii="Times New Roman" w:hAnsi="Times New Roman" w:cs="Times New Roman"/>
          <w:color w:val="auto"/>
          <w:highlight w:val="none"/>
        </w:rPr>
        <w:t xml:space="preserve"> </w:t>
      </w:r>
      <w:r>
        <w:rPr>
          <w:rFonts w:hint="default" w:ascii="Times New Roman" w:hAnsi="Times New Roman" w:eastAsia="仿宋" w:cs="Times New Roman"/>
          <w:b/>
          <w:bCs/>
          <w:color w:val="auto"/>
          <w:sz w:val="32"/>
          <w:szCs w:val="32"/>
          <w:highlight w:val="none"/>
        </w:rPr>
        <w:t>住房保障支出</w:t>
      </w:r>
      <w:r>
        <w:rPr>
          <w:rStyle w:val="26"/>
          <w:rFonts w:hint="default" w:ascii="Times New Roman" w:hAnsi="Times New Roman" w:eastAsia="仿宋" w:cs="Times New Roman"/>
          <w:bCs/>
          <w:color w:val="auto"/>
          <w:sz w:val="32"/>
          <w:szCs w:val="32"/>
          <w:highlight w:val="none"/>
        </w:rPr>
        <w:t>（类）住房改革支出（款）住房公积金（项）:</w:t>
      </w:r>
      <w:r>
        <w:rPr>
          <w:rStyle w:val="26"/>
          <w:rFonts w:hint="default" w:ascii="Times New Roman" w:hAnsi="Times New Roman" w:eastAsia="仿宋" w:cs="Times New Roman"/>
          <w:b w:val="0"/>
          <w:bCs/>
          <w:color w:val="auto"/>
          <w:sz w:val="32"/>
          <w:szCs w:val="32"/>
          <w:highlight w:val="none"/>
        </w:rPr>
        <w:t>支出决算为646.66万元，完成预算100%，决算数等于预算数。</w:t>
      </w:r>
    </w:p>
    <w:p>
      <w:pPr>
        <w:pageBreakBefore w:val="0"/>
        <w:kinsoku/>
        <w:wordWrap/>
        <w:overflowPunct/>
        <w:topLinePunct w:val="0"/>
        <w:bidi w:val="0"/>
        <w:spacing w:line="540" w:lineRule="exact"/>
        <w:ind w:firstLine="643" w:firstLineChars="200"/>
        <w:rPr>
          <w:rFonts w:hint="default" w:ascii="Times New Roman" w:hAnsi="Times New Roman" w:eastAsia="仿宋" w:cs="Times New Roman"/>
          <w:b/>
          <w:color w:val="auto"/>
          <w:sz w:val="32"/>
          <w:szCs w:val="32"/>
          <w:highlight w:val="none"/>
        </w:rPr>
      </w:pPr>
      <w:r>
        <w:rPr>
          <w:rStyle w:val="26"/>
          <w:rFonts w:hint="default" w:ascii="Times New Roman" w:hAnsi="Times New Roman" w:eastAsia="仿宋" w:cs="Times New Roman"/>
          <w:bCs/>
          <w:color w:val="auto"/>
          <w:sz w:val="32"/>
          <w:szCs w:val="32"/>
          <w:highlight w:val="none"/>
        </w:rPr>
        <w:t>26.</w:t>
      </w:r>
      <w:r>
        <w:rPr>
          <w:rFonts w:hint="default" w:ascii="Times New Roman" w:hAnsi="Times New Roman" w:eastAsia="仿宋" w:cs="Times New Roman"/>
          <w:b/>
          <w:bCs/>
          <w:color w:val="auto"/>
          <w:sz w:val="32"/>
          <w:szCs w:val="32"/>
          <w:highlight w:val="none"/>
        </w:rPr>
        <w:t xml:space="preserve"> 住房保障支出</w:t>
      </w:r>
      <w:r>
        <w:rPr>
          <w:rStyle w:val="26"/>
          <w:rFonts w:hint="default" w:ascii="Times New Roman" w:hAnsi="Times New Roman" w:eastAsia="仿宋" w:cs="Times New Roman"/>
          <w:bCs/>
          <w:color w:val="auto"/>
          <w:sz w:val="32"/>
          <w:szCs w:val="32"/>
          <w:highlight w:val="none"/>
        </w:rPr>
        <w:t>（类）住房改革支出（款）购房补贴（项）:</w:t>
      </w:r>
      <w:r>
        <w:rPr>
          <w:rStyle w:val="26"/>
          <w:rFonts w:hint="default" w:ascii="Times New Roman" w:hAnsi="Times New Roman" w:eastAsia="仿宋" w:cs="Times New Roman"/>
          <w:b w:val="0"/>
          <w:bCs/>
          <w:color w:val="auto"/>
          <w:sz w:val="32"/>
          <w:szCs w:val="32"/>
          <w:highlight w:val="none"/>
        </w:rPr>
        <w:t>支出决算为373.82万元，完成预算100%，决算数等于预算数。</w:t>
      </w:r>
    </w:p>
    <w:p>
      <w:pPr>
        <w:pageBreakBefore w:val="0"/>
        <w:kinsoku/>
        <w:wordWrap/>
        <w:overflowPunct/>
        <w:topLinePunct w:val="0"/>
        <w:bidi w:val="0"/>
        <w:spacing w:line="540" w:lineRule="exact"/>
        <w:ind w:firstLine="643" w:firstLineChars="200"/>
        <w:rPr>
          <w:rFonts w:hint="default" w:ascii="Times New Roman" w:hAnsi="Times New Roman" w:eastAsia="仿宋" w:cs="Times New Roman"/>
          <w:b/>
          <w:color w:val="auto"/>
          <w:sz w:val="32"/>
          <w:szCs w:val="32"/>
          <w:highlight w:val="none"/>
        </w:rPr>
      </w:pPr>
      <w:r>
        <w:rPr>
          <w:rStyle w:val="26"/>
          <w:rFonts w:hint="default" w:ascii="Times New Roman" w:hAnsi="Times New Roman" w:eastAsia="仿宋" w:cs="Times New Roman"/>
          <w:bCs/>
          <w:color w:val="auto"/>
          <w:sz w:val="32"/>
          <w:szCs w:val="32"/>
          <w:highlight w:val="none"/>
        </w:rPr>
        <w:t>27.</w:t>
      </w:r>
      <w:r>
        <w:rPr>
          <w:rFonts w:hint="default" w:ascii="Times New Roman" w:hAnsi="Times New Roman" w:cs="Times New Roman"/>
          <w:color w:val="auto"/>
          <w:highlight w:val="none"/>
        </w:rPr>
        <w:t xml:space="preserve"> </w:t>
      </w:r>
      <w:r>
        <w:rPr>
          <w:rFonts w:hint="default" w:ascii="Times New Roman" w:hAnsi="Times New Roman" w:eastAsia="仿宋" w:cs="Times New Roman"/>
          <w:b/>
          <w:bCs/>
          <w:color w:val="auto"/>
          <w:sz w:val="32"/>
          <w:szCs w:val="32"/>
          <w:highlight w:val="none"/>
        </w:rPr>
        <w:t>灾害防治及应急管理支出</w:t>
      </w:r>
      <w:r>
        <w:rPr>
          <w:rStyle w:val="26"/>
          <w:rFonts w:hint="default" w:ascii="Times New Roman" w:hAnsi="Times New Roman" w:eastAsia="仿宋" w:cs="Times New Roman"/>
          <w:bCs/>
          <w:color w:val="auto"/>
          <w:sz w:val="32"/>
          <w:szCs w:val="32"/>
          <w:highlight w:val="none"/>
        </w:rPr>
        <w:t>（类）应急管理事务（款）其他应急管理支出（项）:</w:t>
      </w:r>
      <w:r>
        <w:rPr>
          <w:rStyle w:val="26"/>
          <w:rFonts w:hint="default" w:ascii="Times New Roman" w:hAnsi="Times New Roman" w:eastAsia="仿宋" w:cs="Times New Roman"/>
          <w:b w:val="0"/>
          <w:bCs/>
          <w:color w:val="auto"/>
          <w:sz w:val="32"/>
          <w:szCs w:val="32"/>
          <w:highlight w:val="none"/>
        </w:rPr>
        <w:t>支出决算为16万元，完成预算100%，决算数等于预算数。</w:t>
      </w:r>
    </w:p>
    <w:p>
      <w:pPr>
        <w:pageBreakBefore w:val="0"/>
        <w:kinsoku/>
        <w:wordWrap/>
        <w:overflowPunct/>
        <w:topLinePunct w:val="0"/>
        <w:bidi w:val="0"/>
        <w:spacing w:line="540" w:lineRule="exact"/>
        <w:ind w:firstLine="643" w:firstLineChars="200"/>
        <w:rPr>
          <w:rFonts w:hint="default" w:ascii="Times New Roman" w:hAnsi="Times New Roman" w:eastAsia="仿宋" w:cs="Times New Roman"/>
          <w:b/>
          <w:color w:val="auto"/>
          <w:sz w:val="32"/>
          <w:szCs w:val="32"/>
          <w:highlight w:val="none"/>
        </w:rPr>
      </w:pPr>
      <w:r>
        <w:rPr>
          <w:rStyle w:val="26"/>
          <w:rFonts w:hint="default" w:ascii="Times New Roman" w:hAnsi="Times New Roman" w:eastAsia="仿宋" w:cs="Times New Roman"/>
          <w:bCs/>
          <w:color w:val="auto"/>
          <w:sz w:val="32"/>
          <w:szCs w:val="32"/>
          <w:highlight w:val="none"/>
        </w:rPr>
        <w:t>28.</w:t>
      </w:r>
      <w:r>
        <w:rPr>
          <w:rFonts w:hint="default" w:ascii="Times New Roman" w:hAnsi="Times New Roman" w:cs="Times New Roman"/>
          <w:color w:val="auto"/>
          <w:highlight w:val="none"/>
        </w:rPr>
        <w:t xml:space="preserve"> </w:t>
      </w:r>
      <w:r>
        <w:rPr>
          <w:rFonts w:hint="default" w:ascii="Times New Roman" w:hAnsi="Times New Roman" w:eastAsia="仿宋" w:cs="Times New Roman"/>
          <w:b/>
          <w:bCs/>
          <w:color w:val="auto"/>
          <w:sz w:val="32"/>
          <w:szCs w:val="32"/>
          <w:highlight w:val="none"/>
        </w:rPr>
        <w:t>其他支出</w:t>
      </w:r>
      <w:r>
        <w:rPr>
          <w:rStyle w:val="26"/>
          <w:rFonts w:hint="default" w:ascii="Times New Roman" w:hAnsi="Times New Roman" w:eastAsia="仿宋" w:cs="Times New Roman"/>
          <w:bCs/>
          <w:color w:val="auto"/>
          <w:sz w:val="32"/>
          <w:szCs w:val="32"/>
          <w:highlight w:val="none"/>
        </w:rPr>
        <w:t>（类）其他支出（款）其他支出（项）:</w:t>
      </w:r>
      <w:r>
        <w:rPr>
          <w:rStyle w:val="26"/>
          <w:rFonts w:hint="default" w:ascii="Times New Roman" w:hAnsi="Times New Roman" w:eastAsia="仿宋" w:cs="Times New Roman"/>
          <w:b w:val="0"/>
          <w:bCs/>
          <w:color w:val="auto"/>
          <w:sz w:val="32"/>
          <w:szCs w:val="32"/>
          <w:highlight w:val="none"/>
        </w:rPr>
        <w:t>支出决算为100万元，完成预算100%，决算数等于预算数。</w:t>
      </w:r>
    </w:p>
    <w:p>
      <w:pPr>
        <w:pageBreakBefore w:val="0"/>
        <w:tabs>
          <w:tab w:val="right" w:pos="8306"/>
        </w:tabs>
        <w:kinsoku/>
        <w:wordWrap/>
        <w:overflowPunct/>
        <w:topLinePunct w:val="0"/>
        <w:bidi w:val="0"/>
        <w:spacing w:line="540" w:lineRule="exact"/>
        <w:ind w:firstLine="640"/>
        <w:outlineLvl w:val="1"/>
        <w:rPr>
          <w:rStyle w:val="40"/>
          <w:rFonts w:hint="default" w:ascii="Times New Roman" w:hAnsi="Times New Roman" w:cs="Times New Roman"/>
          <w:color w:val="auto"/>
          <w:highlight w:val="none"/>
        </w:rPr>
      </w:pPr>
      <w:bookmarkStart w:id="73" w:name="_Toc15377214"/>
      <w:bookmarkStart w:id="74" w:name="_Toc25761"/>
      <w:bookmarkStart w:id="75" w:name="_Toc15396608"/>
      <w:r>
        <w:rPr>
          <w:rFonts w:hint="default" w:ascii="Times New Roman" w:hAnsi="Times New Roman" w:eastAsia="黑体" w:cs="Times New Roman"/>
          <w:color w:val="auto"/>
          <w:sz w:val="32"/>
          <w:szCs w:val="32"/>
          <w:highlight w:val="none"/>
        </w:rPr>
        <w:t>六</w:t>
      </w:r>
      <w:r>
        <w:rPr>
          <w:rFonts w:hint="default" w:ascii="Times New Roman" w:hAnsi="Times New Roman" w:eastAsia="黑体" w:cs="Times New Roman"/>
          <w:b/>
          <w:color w:val="auto"/>
          <w:sz w:val="32"/>
          <w:szCs w:val="32"/>
          <w:highlight w:val="none"/>
        </w:rPr>
        <w:t>、一</w:t>
      </w:r>
      <w:r>
        <w:rPr>
          <w:rStyle w:val="40"/>
          <w:rFonts w:hint="default" w:ascii="Times New Roman" w:hAnsi="Times New Roman" w:eastAsia="黑体" w:cs="Times New Roman"/>
          <w:b w:val="0"/>
          <w:color w:val="auto"/>
          <w:highlight w:val="none"/>
        </w:rPr>
        <w:t>般公共预算财政拨款基本支出决算情况说明</w:t>
      </w:r>
      <w:bookmarkEnd w:id="73"/>
      <w:bookmarkEnd w:id="74"/>
      <w:bookmarkEnd w:id="75"/>
      <w:r>
        <w:rPr>
          <w:rStyle w:val="40"/>
          <w:rFonts w:hint="default" w:ascii="Times New Roman" w:hAnsi="Times New Roman" w:eastAsia="黑体" w:cs="Times New Roman"/>
          <w:b w:val="0"/>
          <w:color w:val="auto"/>
          <w:highlight w:val="none"/>
        </w:rPr>
        <w:tab/>
      </w:r>
    </w:p>
    <w:p>
      <w:pPr>
        <w:pageBreakBefore w:val="0"/>
        <w:kinsoku/>
        <w:wordWrap/>
        <w:overflowPunct/>
        <w:topLinePunct w:val="0"/>
        <w:bidi w:val="0"/>
        <w:spacing w:line="540" w:lineRule="exact"/>
        <w:ind w:firstLine="645"/>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2020年一般公共预算财政拨款基本支出12646.22万元，其中：</w:t>
      </w:r>
    </w:p>
    <w:p>
      <w:pPr>
        <w:pageBreakBefore w:val="0"/>
        <w:kinsoku/>
        <w:wordWrap/>
        <w:overflowPunct/>
        <w:topLinePunct w:val="0"/>
        <w:bidi w:val="0"/>
        <w:spacing w:line="540" w:lineRule="exact"/>
        <w:ind w:firstLine="645"/>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人员经费9356.72万元，主要包括：基本工资、津贴补贴、奖金、绩效工资、机关事业单位基本养老保险缴费、职业年金缴费、其他社会保障缴费、其他工资福利支出、离休费、抚恤金、生活补助、奖励金、住房公积金、其他对个人和家庭的补助支出等。</w:t>
      </w:r>
      <w:r>
        <w:rPr>
          <w:rFonts w:hint="default" w:ascii="Times New Roman" w:hAnsi="Times New Roman" w:eastAsia="仿宋" w:cs="Times New Roman"/>
          <w:color w:val="auto"/>
          <w:sz w:val="32"/>
          <w:szCs w:val="32"/>
          <w:highlight w:val="none"/>
        </w:rPr>
        <w:br w:type="textWrapping"/>
      </w:r>
      <w:r>
        <w:rPr>
          <w:rFonts w:hint="default" w:ascii="Times New Roman" w:hAnsi="Times New Roman" w:eastAsia="仿宋" w:cs="Times New Roman"/>
          <w:color w:val="auto"/>
          <w:sz w:val="32"/>
          <w:szCs w:val="32"/>
          <w:highlight w:val="none"/>
        </w:rPr>
        <w:t>　　公用经费3289.50万元，主要包括：办公费、印刷费、咨询费、手续费、水费、电费、邮电费、取暖费、物业管理费、差旅费、维修（护）费、租赁费、会议费、培训费、公务接待费、劳务费、工会经费、福利费、公务用车运行维护费、其他交通费、其他商品和服务支出等。</w:t>
      </w:r>
    </w:p>
    <w:p>
      <w:pPr>
        <w:pageBreakBefore w:val="0"/>
        <w:kinsoku/>
        <w:wordWrap/>
        <w:overflowPunct/>
        <w:topLinePunct w:val="0"/>
        <w:bidi w:val="0"/>
        <w:spacing w:line="540" w:lineRule="exact"/>
        <w:ind w:firstLine="640"/>
        <w:outlineLvl w:val="1"/>
        <w:rPr>
          <w:rStyle w:val="40"/>
          <w:rFonts w:hint="default" w:ascii="Times New Roman" w:hAnsi="Times New Roman" w:eastAsia="黑体" w:cs="Times New Roman"/>
          <w:b w:val="0"/>
          <w:color w:val="auto"/>
          <w:highlight w:val="none"/>
        </w:rPr>
      </w:pPr>
      <w:bookmarkStart w:id="76" w:name="_Toc15396609"/>
      <w:bookmarkStart w:id="77" w:name="_Toc15377215"/>
      <w:bookmarkStart w:id="78" w:name="_Toc24614"/>
      <w:r>
        <w:rPr>
          <w:rFonts w:hint="default" w:ascii="Times New Roman" w:hAnsi="Times New Roman" w:eastAsia="黑体" w:cs="Times New Roman"/>
          <w:color w:val="auto"/>
          <w:sz w:val="32"/>
          <w:szCs w:val="32"/>
          <w:highlight w:val="none"/>
        </w:rPr>
        <w:t>七、</w:t>
      </w:r>
      <w:r>
        <w:rPr>
          <w:rStyle w:val="40"/>
          <w:rFonts w:hint="default" w:ascii="Times New Roman" w:hAnsi="Times New Roman" w:eastAsia="黑体" w:cs="Times New Roman"/>
          <w:color w:val="auto"/>
          <w:highlight w:val="none"/>
        </w:rPr>
        <w:t>“</w:t>
      </w:r>
      <w:r>
        <w:rPr>
          <w:rStyle w:val="40"/>
          <w:rFonts w:hint="default" w:ascii="Times New Roman" w:hAnsi="Times New Roman" w:eastAsia="黑体" w:cs="Times New Roman"/>
          <w:b w:val="0"/>
          <w:color w:val="auto"/>
          <w:highlight w:val="none"/>
        </w:rPr>
        <w:t>三公”经费财政拨款支出决算情况说明</w:t>
      </w:r>
      <w:bookmarkEnd w:id="76"/>
      <w:bookmarkEnd w:id="77"/>
      <w:bookmarkEnd w:id="78"/>
    </w:p>
    <w:p>
      <w:pPr>
        <w:pageBreakBefore w:val="0"/>
        <w:kinsoku/>
        <w:wordWrap/>
        <w:overflowPunct/>
        <w:topLinePunct w:val="0"/>
        <w:bidi w:val="0"/>
        <w:spacing w:line="540" w:lineRule="exact"/>
        <w:ind w:firstLine="640"/>
        <w:outlineLvl w:val="2"/>
        <w:rPr>
          <w:rFonts w:hint="default" w:ascii="Times New Roman" w:hAnsi="Times New Roman" w:eastAsia="楷体_GB2312" w:cs="Times New Roman"/>
          <w:b/>
          <w:color w:val="auto"/>
          <w:sz w:val="32"/>
          <w:szCs w:val="32"/>
          <w:highlight w:val="none"/>
        </w:rPr>
      </w:pPr>
      <w:bookmarkStart w:id="79" w:name="_Toc15377216"/>
      <w:bookmarkStart w:id="80" w:name="_Toc5687"/>
      <w:r>
        <w:rPr>
          <w:rFonts w:hint="default" w:ascii="Times New Roman" w:hAnsi="Times New Roman" w:eastAsia="楷体_GB2312" w:cs="Times New Roman"/>
          <w:b/>
          <w:color w:val="auto"/>
          <w:sz w:val="32"/>
          <w:szCs w:val="32"/>
          <w:highlight w:val="none"/>
        </w:rPr>
        <w:t>（一）“三公”经费财政拨款支出决算总体情况说明</w:t>
      </w:r>
      <w:bookmarkEnd w:id="79"/>
      <w:bookmarkEnd w:id="80"/>
    </w:p>
    <w:p>
      <w:pPr>
        <w:pageBreakBefore w:val="0"/>
        <w:kinsoku/>
        <w:wordWrap/>
        <w:overflowPunct/>
        <w:topLinePunct w:val="0"/>
        <w:bidi w:val="0"/>
        <w:spacing w:line="540" w:lineRule="exact"/>
        <w:ind w:firstLine="64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2020年“三公”经费财政拨款支出决算为154.74万元，完成预算</w:t>
      </w:r>
      <w:r>
        <w:rPr>
          <w:rFonts w:hint="default" w:ascii="Times New Roman" w:hAnsi="Times New Roman" w:eastAsia="仿宋" w:cs="Times New Roman"/>
          <w:color w:val="auto"/>
          <w:sz w:val="32"/>
          <w:szCs w:val="32"/>
          <w:highlight w:val="none"/>
          <w:lang w:val="en-US" w:eastAsia="zh-CN"/>
        </w:rPr>
        <w:t>57.63</w:t>
      </w:r>
      <w:r>
        <w:rPr>
          <w:rFonts w:hint="default" w:ascii="Times New Roman" w:hAnsi="Times New Roman" w:eastAsia="仿宋" w:cs="Times New Roman"/>
          <w:color w:val="auto"/>
          <w:sz w:val="32"/>
          <w:szCs w:val="32"/>
          <w:highlight w:val="none"/>
        </w:rPr>
        <w:t>%，</w:t>
      </w:r>
      <w:r>
        <w:rPr>
          <w:rFonts w:hint="default" w:ascii="Times New Roman" w:hAnsi="Times New Roman" w:eastAsia="仿宋_GB2312" w:cs="Times New Roman"/>
          <w:color w:val="auto"/>
          <w:sz w:val="32"/>
          <w:szCs w:val="32"/>
          <w:highlight w:val="none"/>
        </w:rPr>
        <w:t>决算数小于预算数的主要原因是</w:t>
      </w:r>
      <w:r>
        <w:rPr>
          <w:rFonts w:hint="default" w:ascii="Times New Roman" w:hAnsi="Times New Roman" w:eastAsia="仿宋_GB2312" w:cs="Times New Roman"/>
          <w:color w:val="auto"/>
          <w:sz w:val="32"/>
          <w:szCs w:val="32"/>
          <w:highlight w:val="none"/>
          <w:shd w:val="clear" w:color="auto" w:fill="FFFFFF"/>
        </w:rPr>
        <w:t>贯彻落实中央八项规定和省委省政府十项规定以及厉行节约反对浪费各项要求，在保障工作正常运行情况下，严格控制有关开支</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lang w:val="en-US" w:eastAsia="zh-CN"/>
        </w:rPr>
        <w:t>以及受新冠</w:t>
      </w:r>
      <w:r>
        <w:rPr>
          <w:rFonts w:hint="eastAsia" w:eastAsia="仿宋_GB2312" w:cs="Times New Roman"/>
          <w:color w:val="auto"/>
          <w:sz w:val="32"/>
          <w:szCs w:val="32"/>
          <w:highlight w:val="none"/>
          <w:shd w:val="clear" w:color="auto" w:fill="FFFFFF"/>
          <w:lang w:val="en-US" w:eastAsia="zh-CN"/>
        </w:rPr>
        <w:t>肺炎</w:t>
      </w:r>
      <w:r>
        <w:rPr>
          <w:rFonts w:hint="default" w:ascii="Times New Roman" w:hAnsi="Times New Roman" w:eastAsia="仿宋_GB2312" w:cs="Times New Roman"/>
          <w:color w:val="auto"/>
          <w:sz w:val="32"/>
          <w:szCs w:val="32"/>
          <w:highlight w:val="none"/>
          <w:shd w:val="clear" w:color="auto" w:fill="FFFFFF"/>
          <w:lang w:val="en-US" w:eastAsia="zh-CN"/>
        </w:rPr>
        <w:t>疫情影响，相应支出减少</w:t>
      </w:r>
      <w:r>
        <w:rPr>
          <w:rFonts w:hint="default" w:ascii="Times New Roman" w:hAnsi="Times New Roman" w:eastAsia="仿宋_GB2312" w:cs="Times New Roman"/>
          <w:color w:val="auto"/>
          <w:sz w:val="32"/>
          <w:szCs w:val="32"/>
          <w:highlight w:val="none"/>
        </w:rPr>
        <w:t>。</w:t>
      </w:r>
    </w:p>
    <w:p>
      <w:pPr>
        <w:pageBreakBefore w:val="0"/>
        <w:kinsoku/>
        <w:wordWrap/>
        <w:overflowPunct/>
        <w:topLinePunct w:val="0"/>
        <w:bidi w:val="0"/>
        <w:spacing w:line="540" w:lineRule="exact"/>
        <w:ind w:firstLine="640"/>
        <w:outlineLvl w:val="2"/>
        <w:rPr>
          <w:rFonts w:hint="default" w:ascii="Times New Roman" w:hAnsi="Times New Roman" w:eastAsia="楷体_GB2312" w:cs="Times New Roman"/>
          <w:b/>
          <w:color w:val="auto"/>
          <w:sz w:val="32"/>
          <w:szCs w:val="32"/>
          <w:highlight w:val="none"/>
        </w:rPr>
      </w:pPr>
      <w:bookmarkStart w:id="81" w:name="_Toc23895"/>
      <w:bookmarkStart w:id="82" w:name="_Toc15377217"/>
      <w:r>
        <w:rPr>
          <w:rFonts w:hint="default" w:ascii="Times New Roman" w:hAnsi="Times New Roman" w:eastAsia="楷体_GB2312" w:cs="Times New Roman"/>
          <w:b/>
          <w:color w:val="auto"/>
          <w:sz w:val="32"/>
          <w:szCs w:val="32"/>
          <w:highlight w:val="none"/>
        </w:rPr>
        <w:t>（二）“三公”经费财政拨款支出决算具体情况说明</w:t>
      </w:r>
      <w:bookmarkEnd w:id="81"/>
      <w:bookmarkEnd w:id="82"/>
    </w:p>
    <w:p>
      <w:pPr>
        <w:pageBreakBefore w:val="0"/>
        <w:kinsoku/>
        <w:wordWrap/>
        <w:overflowPunct/>
        <w:topLinePunct w:val="0"/>
        <w:bidi w:val="0"/>
        <w:spacing w:line="540" w:lineRule="exact"/>
        <w:ind w:firstLine="64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2020年“三公”经费财政拨款支出决算中，因公出国（境）费支出决算万元，占0%；公务用车购置及运行维护费支出决算141.08万元，占91.17%；公务接待费支出决算13.66万元，占8.83%。具体情况如下：</w:t>
      </w:r>
    </w:p>
    <w:p>
      <w:pPr>
        <w:pageBreakBefore w:val="0"/>
        <w:kinsoku/>
        <w:wordWrap/>
        <w:overflowPunct/>
        <w:topLinePunct w:val="0"/>
        <w:bidi w:val="0"/>
        <w:spacing w:line="54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highlight w:val="none"/>
        </w:rPr>
        <w:drawing>
          <wp:anchor distT="0" distB="0" distL="0" distR="0" simplePos="0" relativeHeight="251664384" behindDoc="0" locked="0" layoutInCell="1" allowOverlap="1">
            <wp:simplePos x="0" y="0"/>
            <wp:positionH relativeFrom="column">
              <wp:posOffset>28575</wp:posOffset>
            </wp:positionH>
            <wp:positionV relativeFrom="paragraph">
              <wp:posOffset>124460</wp:posOffset>
            </wp:positionV>
            <wp:extent cx="5229225" cy="2743200"/>
            <wp:effectExtent l="4445" t="4445" r="5080" b="14605"/>
            <wp:wrapTopAndBottom/>
            <wp:docPr id="1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default" w:ascii="Times New Roman" w:hAnsi="Times New Roman" w:eastAsia="仿宋_GB2312" w:cs="Times New Roman"/>
          <w:b/>
          <w:color w:val="auto"/>
          <w:sz w:val="32"/>
          <w:szCs w:val="32"/>
          <w:highlight w:val="none"/>
        </w:rPr>
        <w:t>1.因公出国（境）经费支出</w:t>
      </w:r>
      <w:r>
        <w:rPr>
          <w:rFonts w:hint="default" w:ascii="Times New Roman" w:hAnsi="Times New Roman" w:eastAsia="仿宋_GB2312" w:cs="Times New Roman"/>
          <w:color w:val="auto"/>
          <w:sz w:val="32"/>
          <w:szCs w:val="32"/>
          <w:highlight w:val="none"/>
        </w:rPr>
        <w:t>0万元</w:t>
      </w:r>
      <w:r>
        <w:rPr>
          <w:rStyle w:val="26"/>
          <w:rFonts w:hint="default" w:ascii="Times New Roman" w:hAnsi="Times New Roman" w:eastAsia="仿宋" w:cs="Times New Roman"/>
          <w:b w:val="0"/>
          <w:bCs/>
          <w:color w:val="auto"/>
          <w:sz w:val="32"/>
          <w:szCs w:val="32"/>
          <w:highlight w:val="none"/>
        </w:rPr>
        <w:t>。</w:t>
      </w:r>
    </w:p>
    <w:p>
      <w:pPr>
        <w:pageBreakBefore w:val="0"/>
        <w:kinsoku/>
        <w:wordWrap/>
        <w:overflowPunct/>
        <w:topLinePunct w:val="0"/>
        <w:bidi w:val="0"/>
        <w:spacing w:line="540" w:lineRule="exact"/>
        <w:ind w:firstLine="64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2.公务用车购置及运行维护费支出</w:t>
      </w:r>
      <w:r>
        <w:rPr>
          <w:rFonts w:hint="default" w:ascii="Times New Roman" w:hAnsi="Times New Roman" w:eastAsia="仿宋_GB2312" w:cs="Times New Roman"/>
          <w:color w:val="auto"/>
          <w:sz w:val="32"/>
          <w:szCs w:val="32"/>
          <w:highlight w:val="none"/>
        </w:rPr>
        <w:t>141.08万元,</w:t>
      </w:r>
      <w:r>
        <w:rPr>
          <w:rStyle w:val="26"/>
          <w:rFonts w:hint="default" w:ascii="Times New Roman" w:hAnsi="Times New Roman" w:eastAsia="仿宋" w:cs="Times New Roman"/>
          <w:b w:val="0"/>
          <w:bCs/>
          <w:color w:val="auto"/>
          <w:sz w:val="32"/>
          <w:szCs w:val="32"/>
          <w:highlight w:val="none"/>
        </w:rPr>
        <w:t>完成预算</w:t>
      </w:r>
      <w:r>
        <w:rPr>
          <w:rStyle w:val="26"/>
          <w:rFonts w:hint="default" w:ascii="Times New Roman" w:hAnsi="Times New Roman" w:eastAsia="仿宋" w:cs="Times New Roman"/>
          <w:b w:val="0"/>
          <w:bCs/>
          <w:color w:val="auto"/>
          <w:sz w:val="32"/>
          <w:szCs w:val="32"/>
          <w:highlight w:val="none"/>
          <w:lang w:val="en-US" w:eastAsia="zh-CN"/>
        </w:rPr>
        <w:t>88.29</w:t>
      </w:r>
      <w:r>
        <w:rPr>
          <w:rStyle w:val="26"/>
          <w:rFonts w:hint="default" w:ascii="Times New Roman" w:hAnsi="Times New Roman" w:eastAsia="仿宋" w:cs="Times New Roman"/>
          <w:b w:val="0"/>
          <w:bCs/>
          <w:color w:val="auto"/>
          <w:sz w:val="32"/>
          <w:szCs w:val="32"/>
          <w:highlight w:val="none"/>
        </w:rPr>
        <w:t>%。</w:t>
      </w:r>
      <w:r>
        <w:rPr>
          <w:rFonts w:hint="default" w:ascii="Times New Roman" w:hAnsi="Times New Roman" w:eastAsia="仿宋_GB2312" w:cs="Times New Roman"/>
          <w:color w:val="auto"/>
          <w:sz w:val="32"/>
          <w:szCs w:val="32"/>
          <w:highlight w:val="none"/>
        </w:rPr>
        <w:t>公务用车购置及运行维护费支出决算比2019年减少3.53万元，下降2.44%。主要原因是</w:t>
      </w:r>
      <w:r>
        <w:rPr>
          <w:rFonts w:hint="default" w:ascii="Times New Roman" w:hAnsi="Times New Roman" w:eastAsia="仿宋" w:cs="Times New Roman"/>
          <w:color w:val="auto"/>
          <w:sz w:val="32"/>
          <w:highlight w:val="none"/>
          <w:shd w:val="clear" w:color="auto" w:fill="FFFFFF"/>
        </w:rPr>
        <w:t>贯彻落实中央八项规定和省委、省政府十项规定以及厉行节约反对浪费各项要求，在保障工作正常运行情况下，严格控制有关开支</w:t>
      </w:r>
      <w:r>
        <w:rPr>
          <w:rFonts w:hint="default" w:ascii="Times New Roman" w:hAnsi="Times New Roman" w:eastAsia="仿宋_GB2312" w:cs="Times New Roman"/>
          <w:color w:val="auto"/>
          <w:sz w:val="32"/>
          <w:szCs w:val="32"/>
          <w:highlight w:val="none"/>
        </w:rPr>
        <w:t>。</w:t>
      </w:r>
    </w:p>
    <w:p>
      <w:pPr>
        <w:pageBreakBefore w:val="0"/>
        <w:kinsoku/>
        <w:wordWrap/>
        <w:overflowPunct/>
        <w:topLinePunct w:val="0"/>
        <w:bidi w:val="0"/>
        <w:spacing w:line="54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其中：</w:t>
      </w:r>
      <w:r>
        <w:rPr>
          <w:rFonts w:hint="default" w:ascii="Times New Roman" w:hAnsi="Times New Roman" w:eastAsia="仿宋_GB2312" w:cs="Times New Roman"/>
          <w:b/>
          <w:color w:val="auto"/>
          <w:sz w:val="32"/>
          <w:szCs w:val="32"/>
          <w:highlight w:val="none"/>
        </w:rPr>
        <w:t>公务用车购置支出</w:t>
      </w:r>
      <w:r>
        <w:rPr>
          <w:rFonts w:hint="default" w:ascii="Times New Roman" w:hAnsi="Times New Roman" w:eastAsia="仿宋_GB2312" w:cs="Times New Roman"/>
          <w:color w:val="auto"/>
          <w:sz w:val="32"/>
          <w:szCs w:val="32"/>
          <w:highlight w:val="none"/>
        </w:rPr>
        <w:t>0万元。截至2020年12月底，单位共有公务用车35辆，其中：轿车</w:t>
      </w:r>
      <w:r>
        <w:rPr>
          <w:rFonts w:hint="eastAsia" w:ascii="Times New Roman" w:hAnsi="Times New Roman" w:eastAsia="仿宋_GB2312" w:cs="Times New Roman"/>
          <w:color w:val="auto"/>
          <w:sz w:val="32"/>
          <w:szCs w:val="32"/>
          <w:highlight w:val="none"/>
          <w:lang w:val="en-US" w:eastAsia="zh-CN"/>
        </w:rPr>
        <w:t>28</w:t>
      </w:r>
      <w:r>
        <w:rPr>
          <w:rFonts w:hint="default" w:ascii="Times New Roman" w:hAnsi="Times New Roman" w:eastAsia="仿宋_GB2312" w:cs="Times New Roman"/>
          <w:color w:val="auto"/>
          <w:sz w:val="32"/>
          <w:szCs w:val="32"/>
          <w:highlight w:val="none"/>
        </w:rPr>
        <w:t>辆、越野车</w:t>
      </w:r>
      <w:r>
        <w:rPr>
          <w:rFonts w:hint="eastAsia"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辆、载客汽车</w:t>
      </w: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辆。</w:t>
      </w:r>
    </w:p>
    <w:p>
      <w:pPr>
        <w:pageBreakBefore w:val="0"/>
        <w:kinsoku/>
        <w:wordWrap/>
        <w:overflowPunct/>
        <w:topLinePunct w:val="0"/>
        <w:bidi w:val="0"/>
        <w:spacing w:line="54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公务用车运行维护费支出</w:t>
      </w:r>
      <w:r>
        <w:rPr>
          <w:rFonts w:hint="default" w:ascii="Times New Roman" w:hAnsi="Times New Roman" w:eastAsia="仿宋_GB2312" w:cs="Times New Roman"/>
          <w:color w:val="auto"/>
          <w:sz w:val="32"/>
          <w:szCs w:val="32"/>
          <w:highlight w:val="none"/>
        </w:rPr>
        <w:t>141.08万元。主要用于</w:t>
      </w:r>
      <w:r>
        <w:rPr>
          <w:rFonts w:hint="default" w:ascii="Times New Roman" w:hAnsi="Times New Roman" w:eastAsia="仿宋" w:cs="Times New Roman"/>
          <w:color w:val="auto"/>
          <w:sz w:val="32"/>
          <w:highlight w:val="none"/>
          <w:shd w:val="clear" w:color="auto" w:fill="FFFFFF"/>
        </w:rPr>
        <w:t>重大政策调研、专项检查及国家和兄弟省市来川调研考察</w:t>
      </w:r>
      <w:r>
        <w:rPr>
          <w:rFonts w:hint="default" w:ascii="Times New Roman" w:hAnsi="Times New Roman" w:eastAsia="仿宋_GB2312" w:cs="Times New Roman"/>
          <w:color w:val="auto"/>
          <w:sz w:val="32"/>
          <w:szCs w:val="32"/>
          <w:highlight w:val="none"/>
        </w:rPr>
        <w:t>等所需的公务用车燃料费、维修费、过路过桥费、保险费等支出。</w:t>
      </w:r>
    </w:p>
    <w:p>
      <w:pPr>
        <w:pageBreakBefore w:val="0"/>
        <w:kinsoku/>
        <w:wordWrap/>
        <w:overflowPunct/>
        <w:topLinePunct w:val="0"/>
        <w:bidi w:val="0"/>
        <w:spacing w:line="54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3.公务接待费支出</w:t>
      </w:r>
      <w:r>
        <w:rPr>
          <w:rFonts w:hint="default" w:ascii="Times New Roman" w:hAnsi="Times New Roman" w:eastAsia="仿宋_GB2312" w:cs="Times New Roman"/>
          <w:color w:val="auto"/>
          <w:sz w:val="32"/>
          <w:szCs w:val="32"/>
          <w:highlight w:val="none"/>
        </w:rPr>
        <w:t>13.66万元，</w:t>
      </w:r>
      <w:r>
        <w:rPr>
          <w:rStyle w:val="26"/>
          <w:rFonts w:hint="default" w:ascii="Times New Roman" w:hAnsi="Times New Roman" w:eastAsia="仿宋" w:cs="Times New Roman"/>
          <w:b w:val="0"/>
          <w:bCs/>
          <w:color w:val="auto"/>
          <w:sz w:val="32"/>
          <w:szCs w:val="32"/>
          <w:highlight w:val="none"/>
        </w:rPr>
        <w:t>完成预算</w:t>
      </w:r>
      <w:r>
        <w:rPr>
          <w:rStyle w:val="26"/>
          <w:rFonts w:hint="default" w:ascii="Times New Roman" w:hAnsi="Times New Roman" w:eastAsia="仿宋" w:cs="Times New Roman"/>
          <w:b w:val="0"/>
          <w:bCs/>
          <w:color w:val="auto"/>
          <w:sz w:val="32"/>
          <w:szCs w:val="32"/>
          <w:highlight w:val="none"/>
          <w:lang w:val="en-US" w:eastAsia="zh-CN"/>
        </w:rPr>
        <w:t>12.57</w:t>
      </w:r>
      <w:r>
        <w:rPr>
          <w:rStyle w:val="26"/>
          <w:rFonts w:hint="default" w:ascii="Times New Roman" w:hAnsi="Times New Roman" w:eastAsia="仿宋" w:cs="Times New Roman"/>
          <w:b w:val="0"/>
          <w:bCs/>
          <w:color w:val="auto"/>
          <w:sz w:val="32"/>
          <w:szCs w:val="32"/>
          <w:highlight w:val="none"/>
        </w:rPr>
        <w:t>%。</w:t>
      </w:r>
      <w:r>
        <w:rPr>
          <w:rFonts w:hint="default" w:ascii="Times New Roman" w:hAnsi="Times New Roman" w:eastAsia="仿宋_GB2312" w:cs="Times New Roman"/>
          <w:color w:val="auto"/>
          <w:sz w:val="32"/>
          <w:szCs w:val="32"/>
          <w:highlight w:val="none"/>
        </w:rPr>
        <w:t>公务接待费支出决算比2019年减少8.09万元，下降37.19%。主要原因一是</w:t>
      </w:r>
      <w:r>
        <w:rPr>
          <w:rFonts w:hint="default" w:ascii="Times New Roman" w:hAnsi="Times New Roman" w:eastAsia="仿宋" w:cs="Times New Roman"/>
          <w:color w:val="auto"/>
          <w:sz w:val="32"/>
          <w:highlight w:val="none"/>
          <w:shd w:val="clear" w:color="auto" w:fill="FFFFFF"/>
        </w:rPr>
        <w:t>我委严格落实中央八项规定和省委省政府十项规定精神，严格执行公务接待标准，严格按程序审批公务接待活动，压缩了接待费支出</w:t>
      </w:r>
      <w:r>
        <w:rPr>
          <w:rFonts w:hint="default" w:ascii="Times New Roman" w:hAnsi="Times New Roman" w:eastAsia="仿宋_GB2312" w:cs="Times New Roman"/>
          <w:color w:val="auto"/>
          <w:sz w:val="32"/>
          <w:szCs w:val="32"/>
          <w:highlight w:val="none"/>
        </w:rPr>
        <w:t>，二是减少了公务接待活动。其中：</w:t>
      </w:r>
    </w:p>
    <w:p>
      <w:pPr>
        <w:pageBreakBefore w:val="0"/>
        <w:kinsoku/>
        <w:wordWrap/>
        <w:overflowPunct/>
        <w:topLinePunct w:val="0"/>
        <w:bidi w:val="0"/>
        <w:spacing w:line="540" w:lineRule="exact"/>
        <w:ind w:firstLine="641"/>
        <w:rPr>
          <w:rFonts w:hint="default" w:ascii="Times New Roman" w:hAnsi="Times New Roman" w:eastAsia="仿宋" w:cs="Times New Roman"/>
          <w:color w:val="auto"/>
          <w:sz w:val="32"/>
          <w:highlight w:val="none"/>
          <w:shd w:val="clear" w:color="auto" w:fill="FFFFFF"/>
        </w:rPr>
      </w:pPr>
      <w:r>
        <w:rPr>
          <w:rFonts w:hint="default" w:ascii="Times New Roman" w:hAnsi="Times New Roman" w:eastAsia="仿宋" w:cs="Times New Roman"/>
          <w:b/>
          <w:color w:val="auto"/>
          <w:sz w:val="32"/>
          <w:szCs w:val="32"/>
          <w:highlight w:val="none"/>
        </w:rPr>
        <w:t>国内公务接待支出</w:t>
      </w:r>
      <w:r>
        <w:rPr>
          <w:rFonts w:hint="default" w:ascii="Times New Roman" w:hAnsi="Times New Roman" w:eastAsia="仿宋" w:cs="Times New Roman"/>
          <w:color w:val="auto"/>
          <w:sz w:val="32"/>
          <w:szCs w:val="32"/>
          <w:highlight w:val="none"/>
        </w:rPr>
        <w:t>13.66</w:t>
      </w:r>
      <w:r>
        <w:rPr>
          <w:rFonts w:hint="default" w:ascii="Times New Roman" w:hAnsi="Times New Roman" w:eastAsia="仿宋_GB2312" w:cs="Times New Roman"/>
          <w:color w:val="auto"/>
          <w:sz w:val="32"/>
          <w:szCs w:val="32"/>
          <w:highlight w:val="none"/>
        </w:rPr>
        <w:t>万元，主要用于</w:t>
      </w:r>
      <w:r>
        <w:rPr>
          <w:rFonts w:hint="default" w:ascii="Times New Roman" w:hAnsi="Times New Roman" w:eastAsia="仿宋" w:cs="Times New Roman"/>
          <w:bCs/>
          <w:color w:val="auto"/>
          <w:sz w:val="32"/>
          <w:highlight w:val="none"/>
          <w:shd w:val="clear" w:color="auto" w:fill="FFFFFF"/>
        </w:rPr>
        <w:t>交流合作及国内招商引资及国家重大政策调研</w:t>
      </w:r>
      <w:r>
        <w:rPr>
          <w:rFonts w:hint="default" w:ascii="Times New Roman" w:hAnsi="Times New Roman" w:eastAsia="仿宋" w:cs="Times New Roman"/>
          <w:color w:val="auto"/>
          <w:sz w:val="32"/>
          <w:highlight w:val="none"/>
          <w:shd w:val="clear" w:color="auto" w:fill="FFFFFF"/>
        </w:rPr>
        <w:t>、检查等费用</w:t>
      </w:r>
      <w:r>
        <w:rPr>
          <w:rFonts w:hint="default" w:ascii="Times New Roman" w:hAnsi="Times New Roman" w:eastAsia="仿宋_GB2312" w:cs="Times New Roman"/>
          <w:color w:val="auto"/>
          <w:sz w:val="32"/>
          <w:szCs w:val="32"/>
          <w:highlight w:val="none"/>
        </w:rPr>
        <w:t>。国内公务接待86批次，1039人次（不包括陪同人员），共计支出13.66万元，</w:t>
      </w:r>
      <w:r>
        <w:rPr>
          <w:rFonts w:hint="eastAsia" w:ascii="仿宋_GB2312" w:hAnsi="仿宋_GB2312" w:eastAsia="仿宋_GB2312" w:cs="仿宋_GB2312"/>
          <w:color w:val="auto"/>
          <w:sz w:val="32"/>
          <w:szCs w:val="32"/>
          <w:highlight w:val="none"/>
        </w:rPr>
        <w:t>具体内容包括：</w:t>
      </w:r>
      <w:r>
        <w:rPr>
          <w:rFonts w:hint="default" w:ascii="Times New Roman" w:hAnsi="Times New Roman" w:eastAsia="仿宋" w:cs="Times New Roman"/>
          <w:color w:val="auto"/>
          <w:sz w:val="32"/>
          <w:highlight w:val="none"/>
          <w:shd w:val="clear" w:color="auto" w:fill="FFFFFF"/>
        </w:rPr>
        <w:t>兄弟省市及各市州重大交流合作活动，内蒙</w:t>
      </w:r>
      <w:r>
        <w:rPr>
          <w:rFonts w:hint="eastAsia" w:eastAsia="仿宋" w:cs="Times New Roman"/>
          <w:color w:val="auto"/>
          <w:sz w:val="32"/>
          <w:highlight w:val="none"/>
          <w:shd w:val="clear" w:color="auto" w:fill="FFFFFF"/>
          <w:lang w:val="en-US" w:eastAsia="zh-CN"/>
        </w:rPr>
        <w:t>古</w:t>
      </w:r>
      <w:r>
        <w:rPr>
          <w:rFonts w:hint="default" w:ascii="Times New Roman" w:hAnsi="Times New Roman" w:eastAsia="仿宋" w:cs="Times New Roman"/>
          <w:color w:val="auto"/>
          <w:sz w:val="32"/>
          <w:highlight w:val="none"/>
          <w:shd w:val="clear" w:color="auto" w:fill="FFFFFF"/>
        </w:rPr>
        <w:t>、重庆、宁夏、江西等</w:t>
      </w:r>
      <w:r>
        <w:rPr>
          <w:rFonts w:hint="eastAsia" w:eastAsia="仿宋" w:cs="Times New Roman"/>
          <w:color w:val="auto"/>
          <w:sz w:val="32"/>
          <w:highlight w:val="none"/>
          <w:shd w:val="clear" w:color="auto" w:fill="FFFFFF"/>
          <w:lang w:val="en-US" w:eastAsia="zh-CN"/>
        </w:rPr>
        <w:t>省市区</w:t>
      </w:r>
      <w:r>
        <w:rPr>
          <w:rFonts w:hint="default" w:ascii="Times New Roman" w:hAnsi="Times New Roman" w:eastAsia="仿宋" w:cs="Times New Roman"/>
          <w:color w:val="auto"/>
          <w:sz w:val="32"/>
          <w:highlight w:val="none"/>
          <w:shd w:val="clear" w:color="auto" w:fill="FFFFFF"/>
        </w:rPr>
        <w:t>考察团来川考察交流的用餐费、会场租赁费、交通费以及接待国家重大政策调研、检查等费用。</w:t>
      </w:r>
    </w:p>
    <w:p>
      <w:pPr>
        <w:pageBreakBefore w:val="0"/>
        <w:kinsoku/>
        <w:wordWrap/>
        <w:overflowPunct/>
        <w:topLinePunct w:val="0"/>
        <w:bidi w:val="0"/>
        <w:spacing w:line="54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 w:cs="Times New Roman"/>
          <w:b/>
          <w:color w:val="auto"/>
          <w:sz w:val="32"/>
          <w:szCs w:val="32"/>
          <w:highlight w:val="none"/>
        </w:rPr>
        <w:t>外事接待支出</w:t>
      </w:r>
      <w:r>
        <w:rPr>
          <w:rFonts w:hint="default" w:ascii="Times New Roman" w:hAnsi="Times New Roman" w:eastAsia="仿宋" w:cs="Times New Roman"/>
          <w:color w:val="auto"/>
          <w:sz w:val="32"/>
          <w:szCs w:val="32"/>
          <w:highlight w:val="none"/>
        </w:rPr>
        <w:t>0</w:t>
      </w:r>
      <w:r>
        <w:rPr>
          <w:rFonts w:hint="default" w:ascii="Times New Roman" w:hAnsi="Times New Roman" w:eastAsia="仿宋_GB2312" w:cs="Times New Roman"/>
          <w:color w:val="auto"/>
          <w:sz w:val="32"/>
          <w:szCs w:val="32"/>
          <w:highlight w:val="none"/>
        </w:rPr>
        <w:t>万元。</w:t>
      </w:r>
    </w:p>
    <w:p>
      <w:pPr>
        <w:pageBreakBefore w:val="0"/>
        <w:kinsoku/>
        <w:wordWrap/>
        <w:overflowPunct/>
        <w:topLinePunct w:val="0"/>
        <w:bidi w:val="0"/>
        <w:spacing w:line="540" w:lineRule="exact"/>
        <w:ind w:firstLine="640"/>
        <w:outlineLvl w:val="1"/>
        <w:rPr>
          <w:rStyle w:val="40"/>
          <w:rFonts w:hint="default" w:ascii="Times New Roman" w:hAnsi="Times New Roman" w:eastAsia="黑体" w:cs="Times New Roman"/>
          <w:color w:val="auto"/>
          <w:highlight w:val="none"/>
        </w:rPr>
      </w:pPr>
      <w:bookmarkStart w:id="83" w:name="_Toc15377218"/>
      <w:bookmarkStart w:id="84" w:name="_Toc25200"/>
      <w:bookmarkStart w:id="85" w:name="_Toc15396610"/>
      <w:r>
        <w:rPr>
          <w:rFonts w:hint="default" w:ascii="Times New Roman" w:hAnsi="Times New Roman" w:eastAsia="黑体" w:cs="Times New Roman"/>
          <w:color w:val="auto"/>
          <w:sz w:val="32"/>
          <w:szCs w:val="32"/>
          <w:highlight w:val="none"/>
        </w:rPr>
        <w:t>八、</w:t>
      </w:r>
      <w:r>
        <w:rPr>
          <w:rStyle w:val="40"/>
          <w:rFonts w:hint="default" w:ascii="Times New Roman" w:hAnsi="Times New Roman" w:eastAsia="黑体" w:cs="Times New Roman"/>
          <w:b w:val="0"/>
          <w:color w:val="auto"/>
          <w:highlight w:val="none"/>
        </w:rPr>
        <w:t>政府性基金预算支出决算情况说明</w:t>
      </w:r>
      <w:bookmarkEnd w:id="83"/>
      <w:bookmarkEnd w:id="84"/>
      <w:bookmarkEnd w:id="85"/>
    </w:p>
    <w:p>
      <w:pPr>
        <w:pageBreakBefore w:val="0"/>
        <w:kinsoku/>
        <w:wordWrap/>
        <w:overflowPunct/>
        <w:topLinePunct w:val="0"/>
        <w:bidi w:val="0"/>
        <w:spacing w:line="54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2020年政府性基金预算财政拨款支出0万元。</w:t>
      </w:r>
    </w:p>
    <w:p>
      <w:pPr>
        <w:pageBreakBefore w:val="0"/>
        <w:numPr>
          <w:ilvl w:val="0"/>
          <w:numId w:val="0"/>
        </w:numPr>
        <w:kinsoku/>
        <w:wordWrap/>
        <w:overflowPunct/>
        <w:topLinePunct w:val="0"/>
        <w:bidi w:val="0"/>
        <w:spacing w:line="540" w:lineRule="exact"/>
        <w:outlineLvl w:val="1"/>
        <w:rPr>
          <w:rStyle w:val="40"/>
          <w:rFonts w:hint="default" w:ascii="Times New Roman" w:hAnsi="Times New Roman" w:eastAsia="黑体" w:cs="Times New Roman"/>
          <w:b w:val="0"/>
          <w:color w:val="auto"/>
          <w:highlight w:val="none"/>
        </w:rPr>
      </w:pPr>
      <w:bookmarkStart w:id="86" w:name="_Toc15396611"/>
      <w:bookmarkStart w:id="87" w:name="_Toc15377219"/>
      <w:r>
        <w:rPr>
          <w:rStyle w:val="40"/>
          <w:rFonts w:hint="default" w:ascii="Times New Roman" w:hAnsi="Times New Roman" w:eastAsia="黑体" w:cs="Times New Roman"/>
          <w:b w:val="0"/>
          <w:color w:val="auto"/>
          <w:highlight w:val="none"/>
          <w:lang w:val="en-US" w:eastAsia="zh-CN"/>
        </w:rPr>
        <w:t xml:space="preserve">    </w:t>
      </w:r>
      <w:bookmarkStart w:id="88" w:name="_Toc16494"/>
      <w:r>
        <w:rPr>
          <w:rStyle w:val="40"/>
          <w:rFonts w:hint="default" w:ascii="Times New Roman" w:hAnsi="Times New Roman" w:eastAsia="黑体" w:cs="Times New Roman"/>
          <w:b w:val="0"/>
          <w:color w:val="auto"/>
          <w:highlight w:val="none"/>
          <w:lang w:val="en-US" w:eastAsia="zh-CN"/>
        </w:rPr>
        <w:t>九、</w:t>
      </w:r>
      <w:r>
        <w:rPr>
          <w:rStyle w:val="40"/>
          <w:rFonts w:hint="default" w:ascii="Times New Roman" w:hAnsi="Times New Roman" w:eastAsia="黑体" w:cs="Times New Roman"/>
          <w:b w:val="0"/>
          <w:color w:val="auto"/>
          <w:highlight w:val="none"/>
        </w:rPr>
        <w:t>国有资本经营预算支出决算情况说明</w:t>
      </w:r>
      <w:bookmarkEnd w:id="86"/>
      <w:bookmarkEnd w:id="87"/>
      <w:bookmarkEnd w:id="88"/>
    </w:p>
    <w:p>
      <w:pPr>
        <w:pageBreakBefore w:val="0"/>
        <w:kinsoku/>
        <w:wordWrap/>
        <w:overflowPunct/>
        <w:topLinePunct w:val="0"/>
        <w:bidi w:val="0"/>
        <w:spacing w:line="54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2020年国有资本经营预算财政拨款支出0万元。</w:t>
      </w:r>
    </w:p>
    <w:p>
      <w:pPr>
        <w:pageBreakBefore w:val="0"/>
        <w:numPr>
          <w:ilvl w:val="0"/>
          <w:numId w:val="0"/>
        </w:numPr>
        <w:tabs>
          <w:tab w:val="left" w:pos="804"/>
        </w:tabs>
        <w:kinsoku/>
        <w:wordWrap/>
        <w:overflowPunct/>
        <w:topLinePunct w:val="0"/>
        <w:bidi w:val="0"/>
        <w:spacing w:line="540" w:lineRule="exact"/>
        <w:outlineLvl w:val="1"/>
        <w:rPr>
          <w:rStyle w:val="40"/>
          <w:rFonts w:hint="default" w:ascii="Times New Roman" w:hAnsi="Times New Roman" w:eastAsia="黑体" w:cs="Times New Roman"/>
          <w:b w:val="0"/>
          <w:color w:val="auto"/>
          <w:highlight w:val="none"/>
        </w:rPr>
      </w:pPr>
      <w:bookmarkStart w:id="89" w:name="_Toc15396612"/>
      <w:bookmarkStart w:id="90" w:name="_Toc15377221"/>
      <w:r>
        <w:rPr>
          <w:rStyle w:val="40"/>
          <w:rFonts w:hint="default" w:ascii="Times New Roman" w:hAnsi="Times New Roman" w:eastAsia="黑体" w:cs="Times New Roman"/>
          <w:b w:val="0"/>
          <w:color w:val="auto"/>
          <w:highlight w:val="none"/>
          <w:lang w:val="en-US" w:eastAsia="zh-CN"/>
        </w:rPr>
        <w:t xml:space="preserve">    </w:t>
      </w:r>
      <w:bookmarkStart w:id="91" w:name="_Toc10372"/>
      <w:r>
        <w:rPr>
          <w:rStyle w:val="40"/>
          <w:rFonts w:hint="default" w:ascii="Times New Roman" w:hAnsi="Times New Roman" w:eastAsia="黑体" w:cs="Times New Roman"/>
          <w:b w:val="0"/>
          <w:color w:val="auto"/>
          <w:highlight w:val="none"/>
          <w:lang w:val="en-US" w:eastAsia="zh-CN"/>
        </w:rPr>
        <w:t>十、</w:t>
      </w:r>
      <w:r>
        <w:rPr>
          <w:rStyle w:val="40"/>
          <w:rFonts w:hint="default" w:ascii="Times New Roman" w:hAnsi="Times New Roman" w:eastAsia="黑体" w:cs="Times New Roman"/>
          <w:b w:val="0"/>
          <w:color w:val="auto"/>
          <w:highlight w:val="none"/>
        </w:rPr>
        <w:t>其他重要事项的情况说明</w:t>
      </w:r>
      <w:bookmarkEnd w:id="89"/>
      <w:bookmarkEnd w:id="90"/>
      <w:bookmarkEnd w:id="91"/>
    </w:p>
    <w:p>
      <w:pPr>
        <w:pageBreakBefore w:val="0"/>
        <w:kinsoku/>
        <w:wordWrap/>
        <w:overflowPunct/>
        <w:topLinePunct w:val="0"/>
        <w:bidi w:val="0"/>
        <w:spacing w:line="540" w:lineRule="exact"/>
        <w:ind w:firstLine="643" w:firstLineChars="200"/>
        <w:outlineLvl w:val="2"/>
        <w:rPr>
          <w:rFonts w:hint="default" w:ascii="Times New Roman" w:hAnsi="Times New Roman" w:eastAsia="楷体_GB2312" w:cs="Times New Roman"/>
          <w:color w:val="auto"/>
          <w:sz w:val="32"/>
          <w:szCs w:val="32"/>
          <w:highlight w:val="none"/>
        </w:rPr>
      </w:pPr>
      <w:bookmarkStart w:id="92" w:name="_Toc15377222"/>
      <w:bookmarkStart w:id="93" w:name="_Toc19514"/>
      <w:r>
        <w:rPr>
          <w:rFonts w:hint="default" w:ascii="Times New Roman" w:hAnsi="Times New Roman" w:eastAsia="楷体_GB2312" w:cs="Times New Roman"/>
          <w:b/>
          <w:color w:val="auto"/>
          <w:sz w:val="32"/>
          <w:szCs w:val="32"/>
          <w:highlight w:val="none"/>
        </w:rPr>
        <w:t>（一）机关运行经费支出情况</w:t>
      </w:r>
      <w:bookmarkEnd w:id="92"/>
      <w:bookmarkEnd w:id="93"/>
    </w:p>
    <w:p>
      <w:pPr>
        <w:pageBreakBefore w:val="0"/>
        <w:kinsoku/>
        <w:wordWrap/>
        <w:overflowPunct/>
        <w:topLinePunct w:val="0"/>
        <w:bidi w:val="0"/>
        <w:spacing w:line="54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_GB2312" w:cs="Times New Roman"/>
          <w:color w:val="auto"/>
          <w:sz w:val="32"/>
          <w:szCs w:val="32"/>
          <w:highlight w:val="none"/>
        </w:rPr>
        <w:t>2020年，</w:t>
      </w:r>
      <w:r>
        <w:rPr>
          <w:rFonts w:hint="default" w:ascii="Times New Roman" w:hAnsi="Times New Roman" w:eastAsia="仿宋" w:cs="Times New Roman"/>
          <w:color w:val="auto"/>
          <w:sz w:val="32"/>
          <w:highlight w:val="none"/>
          <w:shd w:val="clear" w:color="auto" w:fill="FFFFFF"/>
        </w:rPr>
        <w:t>省发展改革委</w:t>
      </w:r>
      <w:r>
        <w:rPr>
          <w:rFonts w:hint="default" w:ascii="Times New Roman" w:hAnsi="Times New Roman" w:eastAsia="仿宋_GB2312" w:cs="Times New Roman"/>
          <w:color w:val="auto"/>
          <w:sz w:val="32"/>
          <w:szCs w:val="32"/>
          <w:highlight w:val="none"/>
        </w:rPr>
        <w:t>机关运行经费支出3289.50万元，比2019年增加162.52万元，增长5.20%。主要原因是</w:t>
      </w:r>
      <w:r>
        <w:rPr>
          <w:rFonts w:hint="default" w:ascii="Times New Roman" w:hAnsi="Times New Roman" w:eastAsia="仿宋" w:cs="Times New Roman"/>
          <w:color w:val="auto"/>
          <w:sz w:val="32"/>
          <w:szCs w:val="32"/>
          <w:highlight w:val="none"/>
        </w:rPr>
        <w:t>根据工作需要，差旅费增加。</w:t>
      </w:r>
    </w:p>
    <w:p>
      <w:pPr>
        <w:pageBreakBefore w:val="0"/>
        <w:kinsoku/>
        <w:wordWrap/>
        <w:overflowPunct/>
        <w:topLinePunct w:val="0"/>
        <w:autoSpaceDE w:val="0"/>
        <w:autoSpaceDN w:val="0"/>
        <w:bidi w:val="0"/>
        <w:adjustRightInd w:val="0"/>
        <w:spacing w:line="540" w:lineRule="exact"/>
        <w:ind w:firstLine="643" w:firstLineChars="200"/>
        <w:jc w:val="left"/>
        <w:outlineLvl w:val="2"/>
        <w:rPr>
          <w:rFonts w:hint="default" w:ascii="Times New Roman" w:hAnsi="Times New Roman" w:eastAsia="楷体_GB2312" w:cs="Times New Roman"/>
          <w:b/>
          <w:color w:val="auto"/>
          <w:sz w:val="32"/>
          <w:szCs w:val="32"/>
          <w:highlight w:val="none"/>
        </w:rPr>
      </w:pPr>
      <w:bookmarkStart w:id="94" w:name="_Toc26274"/>
      <w:bookmarkStart w:id="95" w:name="_Toc15377223"/>
      <w:r>
        <w:rPr>
          <w:rFonts w:hint="default" w:ascii="Times New Roman" w:hAnsi="Times New Roman" w:eastAsia="楷体_GB2312" w:cs="Times New Roman"/>
          <w:b/>
          <w:color w:val="auto"/>
          <w:sz w:val="32"/>
          <w:szCs w:val="32"/>
          <w:highlight w:val="none"/>
        </w:rPr>
        <w:t>（二）政府采购支出情况</w:t>
      </w:r>
      <w:bookmarkEnd w:id="94"/>
      <w:bookmarkEnd w:id="95"/>
    </w:p>
    <w:p>
      <w:pPr>
        <w:pageBreakBefore w:val="0"/>
        <w:kinsoku/>
        <w:wordWrap/>
        <w:overflowPunct/>
        <w:topLinePunct w:val="0"/>
        <w:bidi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2020年，</w:t>
      </w:r>
      <w:r>
        <w:rPr>
          <w:rFonts w:hint="default" w:ascii="Times New Roman" w:hAnsi="Times New Roman" w:eastAsia="仿宋" w:cs="Times New Roman"/>
          <w:color w:val="auto"/>
          <w:sz w:val="32"/>
          <w:highlight w:val="none"/>
          <w:shd w:val="clear" w:color="auto" w:fill="FFFFFF"/>
        </w:rPr>
        <w:t>省发展改革委</w:t>
      </w:r>
      <w:r>
        <w:rPr>
          <w:rFonts w:hint="default" w:ascii="Times New Roman" w:hAnsi="Times New Roman" w:eastAsia="仿宋_GB2312" w:cs="Times New Roman"/>
          <w:color w:val="auto"/>
          <w:sz w:val="32"/>
          <w:szCs w:val="32"/>
          <w:highlight w:val="none"/>
        </w:rPr>
        <w:t>政府采购支出总额949.09万元，其中：政府采购货物支出29.70万元、政府采购工程支出147.72万元、政府采购服务支出771.68万元。主要用于</w:t>
      </w:r>
      <w:r>
        <w:rPr>
          <w:rFonts w:hint="default" w:ascii="Times New Roman" w:hAnsi="Times New Roman" w:eastAsia="仿宋" w:cs="Times New Roman"/>
          <w:color w:val="auto"/>
          <w:sz w:val="32"/>
          <w:highlight w:val="none"/>
          <w:shd w:val="clear" w:color="auto" w:fill="FFFFFF"/>
        </w:rPr>
        <w:t>省发展改革委机关和下属单位采购台式、笔记本电脑、复印机、传真机、打印机、办公用纸张、办公家俱以及物业管理、公务用车的维护保养(</w:t>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"http://www.so.com/s?q=车辆保险&amp;ie=utf-8&amp;src=wenda_link" </w:instrText>
      </w:r>
      <w:r>
        <w:rPr>
          <w:rFonts w:hint="default" w:ascii="Times New Roman" w:hAnsi="Times New Roman" w:cs="Times New Roman"/>
          <w:color w:val="auto"/>
          <w:highlight w:val="none"/>
        </w:rPr>
        <w:fldChar w:fldCharType="separate"/>
      </w:r>
      <w:r>
        <w:rPr>
          <w:rFonts w:hint="default" w:ascii="Times New Roman" w:hAnsi="Times New Roman" w:eastAsia="仿宋" w:cs="Times New Roman"/>
          <w:color w:val="auto"/>
          <w:sz w:val="32"/>
          <w:highlight w:val="none"/>
        </w:rPr>
        <w:t>车辆保险</w:t>
      </w:r>
      <w:r>
        <w:rPr>
          <w:rFonts w:hint="default" w:ascii="Times New Roman" w:hAnsi="Times New Roman" w:eastAsia="仿宋" w:cs="Times New Roman"/>
          <w:color w:val="auto"/>
          <w:sz w:val="32"/>
          <w:highlight w:val="none"/>
        </w:rPr>
        <w:fldChar w:fldCharType="end"/>
      </w:r>
      <w:r>
        <w:rPr>
          <w:rFonts w:hint="default" w:ascii="Times New Roman" w:hAnsi="Times New Roman" w:eastAsia="仿宋" w:cs="Times New Roman"/>
          <w:color w:val="auto"/>
          <w:sz w:val="32"/>
          <w:highlight w:val="none"/>
          <w:shd w:val="clear" w:color="auto" w:fill="FFFFFF"/>
        </w:rPr>
        <w:t>、车辆维修、燃油等)、会议、软件开发等服务类型</w:t>
      </w:r>
      <w:r>
        <w:rPr>
          <w:rFonts w:hint="default" w:ascii="Times New Roman" w:hAnsi="Times New Roman" w:eastAsia="仿宋_GB2312" w:cs="Times New Roman"/>
          <w:color w:val="auto"/>
          <w:sz w:val="32"/>
          <w:szCs w:val="32"/>
          <w:highlight w:val="none"/>
        </w:rPr>
        <w:t>。授予中小企业合同金额316.78万元，占政府采购支出总额的33.38%，其中：授予小微企业合同金额314.46万元，占政府采购支出总额的33.13%。</w:t>
      </w:r>
    </w:p>
    <w:p>
      <w:pPr>
        <w:pageBreakBefore w:val="0"/>
        <w:kinsoku/>
        <w:wordWrap/>
        <w:overflowPunct/>
        <w:topLinePunct w:val="0"/>
        <w:autoSpaceDE w:val="0"/>
        <w:autoSpaceDN w:val="0"/>
        <w:bidi w:val="0"/>
        <w:adjustRightInd w:val="0"/>
        <w:spacing w:line="540" w:lineRule="exact"/>
        <w:ind w:firstLine="643" w:firstLineChars="200"/>
        <w:jc w:val="left"/>
        <w:outlineLvl w:val="2"/>
        <w:rPr>
          <w:rFonts w:hint="default" w:ascii="Times New Roman" w:hAnsi="Times New Roman" w:eastAsia="楷体_GB2312" w:cs="Times New Roman"/>
          <w:b/>
          <w:color w:val="auto"/>
          <w:sz w:val="32"/>
          <w:szCs w:val="32"/>
          <w:highlight w:val="none"/>
        </w:rPr>
      </w:pPr>
      <w:bookmarkStart w:id="96" w:name="_Toc31358"/>
      <w:bookmarkStart w:id="97" w:name="_Toc15377224"/>
      <w:r>
        <w:rPr>
          <w:rFonts w:hint="default" w:ascii="Times New Roman" w:hAnsi="Times New Roman" w:eastAsia="楷体_GB2312" w:cs="Times New Roman"/>
          <w:b/>
          <w:color w:val="auto"/>
          <w:sz w:val="32"/>
          <w:szCs w:val="32"/>
          <w:highlight w:val="none"/>
        </w:rPr>
        <w:t>（三）国有资产占有使用情况</w:t>
      </w:r>
      <w:bookmarkEnd w:id="96"/>
      <w:bookmarkEnd w:id="97"/>
    </w:p>
    <w:p>
      <w:pPr>
        <w:pageBreakBefore w:val="0"/>
        <w:kinsoku/>
        <w:wordWrap/>
        <w:overflowPunct/>
        <w:topLinePunct w:val="0"/>
        <w:autoSpaceDE w:val="0"/>
        <w:autoSpaceDN w:val="0"/>
        <w:bidi w:val="0"/>
        <w:adjustRightInd w:val="0"/>
        <w:spacing w:line="540" w:lineRule="exact"/>
        <w:ind w:firstLine="640" w:firstLineChars="20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截至2020年12月31日，</w:t>
      </w:r>
      <w:r>
        <w:rPr>
          <w:rFonts w:hint="default" w:ascii="Times New Roman" w:hAnsi="Times New Roman" w:eastAsia="仿宋" w:cs="Times New Roman"/>
          <w:color w:val="auto"/>
          <w:sz w:val="32"/>
          <w:highlight w:val="none"/>
          <w:shd w:val="clear" w:color="auto" w:fill="FFFFFF"/>
        </w:rPr>
        <w:t>省发展改革委</w:t>
      </w:r>
      <w:r>
        <w:rPr>
          <w:rFonts w:hint="default" w:ascii="Times New Roman" w:hAnsi="Times New Roman" w:eastAsia="仿宋_GB2312" w:cs="Times New Roman"/>
          <w:color w:val="auto"/>
          <w:sz w:val="32"/>
          <w:szCs w:val="32"/>
          <w:highlight w:val="none"/>
        </w:rPr>
        <w:t>共有车辆35辆，其中：离退休干部用车8辆、机要通信用车2辆、应急保障用车6辆、其他用车19辆，其他用车</w:t>
      </w:r>
      <w:r>
        <w:rPr>
          <w:rFonts w:hint="default" w:ascii="Times New Roman" w:hAnsi="Times New Roman" w:eastAsia="仿宋" w:cs="Times New Roman"/>
          <w:color w:val="auto"/>
          <w:sz w:val="32"/>
          <w:szCs w:val="32"/>
          <w:highlight w:val="none"/>
        </w:rPr>
        <w:t>主要是用于机要通信、应急保障、离退休干部用车之外的必要公务用途。</w:t>
      </w:r>
      <w:r>
        <w:rPr>
          <w:rFonts w:hint="default" w:ascii="Times New Roman" w:hAnsi="Times New Roman" w:eastAsia="仿宋_GB2312" w:cs="Times New Roman"/>
          <w:color w:val="auto"/>
          <w:sz w:val="32"/>
          <w:szCs w:val="32"/>
          <w:highlight w:val="none"/>
        </w:rPr>
        <w:t>单价50万元以上通用设</w:t>
      </w:r>
      <w:r>
        <w:rPr>
          <w:rFonts w:hint="eastAsia" w:eastAsia="仿宋_GB2312" w:cs="Times New Roman"/>
          <w:color w:val="auto"/>
          <w:sz w:val="32"/>
          <w:szCs w:val="32"/>
          <w:highlight w:val="none"/>
          <w:lang w:val="en-US" w:eastAsia="zh-CN"/>
        </w:rPr>
        <w:t>备</w:t>
      </w:r>
      <w:r>
        <w:rPr>
          <w:rFonts w:hint="default" w:ascii="Times New Roman" w:hAnsi="Times New Roman" w:eastAsia="仿宋_GB2312" w:cs="Times New Roman"/>
          <w:color w:val="auto"/>
          <w:sz w:val="32"/>
          <w:szCs w:val="32"/>
          <w:highlight w:val="none"/>
        </w:rPr>
        <w:t>11台（套），单价100万元以上专用设备1台（套）。</w:t>
      </w:r>
    </w:p>
    <w:p>
      <w:pPr>
        <w:pageBreakBefore w:val="0"/>
        <w:kinsoku/>
        <w:wordWrap/>
        <w:overflowPunct/>
        <w:topLinePunct w:val="0"/>
        <w:autoSpaceDE w:val="0"/>
        <w:autoSpaceDN w:val="0"/>
        <w:bidi w:val="0"/>
        <w:adjustRightInd w:val="0"/>
        <w:spacing w:line="540" w:lineRule="exact"/>
        <w:ind w:firstLine="643" w:firstLineChars="200"/>
        <w:jc w:val="left"/>
        <w:outlineLvl w:val="2"/>
        <w:rPr>
          <w:rFonts w:hint="eastAsia" w:ascii="楷体_GB2312" w:hAnsi="楷体_GB2312" w:eastAsia="楷体_GB2312" w:cs="楷体_GB2312"/>
          <w:b/>
          <w:color w:val="auto"/>
          <w:sz w:val="32"/>
          <w:szCs w:val="32"/>
          <w:highlight w:val="none"/>
        </w:rPr>
      </w:pPr>
      <w:bookmarkStart w:id="98" w:name="_Toc31390"/>
      <w:r>
        <w:rPr>
          <w:rFonts w:hint="eastAsia" w:ascii="楷体_GB2312" w:hAnsi="楷体_GB2312" w:eastAsia="楷体_GB2312" w:cs="楷体_GB2312"/>
          <w:b/>
          <w:color w:val="auto"/>
          <w:sz w:val="32"/>
          <w:szCs w:val="32"/>
          <w:highlight w:val="none"/>
        </w:rPr>
        <w:t>（四）预算绩效管理情况</w:t>
      </w:r>
      <w:bookmarkEnd w:id="98"/>
    </w:p>
    <w:p>
      <w:pPr>
        <w:pageBreakBefore w:val="0"/>
        <w:kinsoku/>
        <w:wordWrap/>
        <w:overflowPunct/>
        <w:topLinePunct w:val="0"/>
        <w:bidi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根据预算绩效管理要求，本部门在2020年度预算编制阶段，对</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个项目编制了绩效目标，预算执行过程中，选取</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个项目开展绩效监控，年终执行完毕后，对</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个项目开展了绩效目标完成情况自评。</w:t>
      </w:r>
    </w:p>
    <w:p>
      <w:pPr>
        <w:snapToGrid w:val="0"/>
        <w:spacing w:line="600" w:lineRule="atLeas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本部门按要求对2020年部门整体支出开展绩效自评，</w:t>
      </w:r>
      <w:r>
        <w:rPr>
          <w:rFonts w:hint="eastAsia" w:ascii="Times New Roman" w:hAnsi="Times New Roman" w:eastAsia="仿宋_GB2312" w:cs="Times New Roman"/>
          <w:color w:val="auto"/>
          <w:kern w:val="0"/>
          <w:sz w:val="32"/>
          <w:szCs w:val="32"/>
          <w:highlight w:val="none"/>
          <w:shd w:val="clear" w:color="auto" w:fill="FFFFFF"/>
          <w:lang w:val="en-US" w:eastAsia="zh-CN"/>
        </w:rPr>
        <w:t>从评价情况来看，</w:t>
      </w:r>
      <w:r>
        <w:rPr>
          <w:rFonts w:hint="eastAsia" w:ascii="仿宋_GB2312" w:hAnsi="仿宋_GB2312" w:eastAsia="仿宋_GB2312" w:cs="仿宋_GB2312"/>
          <w:sz w:val="32"/>
          <w:szCs w:val="32"/>
        </w:rPr>
        <w:t>财务制度较健全，财务管理较规范，全年基本支出保障了部门的正常运行和日程工作的正常开展，项目支出保障了重点工作的开展，达到了预期绩效目标和预期经济效果。</w:t>
      </w:r>
      <w:r>
        <w:rPr>
          <w:rFonts w:hint="default" w:ascii="Times New Roman" w:hAnsi="Times New Roman" w:eastAsia="仿宋_GB2312" w:cs="Times New Roman"/>
          <w:color w:val="auto"/>
          <w:sz w:val="32"/>
          <w:szCs w:val="32"/>
          <w:highlight w:val="none"/>
        </w:rPr>
        <w:t>本部门还自行组织了</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个项目支出绩效评价，从评价情况来看</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各项目绩效目标完成情况较好，实现了预期目标，充分发挥了财政资金的各项效益</w:t>
      </w:r>
      <w:r>
        <w:rPr>
          <w:rFonts w:hint="default" w:ascii="Times New Roman" w:hAnsi="Times New Roman" w:eastAsia="仿宋_GB2312" w:cs="Times New Roman"/>
          <w:color w:val="auto"/>
          <w:sz w:val="32"/>
          <w:szCs w:val="32"/>
          <w:highlight w:val="none"/>
        </w:rPr>
        <w:t>。</w:t>
      </w:r>
    </w:p>
    <w:p>
      <w:pPr>
        <w:pageBreakBefore w:val="0"/>
        <w:numPr>
          <w:ilvl w:val="0"/>
          <w:numId w:val="0"/>
        </w:numPr>
        <w:kinsoku/>
        <w:wordWrap/>
        <w:overflowPunct/>
        <w:topLinePunct w:val="0"/>
        <w:bidi w:val="0"/>
        <w:spacing w:line="540" w:lineRule="exact"/>
        <w:rPr>
          <w:rFonts w:hint="default" w:ascii="Times New Roman" w:hAnsi="Times New Roman" w:eastAsia="仿宋_GB2312" w:cs="Times New Roman"/>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    1.</w:t>
      </w:r>
      <w:r>
        <w:rPr>
          <w:rFonts w:hint="eastAsia" w:ascii="仿宋_GB2312" w:hAnsi="仿宋_GB2312" w:eastAsia="仿宋_GB2312" w:cs="仿宋_GB2312"/>
          <w:b/>
          <w:bCs/>
          <w:color w:val="auto"/>
          <w:sz w:val="32"/>
          <w:szCs w:val="32"/>
          <w:highlight w:val="none"/>
        </w:rPr>
        <w:t>项目绩效目标完成情况。</w:t>
      </w:r>
      <w:r>
        <w:rPr>
          <w:rFonts w:hint="eastAsia" w:ascii="仿宋_GB2312" w:hAnsi="仿宋_GB2312" w:eastAsia="仿宋_GB2312" w:cs="仿宋_GB2312"/>
          <w:color w:val="auto"/>
          <w:sz w:val="32"/>
          <w:szCs w:val="32"/>
          <w:highlight w:val="none"/>
        </w:rPr>
        <w:br w:type="textWrapping"/>
      </w:r>
      <w:r>
        <w:rPr>
          <w:rFonts w:hint="default" w:ascii="Times New Roman" w:hAnsi="Times New Roman" w:eastAsia="仿宋_GB2312" w:cs="Times New Roman"/>
          <w:color w:val="auto"/>
          <w:sz w:val="32"/>
          <w:szCs w:val="32"/>
          <w:highlight w:val="none"/>
        </w:rPr>
        <w:t xml:space="preserve">    本部门在2020年度部门决算中反映</w:t>
      </w: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十四五</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规划前期工作专项经费</w:t>
      </w: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四川省营商环境第三方评价专项经费（上年结转）</w:t>
      </w: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四川省易地扶贫搬迁购买服务费用</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委机关办公用房维修专项资金（上年结转）</w:t>
      </w: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日元贷款还本付息</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color w:val="auto"/>
          <w:sz w:val="32"/>
          <w:szCs w:val="32"/>
          <w:highlight w:val="none"/>
        </w:rPr>
        <w:t>等</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个项目绩效目标实际完成情况。</w:t>
      </w:r>
    </w:p>
    <w:p>
      <w:pPr>
        <w:keepNext w:val="0"/>
        <w:keepLines w:val="0"/>
        <w:pageBreakBefore w:val="0"/>
        <w:widowControl w:val="0"/>
        <w:kinsoku/>
        <w:wordWrap/>
        <w:overflowPunct/>
        <w:topLinePunct w:val="0"/>
        <w:autoSpaceDE/>
        <w:autoSpaceDN/>
        <w:bidi w:val="0"/>
        <w:adjustRightInd/>
        <w:snapToGrid w:val="0"/>
        <w:spacing w:line="540" w:lineRule="exact"/>
        <w:ind w:firstLine="642"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b w:val="0"/>
          <w:bCs w:val="0"/>
          <w:color w:val="auto"/>
          <w:sz w:val="32"/>
          <w:szCs w:val="32"/>
          <w:highlight w:val="none"/>
          <w:lang w:val="en-US" w:eastAsia="zh-CN"/>
        </w:rPr>
        <w:t>“十四五”规划前期工作专项经费</w:t>
      </w:r>
      <w:r>
        <w:rPr>
          <w:rFonts w:hint="default" w:ascii="Times New Roman" w:hAnsi="Times New Roman" w:eastAsia="仿宋_GB2312" w:cs="Times New Roman"/>
          <w:b w:val="0"/>
          <w:bCs w:val="0"/>
          <w:color w:val="auto"/>
          <w:sz w:val="32"/>
          <w:szCs w:val="32"/>
          <w:highlight w:val="none"/>
        </w:rPr>
        <w:t>项</w:t>
      </w:r>
      <w:r>
        <w:rPr>
          <w:rFonts w:hint="default" w:ascii="Times New Roman" w:hAnsi="Times New Roman" w:eastAsia="仿宋_GB2312" w:cs="Times New Roman"/>
          <w:color w:val="auto"/>
          <w:sz w:val="32"/>
          <w:szCs w:val="32"/>
          <w:highlight w:val="none"/>
        </w:rPr>
        <w:t>目绩效目标完成情况综述。项目全年预算数</w:t>
      </w:r>
      <w:r>
        <w:rPr>
          <w:rFonts w:hint="default" w:ascii="Times New Roman" w:hAnsi="Times New Roman" w:eastAsia="仿宋_GB2312" w:cs="Times New Roman"/>
          <w:color w:val="auto"/>
          <w:sz w:val="32"/>
          <w:szCs w:val="32"/>
          <w:highlight w:val="none"/>
          <w:lang w:val="en-US" w:eastAsia="zh-CN"/>
        </w:rPr>
        <w:t>400</w:t>
      </w:r>
      <w:r>
        <w:rPr>
          <w:rFonts w:hint="default" w:ascii="Times New Roman" w:hAnsi="Times New Roman" w:eastAsia="仿宋_GB2312" w:cs="Times New Roman"/>
          <w:color w:val="auto"/>
          <w:sz w:val="32"/>
          <w:szCs w:val="32"/>
          <w:highlight w:val="none"/>
        </w:rPr>
        <w:t>万元，执行数为</w:t>
      </w:r>
      <w:r>
        <w:rPr>
          <w:rFonts w:hint="default" w:ascii="Times New Roman" w:hAnsi="Times New Roman" w:eastAsia="仿宋_GB2312" w:cs="Times New Roman"/>
          <w:color w:val="auto"/>
          <w:sz w:val="32"/>
          <w:szCs w:val="32"/>
          <w:highlight w:val="none"/>
          <w:lang w:val="en-US" w:eastAsia="zh-CN"/>
        </w:rPr>
        <w:t>385</w:t>
      </w:r>
      <w:r>
        <w:rPr>
          <w:rFonts w:hint="default" w:ascii="Times New Roman" w:hAnsi="Times New Roman" w:eastAsia="仿宋_GB2312" w:cs="Times New Roman"/>
          <w:color w:val="auto"/>
          <w:sz w:val="32"/>
          <w:szCs w:val="32"/>
          <w:highlight w:val="none"/>
        </w:rPr>
        <w:t>万元，完成预算的</w:t>
      </w:r>
      <w:r>
        <w:rPr>
          <w:rFonts w:hint="default" w:ascii="Times New Roman" w:hAnsi="Times New Roman" w:eastAsia="仿宋_GB2312" w:cs="Times New Roman"/>
          <w:color w:val="auto"/>
          <w:sz w:val="32"/>
          <w:szCs w:val="32"/>
          <w:highlight w:val="none"/>
          <w:lang w:val="en-US" w:eastAsia="zh-CN"/>
        </w:rPr>
        <w:t>96.25</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本项目通过27个课题研究和省“十四五”规划《基本思路》研究，进一步深化了对全省“十四五”时期经济社会发展重大问题的认识，对我省“十四五”规划《基本思路》起草和规划《纲要》编制提供了有力支撑。</w:t>
      </w:r>
    </w:p>
    <w:p>
      <w:pPr>
        <w:pageBreakBefore w:val="0"/>
        <w:numPr>
          <w:ilvl w:val="0"/>
          <w:numId w:val="0"/>
        </w:numPr>
        <w:kinsoku/>
        <w:wordWrap/>
        <w:overflowPunct/>
        <w:topLinePunct w:val="0"/>
        <w:bidi w:val="0"/>
        <w:spacing w:line="54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（2）</w:t>
      </w:r>
      <w:r>
        <w:rPr>
          <w:rFonts w:hint="default" w:ascii="Times New Roman" w:hAnsi="Times New Roman" w:eastAsia="仿宋_GB2312" w:cs="Times New Roman"/>
          <w:b w:val="0"/>
          <w:bCs w:val="0"/>
          <w:color w:val="auto"/>
          <w:sz w:val="32"/>
          <w:szCs w:val="32"/>
          <w:highlight w:val="none"/>
          <w:lang w:val="en-US" w:eastAsia="zh-CN"/>
        </w:rPr>
        <w:t>四川省营商环境第三方评价专项经费（上年结转）</w:t>
      </w:r>
      <w:r>
        <w:rPr>
          <w:rFonts w:hint="default" w:ascii="Times New Roman" w:hAnsi="Times New Roman" w:eastAsia="仿宋_GB2312" w:cs="Times New Roman"/>
          <w:color w:val="auto"/>
          <w:sz w:val="32"/>
          <w:szCs w:val="32"/>
          <w:highlight w:val="none"/>
        </w:rPr>
        <w:t>项目绩效目标完成情况综述。项目全年预算数</w:t>
      </w:r>
      <w:r>
        <w:rPr>
          <w:rFonts w:hint="default" w:ascii="Times New Roman" w:hAnsi="Times New Roman" w:eastAsia="仿宋_GB2312" w:cs="Times New Roman"/>
          <w:color w:val="auto"/>
          <w:sz w:val="32"/>
          <w:szCs w:val="32"/>
          <w:highlight w:val="none"/>
          <w:lang w:val="en-US" w:eastAsia="zh-CN"/>
        </w:rPr>
        <w:t>350</w:t>
      </w:r>
      <w:r>
        <w:rPr>
          <w:rFonts w:hint="default" w:ascii="Times New Roman" w:hAnsi="Times New Roman" w:eastAsia="仿宋_GB2312" w:cs="Times New Roman"/>
          <w:color w:val="auto"/>
          <w:sz w:val="32"/>
          <w:szCs w:val="32"/>
          <w:highlight w:val="none"/>
        </w:rPr>
        <w:t>万元，执行数为</w:t>
      </w:r>
      <w:r>
        <w:rPr>
          <w:rFonts w:hint="default" w:ascii="Times New Roman" w:hAnsi="Times New Roman" w:eastAsia="仿宋_GB2312" w:cs="Times New Roman"/>
          <w:color w:val="auto"/>
          <w:sz w:val="32"/>
          <w:szCs w:val="32"/>
          <w:highlight w:val="none"/>
          <w:lang w:val="en-US" w:eastAsia="zh-CN"/>
        </w:rPr>
        <w:t>240.44</w:t>
      </w:r>
      <w:r>
        <w:rPr>
          <w:rFonts w:hint="default" w:ascii="Times New Roman" w:hAnsi="Times New Roman" w:eastAsia="仿宋_GB2312" w:cs="Times New Roman"/>
          <w:color w:val="auto"/>
          <w:sz w:val="32"/>
          <w:szCs w:val="32"/>
          <w:highlight w:val="none"/>
        </w:rPr>
        <w:t>万元，完成预算的</w:t>
      </w:r>
      <w:r>
        <w:rPr>
          <w:rFonts w:hint="default" w:ascii="Times New Roman" w:hAnsi="Times New Roman" w:eastAsia="仿宋_GB2312" w:cs="Times New Roman"/>
          <w:color w:val="auto"/>
          <w:sz w:val="32"/>
          <w:szCs w:val="32"/>
          <w:highlight w:val="none"/>
          <w:lang w:val="en-US" w:eastAsia="zh-CN"/>
        </w:rPr>
        <w:t>68.7</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本项目是对全省营商环境现状进行综合分析，对各市（州）进行综合排名和单项排名，形成《四川省营商环境评价报告（2019年度）》《四川省营商环境评价报告—民营经济发展报告》《2019年市（州）营商环境评价报告》，评价结果作为各地“营商便利度”的考核依据和营商环境指标提升专项行动成效的评估依据，为各地各有关部门（单位）对标整改、优化提升提供重要参考。为我省制定《四川省2020年营商环境指标提升方案》提供了强有力的数据和理论支撑，各地各部门借鉴学习评价梳理总结的典型案例，细化提升方案，形成竞相推进改革的生动局面。</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（3）</w:t>
      </w:r>
      <w:r>
        <w:rPr>
          <w:rFonts w:hint="default" w:ascii="Times New Roman" w:hAnsi="Times New Roman" w:eastAsia="仿宋_GB2312" w:cs="Times New Roman"/>
          <w:b w:val="0"/>
          <w:bCs w:val="0"/>
          <w:color w:val="auto"/>
          <w:sz w:val="32"/>
          <w:szCs w:val="32"/>
          <w:highlight w:val="none"/>
          <w:lang w:val="en-US" w:eastAsia="zh-CN"/>
        </w:rPr>
        <w:t>四川省易地扶贫搬迁购买服务费用</w:t>
      </w:r>
      <w:r>
        <w:rPr>
          <w:rFonts w:hint="default" w:ascii="Times New Roman" w:hAnsi="Times New Roman" w:eastAsia="仿宋_GB2312" w:cs="Times New Roman"/>
          <w:color w:val="auto"/>
          <w:sz w:val="32"/>
          <w:szCs w:val="32"/>
          <w:highlight w:val="none"/>
        </w:rPr>
        <w:t>项目绩效目标完成情况综述。项目全年预算数</w:t>
      </w:r>
      <w:r>
        <w:rPr>
          <w:rFonts w:hint="default" w:ascii="Times New Roman" w:hAnsi="Times New Roman" w:eastAsia="仿宋_GB2312" w:cs="Times New Roman"/>
          <w:color w:val="auto"/>
          <w:sz w:val="32"/>
          <w:szCs w:val="32"/>
          <w:highlight w:val="none"/>
          <w:lang w:val="en-US" w:eastAsia="zh-CN"/>
        </w:rPr>
        <w:t>485</w:t>
      </w:r>
      <w:r>
        <w:rPr>
          <w:rFonts w:hint="default" w:ascii="Times New Roman" w:hAnsi="Times New Roman" w:eastAsia="仿宋_GB2312" w:cs="Times New Roman"/>
          <w:color w:val="auto"/>
          <w:sz w:val="32"/>
          <w:szCs w:val="32"/>
          <w:highlight w:val="none"/>
        </w:rPr>
        <w:t>万元，执行数为</w:t>
      </w:r>
      <w:r>
        <w:rPr>
          <w:rFonts w:hint="default" w:ascii="Times New Roman" w:hAnsi="Times New Roman" w:eastAsia="仿宋_GB2312" w:cs="Times New Roman"/>
          <w:color w:val="auto"/>
          <w:sz w:val="32"/>
          <w:szCs w:val="32"/>
          <w:highlight w:val="none"/>
          <w:lang w:val="en-US" w:eastAsia="zh-CN"/>
        </w:rPr>
        <w:t>485</w:t>
      </w:r>
      <w:r>
        <w:rPr>
          <w:rFonts w:hint="default" w:ascii="Times New Roman" w:hAnsi="Times New Roman" w:eastAsia="仿宋_GB2312" w:cs="Times New Roman"/>
          <w:color w:val="auto"/>
          <w:sz w:val="32"/>
          <w:szCs w:val="32"/>
          <w:highlight w:val="none"/>
        </w:rPr>
        <w:t>万元，完成预算的</w:t>
      </w:r>
      <w:r>
        <w:rPr>
          <w:rFonts w:hint="default" w:ascii="Times New Roman" w:hAnsi="Times New Roman" w:eastAsia="仿宋_GB2312" w:cs="Times New Roman"/>
          <w:color w:val="auto"/>
          <w:sz w:val="32"/>
          <w:szCs w:val="32"/>
          <w:highlight w:val="none"/>
          <w:lang w:val="en-US" w:eastAsia="zh-CN"/>
        </w:rPr>
        <w:t>100</w:t>
      </w:r>
      <w:r>
        <w:rPr>
          <w:rFonts w:hint="default" w:ascii="Times New Roman" w:hAnsi="Times New Roman" w:eastAsia="仿宋_GB2312" w:cs="Times New Roman"/>
          <w:color w:val="auto"/>
          <w:sz w:val="32"/>
          <w:szCs w:val="32"/>
          <w:highlight w:val="none"/>
        </w:rPr>
        <w:t>%。该项</w:t>
      </w:r>
      <w:r>
        <w:rPr>
          <w:rFonts w:hint="default" w:ascii="Times New Roman" w:hAnsi="Times New Roman" w:eastAsia="仿宋_GB2312" w:cs="Times New Roman"/>
          <w:color w:val="auto"/>
          <w:sz w:val="32"/>
          <w:szCs w:val="32"/>
          <w:highlight w:val="none"/>
          <w:lang w:eastAsia="zh-CN"/>
        </w:rPr>
        <w:t>目</w:t>
      </w:r>
      <w:r>
        <w:rPr>
          <w:rFonts w:hint="default" w:ascii="Times New Roman" w:hAnsi="Times New Roman" w:eastAsia="仿宋_GB2312" w:cs="Times New Roman"/>
          <w:color w:val="auto"/>
          <w:sz w:val="32"/>
          <w:szCs w:val="32"/>
          <w:highlight w:val="none"/>
        </w:rPr>
        <w:t>主要用于</w:t>
      </w:r>
      <w:r>
        <w:rPr>
          <w:rFonts w:hint="eastAsia" w:eastAsia="仿宋_GB2312" w:cs="Times New Roman"/>
          <w:color w:val="auto"/>
          <w:sz w:val="32"/>
          <w:szCs w:val="32"/>
          <w:highlight w:val="none"/>
          <w:lang w:val="en-US" w:eastAsia="zh-CN"/>
        </w:rPr>
        <w:t>受省政府委托</w:t>
      </w:r>
      <w:r>
        <w:rPr>
          <w:rFonts w:hint="default" w:ascii="Times New Roman" w:hAnsi="Times New Roman" w:eastAsia="仿宋_GB2312" w:cs="Times New Roman"/>
          <w:color w:val="auto"/>
          <w:sz w:val="32"/>
          <w:szCs w:val="32"/>
          <w:highlight w:val="none"/>
        </w:rPr>
        <w:t>向省国农公司购买易地扶贫搬迁投融资服务，要求省国农公司按期完成已经下达易地扶贫搬迁项目资金的还款利息归集和偿还，做好易地扶贫搬迁项目资金的监督管理工作，确保足额、及时完成还款任务。</w:t>
      </w:r>
      <w:r>
        <w:rPr>
          <w:rFonts w:hint="eastAsia" w:ascii="仿宋_GB2312" w:hAnsi="仿宋_GB2312" w:eastAsia="仿宋_GB2312" w:cs="仿宋_GB2312"/>
          <w:color w:val="auto"/>
          <w:sz w:val="32"/>
          <w:szCs w:val="32"/>
          <w:highlight w:val="none"/>
          <w:lang w:val="en-US" w:eastAsia="zh-CN"/>
        </w:rPr>
        <w:t>省国农公司对</w:t>
      </w:r>
      <w:r>
        <w:rPr>
          <w:rFonts w:hint="default" w:ascii="Times New Roman" w:hAnsi="Times New Roman" w:eastAsia="仿宋_GB2312" w:cs="Times New Roman"/>
          <w:color w:val="auto"/>
          <w:sz w:val="32"/>
          <w:szCs w:val="32"/>
          <w:highlight w:val="none"/>
          <w:lang w:val="en-US" w:eastAsia="zh-CN"/>
        </w:rPr>
        <w:t>易地扶贫搬迁投融资管理工作高度重视，定位准确，管理规范，制度健全，工作资料完备，工作成效明显，全面完成了2020年度投融资服务工作，较好地完成了省委、省政府及省级有关部门交办任务，地方平台公司评价满意度高。</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b w:val="0"/>
          <w:bCs w:val="0"/>
          <w:color w:val="auto"/>
          <w:sz w:val="32"/>
          <w:szCs w:val="32"/>
          <w:highlight w:val="none"/>
          <w:lang w:val="en-US" w:eastAsia="zh-CN"/>
        </w:rPr>
        <w:t>委机关办公用房维修专项资金（上年结转）</w:t>
      </w:r>
      <w:r>
        <w:rPr>
          <w:rFonts w:hint="default" w:ascii="Times New Roman" w:hAnsi="Times New Roman" w:eastAsia="仿宋_GB2312" w:cs="Times New Roman"/>
          <w:color w:val="auto"/>
          <w:sz w:val="32"/>
          <w:szCs w:val="32"/>
          <w:highlight w:val="none"/>
        </w:rPr>
        <w:t>项目绩效目标完成情况综述。项目全年预算数</w:t>
      </w:r>
      <w:r>
        <w:rPr>
          <w:rFonts w:hint="default" w:ascii="Times New Roman" w:hAnsi="Times New Roman" w:eastAsia="仿宋_GB2312" w:cs="Times New Roman"/>
          <w:color w:val="auto"/>
          <w:sz w:val="32"/>
          <w:szCs w:val="32"/>
          <w:highlight w:val="none"/>
          <w:lang w:val="en-US" w:eastAsia="zh-CN"/>
        </w:rPr>
        <w:t>207.81</w:t>
      </w:r>
      <w:r>
        <w:rPr>
          <w:rFonts w:hint="default" w:ascii="Times New Roman" w:hAnsi="Times New Roman" w:eastAsia="仿宋_GB2312" w:cs="Times New Roman"/>
          <w:color w:val="auto"/>
          <w:sz w:val="32"/>
          <w:szCs w:val="32"/>
          <w:highlight w:val="none"/>
        </w:rPr>
        <w:t>万元，执行数为</w:t>
      </w:r>
      <w:r>
        <w:rPr>
          <w:rFonts w:hint="default" w:ascii="Times New Roman" w:hAnsi="Times New Roman" w:eastAsia="仿宋_GB2312" w:cs="Times New Roman"/>
          <w:color w:val="auto"/>
          <w:sz w:val="32"/>
          <w:szCs w:val="32"/>
          <w:highlight w:val="none"/>
          <w:lang w:val="en-US" w:eastAsia="zh-CN"/>
        </w:rPr>
        <w:t>183.36</w:t>
      </w:r>
      <w:r>
        <w:rPr>
          <w:rFonts w:hint="default" w:ascii="Times New Roman" w:hAnsi="Times New Roman" w:eastAsia="仿宋_GB2312" w:cs="Times New Roman"/>
          <w:color w:val="auto"/>
          <w:sz w:val="32"/>
          <w:szCs w:val="32"/>
          <w:highlight w:val="none"/>
        </w:rPr>
        <w:t>万元，完成预算的</w:t>
      </w:r>
      <w:r>
        <w:rPr>
          <w:rFonts w:hint="default" w:ascii="Times New Roman" w:hAnsi="Times New Roman" w:eastAsia="仿宋_GB2312" w:cs="Times New Roman"/>
          <w:color w:val="auto"/>
          <w:sz w:val="32"/>
          <w:szCs w:val="32"/>
          <w:highlight w:val="none"/>
          <w:lang w:val="en-US" w:eastAsia="zh-CN"/>
        </w:rPr>
        <w:t>88.23</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通过此项目，较好</w:t>
      </w:r>
      <w:r>
        <w:rPr>
          <w:rFonts w:hint="eastAsia" w:eastAsia="仿宋_GB2312" w:cs="Times New Roman"/>
          <w:color w:val="auto"/>
          <w:sz w:val="32"/>
          <w:szCs w:val="32"/>
          <w:highlight w:val="none"/>
          <w:lang w:val="en-US" w:eastAsia="zh-CN"/>
        </w:rPr>
        <w:t>地</w:t>
      </w:r>
      <w:r>
        <w:rPr>
          <w:rFonts w:hint="default" w:ascii="Times New Roman" w:hAnsi="Times New Roman" w:eastAsia="仿宋_GB2312" w:cs="Times New Roman"/>
          <w:color w:val="auto"/>
          <w:sz w:val="32"/>
          <w:szCs w:val="32"/>
          <w:highlight w:val="none"/>
          <w:lang w:val="en-US" w:eastAsia="zh-CN"/>
        </w:rPr>
        <w:t>改善了机关办公条件。</w:t>
      </w:r>
    </w:p>
    <w:p>
      <w:pPr>
        <w:pageBreakBefore w:val="0"/>
        <w:kinsoku/>
        <w:wordWrap/>
        <w:overflowPunct/>
        <w:topLinePunct w:val="0"/>
        <w:bidi w:val="0"/>
        <w:spacing w:line="54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pacing w:val="-2"/>
          <w:sz w:val="32"/>
          <w:szCs w:val="32"/>
          <w:highlight w:val="none"/>
        </w:rPr>
        <w:t>日元贷款还本付息</w:t>
      </w:r>
      <w:r>
        <w:rPr>
          <w:rFonts w:hint="default" w:ascii="Times New Roman" w:hAnsi="Times New Roman" w:eastAsia="仿宋_GB2312" w:cs="Times New Roman"/>
          <w:color w:val="auto"/>
          <w:sz w:val="32"/>
          <w:szCs w:val="32"/>
          <w:highlight w:val="none"/>
        </w:rPr>
        <w:t>项目绩效目标完成情况综述。项目全年预算数400万元，执行数为3</w:t>
      </w:r>
      <w:r>
        <w:rPr>
          <w:rFonts w:hint="default" w:ascii="Times New Roman" w:hAnsi="Times New Roman" w:eastAsia="仿宋_GB2312" w:cs="Times New Roman"/>
          <w:color w:val="auto"/>
          <w:sz w:val="32"/>
          <w:szCs w:val="32"/>
          <w:highlight w:val="none"/>
          <w:lang w:val="en-US" w:eastAsia="zh-CN"/>
        </w:rPr>
        <w:t>49.96</w:t>
      </w:r>
      <w:r>
        <w:rPr>
          <w:rFonts w:hint="default" w:ascii="Times New Roman" w:hAnsi="Times New Roman" w:eastAsia="仿宋_GB2312" w:cs="Times New Roman"/>
          <w:color w:val="auto"/>
          <w:sz w:val="32"/>
          <w:szCs w:val="32"/>
          <w:highlight w:val="none"/>
        </w:rPr>
        <w:t>万元，完成预算的</w:t>
      </w:r>
      <w:r>
        <w:rPr>
          <w:rFonts w:hint="default" w:ascii="Times New Roman" w:hAnsi="Times New Roman" w:eastAsia="仿宋_GB2312" w:cs="Times New Roman"/>
          <w:color w:val="auto"/>
          <w:sz w:val="32"/>
          <w:szCs w:val="32"/>
          <w:highlight w:val="none"/>
          <w:lang w:val="en-US" w:eastAsia="zh-CN"/>
        </w:rPr>
        <w:t>87.49</w:t>
      </w:r>
      <w:r>
        <w:rPr>
          <w:rFonts w:hint="default" w:ascii="Times New Roman" w:hAnsi="Times New Roman" w:eastAsia="仿宋_GB2312" w:cs="Times New Roman"/>
          <w:color w:val="auto"/>
          <w:sz w:val="32"/>
          <w:szCs w:val="32"/>
          <w:highlight w:val="none"/>
        </w:rPr>
        <w:t>%。通过项目实施，为全省经济信息建设设备采购和技术人员培训提供了资金。贷款为国家信息中心汇总分析全国宏观经济运行状况提供了有力支持，特别是每季度的经济形势分析、全省经济发展中重大问题研究、经济走势预测分析等工作，为省内各级政府和国家有关部门的宏观决策和调控服务起到了积极推动作用；利用贷款建设的信息平台实现了我省经济信息管理手段现代化和管理方法科学化，利用资金为政务公开提供网络支持服务和建设办公平台，购买计算机硬件推进无纸化办公发挥了重要作用。</w:t>
      </w:r>
    </w:p>
    <w:tbl>
      <w:tblPr>
        <w:tblStyle w:val="29"/>
        <w:tblpPr w:leftFromText="180" w:rightFromText="180" w:vertAnchor="text" w:horzAnchor="page" w:tblpXSpec="center" w:tblpY="423"/>
        <w:tblOverlap w:val="never"/>
        <w:tblW w:w="9960" w:type="dxa"/>
        <w:jc w:val="center"/>
        <w:tblInd w:w="0" w:type="dxa"/>
        <w:tblLayout w:type="fixed"/>
        <w:tblCellMar>
          <w:top w:w="0" w:type="dxa"/>
          <w:left w:w="0" w:type="dxa"/>
          <w:bottom w:w="0" w:type="dxa"/>
          <w:right w:w="0" w:type="dxa"/>
        </w:tblCellMar>
      </w:tblPr>
      <w:tblGrid>
        <w:gridCol w:w="747"/>
        <w:gridCol w:w="1010"/>
        <w:gridCol w:w="1025"/>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36"/>
                <w:szCs w:val="36"/>
                <w:highlight w:val="none"/>
              </w:rPr>
            </w:pPr>
            <w:r>
              <w:rPr>
                <w:rFonts w:hint="default" w:ascii="Times New Roman" w:hAnsi="Times New Roman" w:eastAsia="方正小标宋简体" w:cs="Times New Roman"/>
                <w:b w:val="0"/>
                <w:bCs w:val="0"/>
                <w:color w:val="auto"/>
                <w:kern w:val="0"/>
                <w:sz w:val="32"/>
                <w:szCs w:val="32"/>
                <w:highlight w:val="none"/>
              </w:rPr>
              <w:t>项目绩效目标完成情况表</w:t>
            </w:r>
            <w:r>
              <w:rPr>
                <w:rFonts w:hint="default" w:ascii="Times New Roman" w:hAnsi="Times New Roman" w:eastAsia="方正小标宋简体" w:cs="Times New Roman"/>
                <w:b w:val="0"/>
                <w:bCs w:val="0"/>
                <w:color w:val="auto"/>
                <w:kern w:val="0"/>
                <w:sz w:val="32"/>
                <w:szCs w:val="32"/>
                <w:highlight w:val="none"/>
              </w:rPr>
              <w:br w:type="textWrapping"/>
            </w:r>
            <w:r>
              <w:rPr>
                <w:rFonts w:hint="default" w:ascii="Times New Roman" w:hAnsi="Times New Roman" w:eastAsia="方正小标宋简体" w:cs="Times New Roman"/>
                <w:b w:val="0"/>
                <w:bCs w:val="0"/>
                <w:color w:val="auto"/>
                <w:kern w:val="0"/>
                <w:sz w:val="32"/>
                <w:szCs w:val="32"/>
                <w:highlight w:val="none"/>
              </w:rPr>
              <w:t>(2020年度)</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“十四五”规划前期工作专项经费</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四川省发展和改革委员会机关</w:t>
            </w:r>
          </w:p>
        </w:tc>
      </w:tr>
      <w:tr>
        <w:tblPrEx>
          <w:tblLayout w:type="fixed"/>
          <w:tblCellMar>
            <w:top w:w="0" w:type="dxa"/>
            <w:left w:w="0" w:type="dxa"/>
            <w:bottom w:w="0" w:type="dxa"/>
            <w:right w:w="0" w:type="dxa"/>
          </w:tblCellMar>
        </w:tblPrEx>
        <w:trPr>
          <w:trHeight w:val="408" w:hRule="atLeast"/>
          <w:jc w:val="center"/>
        </w:trPr>
        <w:tc>
          <w:tcPr>
            <w:tcW w:w="74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rPr>
              <w:t>预算执行情况(万元)</w:t>
            </w:r>
          </w:p>
        </w:tc>
        <w:tc>
          <w:tcPr>
            <w:tcW w:w="20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400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385</w:t>
            </w:r>
          </w:p>
        </w:tc>
      </w:tr>
      <w:tr>
        <w:tblPrEx>
          <w:tblLayout w:type="fixed"/>
          <w:tblCellMar>
            <w:top w:w="0" w:type="dxa"/>
            <w:left w:w="0" w:type="dxa"/>
            <w:bottom w:w="0" w:type="dxa"/>
            <w:right w:w="0" w:type="dxa"/>
          </w:tblCellMar>
        </w:tblPrEx>
        <w:trPr>
          <w:trHeight w:val="276" w:hRule="atLeast"/>
          <w:jc w:val="center"/>
        </w:trPr>
        <w:tc>
          <w:tcPr>
            <w:tcW w:w="74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240" w:lineRule="auto"/>
              <w:jc w:val="center"/>
              <w:rPr>
                <w:rFonts w:hint="default" w:ascii="Times New Roman" w:hAnsi="Times New Roman" w:eastAsia="宋体" w:cs="Times New Roman"/>
                <w:color w:val="auto"/>
                <w:sz w:val="20"/>
                <w:szCs w:val="20"/>
                <w:highlight w:val="none"/>
              </w:rPr>
            </w:pPr>
          </w:p>
        </w:tc>
        <w:tc>
          <w:tcPr>
            <w:tcW w:w="20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400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385</w:t>
            </w:r>
          </w:p>
        </w:tc>
      </w:tr>
      <w:tr>
        <w:tblPrEx>
          <w:tblLayout w:type="fixed"/>
          <w:tblCellMar>
            <w:top w:w="0" w:type="dxa"/>
            <w:left w:w="0" w:type="dxa"/>
            <w:bottom w:w="0" w:type="dxa"/>
            <w:right w:w="0" w:type="dxa"/>
          </w:tblCellMar>
        </w:tblPrEx>
        <w:trPr>
          <w:trHeight w:val="435" w:hRule="atLeast"/>
          <w:jc w:val="center"/>
        </w:trPr>
        <w:tc>
          <w:tcPr>
            <w:tcW w:w="74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240" w:lineRule="auto"/>
              <w:jc w:val="center"/>
              <w:rPr>
                <w:rFonts w:hint="default" w:ascii="Times New Roman" w:hAnsi="Times New Roman" w:eastAsia="宋体" w:cs="Times New Roman"/>
                <w:color w:val="auto"/>
                <w:sz w:val="20"/>
                <w:szCs w:val="20"/>
                <w:highlight w:val="none"/>
              </w:rPr>
            </w:pPr>
          </w:p>
        </w:tc>
        <w:tc>
          <w:tcPr>
            <w:tcW w:w="20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240" w:lineRule="auto"/>
              <w:jc w:val="center"/>
              <w:rPr>
                <w:rFonts w:hint="default" w:ascii="Times New Roman" w:hAnsi="Times New Roman" w:eastAsia="宋体" w:cs="Times New Roman"/>
                <w:color w:val="auto"/>
                <w:sz w:val="20"/>
                <w:szCs w:val="20"/>
                <w:highlight w:val="none"/>
              </w:rPr>
            </w:pPr>
          </w:p>
        </w:tc>
      </w:tr>
      <w:tr>
        <w:tblPrEx>
          <w:tblLayout w:type="fixed"/>
          <w:tblCellMar>
            <w:top w:w="0" w:type="dxa"/>
            <w:left w:w="0" w:type="dxa"/>
            <w:bottom w:w="0" w:type="dxa"/>
            <w:right w:w="0" w:type="dxa"/>
          </w:tblCellMar>
        </w:tblPrEx>
        <w:trPr>
          <w:trHeight w:val="276" w:hRule="atLeast"/>
          <w:jc w:val="center"/>
        </w:trPr>
        <w:tc>
          <w:tcPr>
            <w:tcW w:w="74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rPr>
              <w:t>年度目标完成情况</w:t>
            </w:r>
          </w:p>
        </w:tc>
        <w:tc>
          <w:tcPr>
            <w:tcW w:w="442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rPr>
              <w:t>实际完成目标</w:t>
            </w:r>
          </w:p>
        </w:tc>
      </w:tr>
      <w:tr>
        <w:tblPrEx>
          <w:tblLayout w:type="fixed"/>
          <w:tblCellMar>
            <w:top w:w="0" w:type="dxa"/>
            <w:left w:w="0" w:type="dxa"/>
            <w:bottom w:w="0" w:type="dxa"/>
            <w:right w:w="0" w:type="dxa"/>
          </w:tblCellMar>
        </w:tblPrEx>
        <w:trPr>
          <w:trHeight w:val="1159" w:hRule="atLeast"/>
          <w:jc w:val="center"/>
        </w:trPr>
        <w:tc>
          <w:tcPr>
            <w:tcW w:w="74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240" w:lineRule="auto"/>
              <w:jc w:val="center"/>
              <w:rPr>
                <w:rFonts w:hint="default" w:ascii="Times New Roman" w:hAnsi="Times New Roman" w:eastAsia="宋体" w:cs="Times New Roman"/>
                <w:color w:val="auto"/>
                <w:sz w:val="20"/>
                <w:szCs w:val="20"/>
                <w:highlight w:val="none"/>
              </w:rPr>
            </w:pPr>
          </w:p>
        </w:tc>
        <w:tc>
          <w:tcPr>
            <w:tcW w:w="442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left"/>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围绕我省“十四五”时期全局性、战略性、基础性问题，委托有关研究单位，开展“十四五”规划前期研究课题</w:t>
            </w:r>
            <w:r>
              <w:rPr>
                <w:rFonts w:hint="default" w:ascii="Times New Roman" w:hAnsi="Times New Roman" w:eastAsia="宋体" w:cs="Times New Roman"/>
                <w:color w:val="auto"/>
                <w:sz w:val="20"/>
                <w:szCs w:val="20"/>
                <w:highlight w:val="none"/>
                <w:lang w:val="en-US" w:eastAsia="zh-CN"/>
              </w:rPr>
              <w:t>27</w:t>
            </w:r>
            <w:r>
              <w:rPr>
                <w:rFonts w:hint="default" w:ascii="Times New Roman" w:hAnsi="Times New Roman" w:eastAsia="宋体" w:cs="Times New Roman"/>
                <w:color w:val="auto"/>
                <w:sz w:val="20"/>
                <w:szCs w:val="20"/>
                <w:highlight w:val="none"/>
              </w:rPr>
              <w:t>个，完成“十四五”规划《基本思路》研究报告1个。</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left"/>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“十四五”规划前期研究课题27个，“十四五”规划《基本思路》研究报告1个，均全部完成</w:t>
            </w:r>
          </w:p>
        </w:tc>
      </w:tr>
      <w:tr>
        <w:tblPrEx>
          <w:tblLayout w:type="fixed"/>
          <w:tblCellMar>
            <w:top w:w="0" w:type="dxa"/>
            <w:left w:w="0" w:type="dxa"/>
            <w:bottom w:w="0" w:type="dxa"/>
            <w:right w:w="0" w:type="dxa"/>
          </w:tblCellMar>
        </w:tblPrEx>
        <w:trPr>
          <w:trHeight w:val="771" w:hRule="atLeast"/>
          <w:jc w:val="center"/>
        </w:trPr>
        <w:tc>
          <w:tcPr>
            <w:tcW w:w="747" w:type="dxa"/>
            <w:vMerge w:val="restart"/>
            <w:tcBorders>
              <w:top w:val="single" w:color="auto" w:sz="4" w:space="0"/>
              <w:left w:val="single" w:color="auto"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绩效指标完成情况</w:t>
            </w:r>
          </w:p>
        </w:tc>
        <w:tc>
          <w:tcPr>
            <w:tcW w:w="1010" w:type="dxa"/>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一级指标</w:t>
            </w:r>
          </w:p>
        </w:tc>
        <w:tc>
          <w:tcPr>
            <w:tcW w:w="102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实际完成指标值(包含数字及文字描述)</w:t>
            </w:r>
          </w:p>
        </w:tc>
      </w:tr>
      <w:tr>
        <w:tblPrEx>
          <w:tblLayout w:type="fixed"/>
          <w:tblCellMar>
            <w:top w:w="0" w:type="dxa"/>
            <w:left w:w="0" w:type="dxa"/>
            <w:bottom w:w="0" w:type="dxa"/>
            <w:right w:w="0" w:type="dxa"/>
          </w:tblCellMar>
        </w:tblPrEx>
        <w:trPr>
          <w:trHeight w:val="620" w:hRule="atLeast"/>
          <w:jc w:val="center"/>
        </w:trPr>
        <w:tc>
          <w:tcPr>
            <w:tcW w:w="747" w:type="dxa"/>
            <w:vMerge w:val="continue"/>
            <w:tcBorders>
              <w:left w:val="single" w:color="auto"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1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项目完</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成指标</w:t>
            </w:r>
          </w:p>
        </w:tc>
        <w:tc>
          <w:tcPr>
            <w:tcW w:w="102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完成课题研究报告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27</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27</w:t>
            </w:r>
          </w:p>
        </w:tc>
      </w:tr>
      <w:tr>
        <w:tblPrEx>
          <w:tblLayout w:type="fixed"/>
          <w:tblCellMar>
            <w:top w:w="0" w:type="dxa"/>
            <w:left w:w="0" w:type="dxa"/>
            <w:bottom w:w="0" w:type="dxa"/>
            <w:right w:w="0" w:type="dxa"/>
          </w:tblCellMar>
        </w:tblPrEx>
        <w:trPr>
          <w:trHeight w:val="700" w:hRule="atLeast"/>
          <w:jc w:val="center"/>
        </w:trPr>
        <w:tc>
          <w:tcPr>
            <w:tcW w:w="747" w:type="dxa"/>
            <w:vMerge w:val="continue"/>
            <w:tcBorders>
              <w:left w:val="single" w:color="auto"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1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项目完</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成指标</w:t>
            </w:r>
          </w:p>
        </w:tc>
        <w:tc>
          <w:tcPr>
            <w:tcW w:w="102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完成“十四五”规划《基本思路》研究报告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1</w:t>
            </w:r>
          </w:p>
        </w:tc>
      </w:tr>
      <w:tr>
        <w:tblPrEx>
          <w:tblLayout w:type="fixed"/>
          <w:tblCellMar>
            <w:top w:w="0" w:type="dxa"/>
            <w:left w:w="0" w:type="dxa"/>
            <w:bottom w:w="0" w:type="dxa"/>
            <w:right w:w="0" w:type="dxa"/>
          </w:tblCellMar>
        </w:tblPrEx>
        <w:trPr>
          <w:trHeight w:val="542" w:hRule="atLeast"/>
          <w:jc w:val="center"/>
        </w:trPr>
        <w:tc>
          <w:tcPr>
            <w:tcW w:w="747" w:type="dxa"/>
            <w:vMerge w:val="continue"/>
            <w:tcBorders>
              <w:left w:val="single" w:color="auto"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1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项目完</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成指标</w:t>
            </w:r>
          </w:p>
        </w:tc>
        <w:tc>
          <w:tcPr>
            <w:tcW w:w="102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课题专家评审合格率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100%</w:t>
            </w:r>
          </w:p>
        </w:tc>
      </w:tr>
      <w:tr>
        <w:tblPrEx>
          <w:tblLayout w:type="fixed"/>
          <w:tblCellMar>
            <w:top w:w="0" w:type="dxa"/>
            <w:left w:w="0" w:type="dxa"/>
            <w:bottom w:w="0" w:type="dxa"/>
            <w:right w:w="0" w:type="dxa"/>
          </w:tblCellMar>
        </w:tblPrEx>
        <w:trPr>
          <w:trHeight w:val="687" w:hRule="atLeast"/>
          <w:jc w:val="center"/>
        </w:trPr>
        <w:tc>
          <w:tcPr>
            <w:tcW w:w="747" w:type="dxa"/>
            <w:vMerge w:val="continue"/>
            <w:tcBorders>
              <w:left w:val="single" w:color="auto"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1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项目完</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成指标</w:t>
            </w:r>
          </w:p>
        </w:tc>
        <w:tc>
          <w:tcPr>
            <w:tcW w:w="102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项目完成时间节点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2020年上半年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2020年8月</w:t>
            </w:r>
          </w:p>
        </w:tc>
      </w:tr>
      <w:tr>
        <w:tblPrEx>
          <w:tblLayout w:type="fixed"/>
          <w:tblCellMar>
            <w:top w:w="0" w:type="dxa"/>
            <w:left w:w="0" w:type="dxa"/>
            <w:bottom w:w="0" w:type="dxa"/>
            <w:right w:w="0" w:type="dxa"/>
          </w:tblCellMar>
        </w:tblPrEx>
        <w:trPr>
          <w:trHeight w:val="778" w:hRule="atLeast"/>
          <w:jc w:val="center"/>
        </w:trPr>
        <w:tc>
          <w:tcPr>
            <w:tcW w:w="747" w:type="dxa"/>
            <w:vMerge w:val="continue"/>
            <w:tcBorders>
              <w:left w:val="single" w:color="auto"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1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效益指标</w:t>
            </w:r>
          </w:p>
        </w:tc>
        <w:tc>
          <w:tcPr>
            <w:tcW w:w="102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lang w:val="en-US" w:eastAsia="zh-CN"/>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对全省“十四五”时期经济发展重大问题认识程度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达成普遍共识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达成普遍共识</w:t>
            </w:r>
          </w:p>
        </w:tc>
      </w:tr>
      <w:tr>
        <w:tblPrEx>
          <w:tblLayout w:type="fixed"/>
          <w:tblCellMar>
            <w:top w:w="0" w:type="dxa"/>
            <w:left w:w="0" w:type="dxa"/>
            <w:bottom w:w="0" w:type="dxa"/>
            <w:right w:w="0" w:type="dxa"/>
          </w:tblCellMar>
        </w:tblPrEx>
        <w:trPr>
          <w:trHeight w:val="785" w:hRule="atLeast"/>
          <w:jc w:val="center"/>
        </w:trPr>
        <w:tc>
          <w:tcPr>
            <w:tcW w:w="747" w:type="dxa"/>
            <w:vMerge w:val="continue"/>
            <w:tcBorders>
              <w:left w:val="single" w:color="auto"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1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效益指标</w:t>
            </w:r>
          </w:p>
        </w:tc>
        <w:tc>
          <w:tcPr>
            <w:tcW w:w="102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lang w:val="en-US" w:eastAsia="zh-CN"/>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对全省“十四五”时期社会发展重大问题认识程度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达成普遍共识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达成普遍共识</w:t>
            </w:r>
          </w:p>
        </w:tc>
      </w:tr>
      <w:tr>
        <w:tblPrEx>
          <w:tblLayout w:type="fixed"/>
          <w:tblCellMar>
            <w:top w:w="0" w:type="dxa"/>
            <w:left w:w="0" w:type="dxa"/>
            <w:bottom w:w="0" w:type="dxa"/>
            <w:right w:w="0" w:type="dxa"/>
          </w:tblCellMar>
        </w:tblPrEx>
        <w:trPr>
          <w:trHeight w:val="762" w:hRule="atLeast"/>
          <w:jc w:val="center"/>
        </w:trPr>
        <w:tc>
          <w:tcPr>
            <w:tcW w:w="747" w:type="dxa"/>
            <w:vMerge w:val="continue"/>
            <w:tcBorders>
              <w:left w:val="single" w:color="auto" w:sz="4" w:space="0"/>
              <w:bottom w:val="single" w:color="auto"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10"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效益指标</w:t>
            </w:r>
          </w:p>
        </w:tc>
        <w:tc>
          <w:tcPr>
            <w:tcW w:w="102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成果影响年限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≥5年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≥5年</w:t>
            </w:r>
          </w:p>
        </w:tc>
      </w:tr>
    </w:tbl>
    <w:p>
      <w:pPr>
        <w:pageBreakBefore w:val="0"/>
        <w:kinsoku/>
        <w:wordWrap/>
        <w:overflowPunct/>
        <w:topLinePunct w:val="0"/>
        <w:bidi w:val="0"/>
        <w:spacing w:line="540" w:lineRule="exact"/>
        <w:ind w:left="630"/>
        <w:rPr>
          <w:rFonts w:hint="default" w:ascii="Times New Roman" w:hAnsi="Times New Roman" w:eastAsia="仿宋_GB2312" w:cs="Times New Roman"/>
          <w:color w:val="auto"/>
          <w:sz w:val="20"/>
          <w:szCs w:val="20"/>
          <w:highlight w:val="none"/>
        </w:rPr>
      </w:pPr>
    </w:p>
    <w:tbl>
      <w:tblPr>
        <w:tblStyle w:val="29"/>
        <w:tblpPr w:leftFromText="180" w:rightFromText="180" w:vertAnchor="text" w:horzAnchor="page" w:tblpXSpec="center" w:tblpY="423"/>
        <w:tblOverlap w:val="never"/>
        <w:tblW w:w="9960" w:type="dxa"/>
        <w:jc w:val="center"/>
        <w:tblInd w:w="0" w:type="dxa"/>
        <w:tblLayout w:type="fixed"/>
        <w:tblCellMar>
          <w:top w:w="0" w:type="dxa"/>
          <w:left w:w="0" w:type="dxa"/>
          <w:bottom w:w="0" w:type="dxa"/>
          <w:right w:w="0" w:type="dxa"/>
        </w:tblCellMar>
      </w:tblPr>
      <w:tblGrid>
        <w:gridCol w:w="733"/>
        <w:gridCol w:w="1024"/>
        <w:gridCol w:w="1025"/>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方正小标宋简体" w:cs="Times New Roman"/>
                <w:b w:val="0"/>
                <w:bCs w:val="0"/>
                <w:color w:val="auto"/>
                <w:kern w:val="0"/>
                <w:sz w:val="32"/>
                <w:szCs w:val="32"/>
                <w:highlight w:val="none"/>
              </w:rPr>
              <w:t>项目绩效目标完成情况表</w:t>
            </w:r>
            <w:r>
              <w:rPr>
                <w:rFonts w:hint="default" w:ascii="Times New Roman" w:hAnsi="Times New Roman" w:eastAsia="方正小标宋简体" w:cs="Times New Roman"/>
                <w:b w:val="0"/>
                <w:bCs w:val="0"/>
                <w:color w:val="auto"/>
                <w:kern w:val="0"/>
                <w:sz w:val="32"/>
                <w:szCs w:val="32"/>
                <w:highlight w:val="none"/>
              </w:rPr>
              <w:br w:type="textWrapping"/>
            </w:r>
            <w:r>
              <w:rPr>
                <w:rFonts w:hint="default" w:ascii="Times New Roman" w:hAnsi="Times New Roman" w:eastAsia="方正小标宋简体" w:cs="Times New Roman"/>
                <w:b w:val="0"/>
                <w:bCs w:val="0"/>
                <w:color w:val="auto"/>
                <w:kern w:val="0"/>
                <w:sz w:val="32"/>
                <w:szCs w:val="32"/>
                <w:highlight w:val="none"/>
              </w:rPr>
              <w:t>(2020年度)</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2019年四川省营商环境评价</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四川省发展和改革委员会</w:t>
            </w:r>
            <w:r>
              <w:rPr>
                <w:rFonts w:hint="default" w:ascii="Times New Roman" w:hAnsi="Times New Roman" w:cs="Times New Roman"/>
                <w:color w:val="auto"/>
                <w:sz w:val="20"/>
                <w:szCs w:val="20"/>
                <w:highlight w:val="none"/>
                <w:lang w:val="en-US" w:eastAsia="zh-CN"/>
              </w:rPr>
              <w:t>机关</w:t>
            </w:r>
          </w:p>
        </w:tc>
      </w:tr>
      <w:tr>
        <w:tblPrEx>
          <w:tblLayout w:type="fixed"/>
          <w:tblCellMar>
            <w:top w:w="0" w:type="dxa"/>
            <w:left w:w="0" w:type="dxa"/>
            <w:bottom w:w="0" w:type="dxa"/>
            <w:right w:w="0" w:type="dxa"/>
          </w:tblCellMar>
        </w:tblPrEx>
        <w:trPr>
          <w:trHeight w:val="276" w:hRule="atLeast"/>
          <w:jc w:val="center"/>
        </w:trPr>
        <w:tc>
          <w:tcPr>
            <w:tcW w:w="73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预算执行情况(万元)</w:t>
            </w:r>
          </w:p>
        </w:tc>
        <w:tc>
          <w:tcPr>
            <w:tcW w:w="20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350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240.44</w:t>
            </w:r>
          </w:p>
        </w:tc>
      </w:tr>
      <w:tr>
        <w:tblPrEx>
          <w:tblLayout w:type="fixed"/>
          <w:tblCellMar>
            <w:top w:w="0" w:type="dxa"/>
            <w:left w:w="0" w:type="dxa"/>
            <w:bottom w:w="0" w:type="dxa"/>
            <w:right w:w="0" w:type="dxa"/>
          </w:tblCellMar>
        </w:tblPrEx>
        <w:trPr>
          <w:trHeight w:val="276" w:hRule="atLeast"/>
          <w:jc w:val="center"/>
        </w:trPr>
        <w:tc>
          <w:tcPr>
            <w:tcW w:w="73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240" w:lineRule="auto"/>
              <w:jc w:val="center"/>
              <w:rPr>
                <w:rFonts w:hint="default" w:ascii="Times New Roman" w:hAnsi="Times New Roman" w:cs="Times New Roman"/>
                <w:color w:val="auto"/>
                <w:sz w:val="20"/>
                <w:szCs w:val="20"/>
                <w:highlight w:val="none"/>
              </w:rPr>
            </w:pPr>
          </w:p>
        </w:tc>
        <w:tc>
          <w:tcPr>
            <w:tcW w:w="20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350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240.44</w:t>
            </w:r>
          </w:p>
        </w:tc>
      </w:tr>
      <w:tr>
        <w:tblPrEx>
          <w:tblLayout w:type="fixed"/>
          <w:tblCellMar>
            <w:top w:w="0" w:type="dxa"/>
            <w:left w:w="0" w:type="dxa"/>
            <w:bottom w:w="0" w:type="dxa"/>
            <w:right w:w="0" w:type="dxa"/>
          </w:tblCellMar>
        </w:tblPrEx>
        <w:trPr>
          <w:trHeight w:val="535" w:hRule="atLeast"/>
          <w:jc w:val="center"/>
        </w:trPr>
        <w:tc>
          <w:tcPr>
            <w:tcW w:w="73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240" w:lineRule="auto"/>
              <w:jc w:val="center"/>
              <w:rPr>
                <w:rFonts w:hint="default" w:ascii="Times New Roman" w:hAnsi="Times New Roman" w:cs="Times New Roman"/>
                <w:color w:val="auto"/>
                <w:sz w:val="20"/>
                <w:szCs w:val="20"/>
                <w:highlight w:val="none"/>
              </w:rPr>
            </w:pPr>
          </w:p>
        </w:tc>
        <w:tc>
          <w:tcPr>
            <w:tcW w:w="20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240" w:lineRule="auto"/>
              <w:jc w:val="center"/>
              <w:rPr>
                <w:rFonts w:hint="default" w:ascii="Times New Roman" w:hAnsi="Times New Roman" w:cs="Times New Roman"/>
                <w:color w:val="auto"/>
                <w:sz w:val="20"/>
                <w:szCs w:val="20"/>
                <w:highlight w:val="none"/>
              </w:rPr>
            </w:pPr>
          </w:p>
        </w:tc>
      </w:tr>
      <w:tr>
        <w:tblPrEx>
          <w:tblLayout w:type="fixed"/>
          <w:tblCellMar>
            <w:top w:w="0" w:type="dxa"/>
            <w:left w:w="0" w:type="dxa"/>
            <w:bottom w:w="0" w:type="dxa"/>
            <w:right w:w="0" w:type="dxa"/>
          </w:tblCellMar>
        </w:tblPrEx>
        <w:trPr>
          <w:trHeight w:val="276" w:hRule="atLeast"/>
          <w:jc w:val="center"/>
        </w:trPr>
        <w:tc>
          <w:tcPr>
            <w:tcW w:w="73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年度目标完成情况</w:t>
            </w:r>
          </w:p>
        </w:tc>
        <w:tc>
          <w:tcPr>
            <w:tcW w:w="444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实际完成目标</w:t>
            </w:r>
          </w:p>
        </w:tc>
      </w:tr>
      <w:tr>
        <w:tblPrEx>
          <w:tblLayout w:type="fixed"/>
          <w:tblCellMar>
            <w:top w:w="0" w:type="dxa"/>
            <w:left w:w="0" w:type="dxa"/>
            <w:bottom w:w="0" w:type="dxa"/>
            <w:right w:w="0" w:type="dxa"/>
          </w:tblCellMar>
        </w:tblPrEx>
        <w:trPr>
          <w:trHeight w:val="1159" w:hRule="atLeast"/>
          <w:jc w:val="center"/>
        </w:trPr>
        <w:tc>
          <w:tcPr>
            <w:tcW w:w="73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240" w:lineRule="auto"/>
              <w:jc w:val="center"/>
              <w:rPr>
                <w:rFonts w:hint="default" w:ascii="Times New Roman" w:hAnsi="Times New Roman" w:cs="Times New Roman"/>
                <w:color w:val="auto"/>
                <w:sz w:val="20"/>
                <w:szCs w:val="20"/>
                <w:highlight w:val="none"/>
              </w:rPr>
            </w:pPr>
          </w:p>
        </w:tc>
        <w:tc>
          <w:tcPr>
            <w:tcW w:w="444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left"/>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聘请第三方服务机构，参考世行和国家营商环境评价指标，建立营商环境评价指标，通过定量数据搜集与定性访谈调研</w:t>
            </w:r>
            <w:r>
              <w:rPr>
                <w:rFonts w:hint="eastAsia" w:cs="Times New Roman"/>
                <w:color w:val="auto"/>
                <w:sz w:val="20"/>
                <w:szCs w:val="20"/>
                <w:highlight w:val="none"/>
                <w:lang w:val="en-US" w:eastAsia="zh-CN"/>
              </w:rPr>
              <w:t>相</w:t>
            </w:r>
            <w:r>
              <w:rPr>
                <w:rFonts w:hint="default" w:ascii="Times New Roman" w:hAnsi="Times New Roman" w:cs="Times New Roman"/>
                <w:color w:val="auto"/>
                <w:sz w:val="20"/>
                <w:szCs w:val="20"/>
                <w:highlight w:val="none"/>
              </w:rPr>
              <w:t>结合的方法，对全省21个市（州）2019年度营商环境进行评价。参照先进地区的全新高效做法，结合全省现实情况，提出营商环境的改进提升建议，指导各地开展2020年度营商环境的优化工作，为省政府推进优化营商环境工作做决策依据。</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left"/>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委托第三方服务机构，建立营商环境评价指标，对全省21个市（州）2019年度营商环境进行评价。形成《四川省营商环境评价报告（2019年度）》《 四川省营商环境评价报告（民营经济发展报告）》，与2020年3月报送省政府主要领导，获得省领导肯定性批示。</w:t>
            </w:r>
          </w:p>
        </w:tc>
      </w:tr>
      <w:tr>
        <w:tblPrEx>
          <w:tblLayout w:type="fixed"/>
          <w:tblCellMar>
            <w:top w:w="0" w:type="dxa"/>
            <w:left w:w="0" w:type="dxa"/>
            <w:bottom w:w="0" w:type="dxa"/>
            <w:right w:w="0" w:type="dxa"/>
          </w:tblCellMar>
        </w:tblPrEx>
        <w:trPr>
          <w:trHeight w:val="1042" w:hRule="atLeast"/>
          <w:jc w:val="center"/>
        </w:trPr>
        <w:tc>
          <w:tcPr>
            <w:tcW w:w="73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绩效指标完成情况</w:t>
            </w: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实际完成指标值(包含数字及文字描述)</w:t>
            </w:r>
          </w:p>
        </w:tc>
      </w:tr>
      <w:tr>
        <w:tblPrEx>
          <w:tblLayout w:type="fixed"/>
          <w:tblCellMar>
            <w:top w:w="0" w:type="dxa"/>
            <w:left w:w="0" w:type="dxa"/>
            <w:bottom w:w="0" w:type="dxa"/>
            <w:right w:w="0" w:type="dxa"/>
          </w:tblCellMar>
        </w:tblPrEx>
        <w:trPr>
          <w:trHeight w:val="953"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项目完</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用户数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省市县三级政府及各职能部门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省市县三级政府及各职能部门</w:t>
            </w:r>
          </w:p>
        </w:tc>
      </w:tr>
      <w:tr>
        <w:tblPrEx>
          <w:tblLayout w:type="fixed"/>
          <w:tblCellMar>
            <w:top w:w="0" w:type="dxa"/>
            <w:left w:w="0" w:type="dxa"/>
            <w:bottom w:w="0" w:type="dxa"/>
            <w:right w:w="0" w:type="dxa"/>
          </w:tblCellMar>
        </w:tblPrEx>
        <w:trPr>
          <w:trHeight w:val="922"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项目完</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对21个市州开展营商环境评价</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1次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1次</w:t>
            </w:r>
          </w:p>
        </w:tc>
      </w:tr>
      <w:tr>
        <w:tblPrEx>
          <w:tblLayout w:type="fixed"/>
          <w:tblCellMar>
            <w:top w:w="0" w:type="dxa"/>
            <w:left w:w="0" w:type="dxa"/>
            <w:bottom w:w="0" w:type="dxa"/>
            <w:right w:w="0" w:type="dxa"/>
          </w:tblCellMar>
        </w:tblPrEx>
        <w:trPr>
          <w:trHeight w:val="737"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项目完</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营商环境评价验收合格率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100%</w:t>
            </w:r>
          </w:p>
        </w:tc>
      </w:tr>
      <w:tr>
        <w:tblPrEx>
          <w:tblLayout w:type="fixed"/>
          <w:tblCellMar>
            <w:top w:w="0" w:type="dxa"/>
            <w:left w:w="0" w:type="dxa"/>
            <w:bottom w:w="0" w:type="dxa"/>
            <w:right w:w="0" w:type="dxa"/>
          </w:tblCellMar>
        </w:tblPrEx>
        <w:trPr>
          <w:trHeight w:val="657"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项目完</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项目完成时间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2020</w:t>
            </w:r>
            <w:r>
              <w:rPr>
                <w:rFonts w:hint="default" w:ascii="Times New Roman" w:hAnsi="Times New Roman" w:cs="Times New Roman"/>
                <w:color w:val="auto"/>
                <w:sz w:val="20"/>
                <w:szCs w:val="20"/>
                <w:highlight w:val="none"/>
                <w:lang w:val="en-US" w:eastAsia="zh-CN"/>
              </w:rPr>
              <w:t>年12月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2020</w:t>
            </w:r>
            <w:r>
              <w:rPr>
                <w:rFonts w:hint="default" w:ascii="Times New Roman" w:hAnsi="Times New Roman" w:cs="Times New Roman"/>
                <w:color w:val="auto"/>
                <w:sz w:val="20"/>
                <w:szCs w:val="20"/>
                <w:highlight w:val="none"/>
                <w:lang w:val="en-US" w:eastAsia="zh-CN"/>
              </w:rPr>
              <w:t>年3月</w:t>
            </w:r>
          </w:p>
        </w:tc>
      </w:tr>
      <w:tr>
        <w:tblPrEx>
          <w:tblLayout w:type="fixed"/>
          <w:tblCellMar>
            <w:top w:w="0" w:type="dxa"/>
            <w:left w:w="0" w:type="dxa"/>
            <w:bottom w:w="0" w:type="dxa"/>
            <w:right w:w="0" w:type="dxa"/>
          </w:tblCellMar>
        </w:tblPrEx>
        <w:trPr>
          <w:trHeight w:val="676"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项目完</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项目按期完成率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100%</w:t>
            </w:r>
          </w:p>
        </w:tc>
      </w:tr>
      <w:tr>
        <w:tblPrEx>
          <w:tblLayout w:type="fixed"/>
          <w:tblCellMar>
            <w:top w:w="0" w:type="dxa"/>
            <w:left w:w="0" w:type="dxa"/>
            <w:bottom w:w="0" w:type="dxa"/>
            <w:right w:w="0" w:type="dxa"/>
          </w:tblCellMar>
        </w:tblPrEx>
        <w:trPr>
          <w:trHeight w:val="691"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项目完</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采购成本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350万元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240.44万元</w:t>
            </w:r>
          </w:p>
        </w:tc>
      </w:tr>
      <w:tr>
        <w:tblPrEx>
          <w:tblLayout w:type="fixed"/>
          <w:tblCellMar>
            <w:top w:w="0" w:type="dxa"/>
            <w:left w:w="0" w:type="dxa"/>
            <w:bottom w:w="0" w:type="dxa"/>
            <w:right w:w="0" w:type="dxa"/>
          </w:tblCellMar>
        </w:tblPrEx>
        <w:trPr>
          <w:trHeight w:val="1297"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对营商环境工作的促进作用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left"/>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编制全省及21个市（州）的《营商环境报告》，衡量全省及各市州的营商环境。各级政府及职能部门可通过研究、分析、比对调查数据和改革范例，查找短板弱项有针对性地完善本地区、部门的营商环境。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left"/>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形成《四川省营商环境评价报告（2019年度）》《 四川省营商环境评价报告（民营经济发展报告）》21个市（州）的《营商环境报告》，为省政府、各地各部门推进优化营商环境工作做决策依据。</w:t>
            </w:r>
          </w:p>
        </w:tc>
      </w:tr>
      <w:tr>
        <w:tblPrEx>
          <w:tblLayout w:type="fixed"/>
          <w:tblCellMar>
            <w:top w:w="0" w:type="dxa"/>
            <w:left w:w="0" w:type="dxa"/>
            <w:bottom w:w="0" w:type="dxa"/>
            <w:right w:w="0" w:type="dxa"/>
          </w:tblCellMar>
        </w:tblPrEx>
        <w:trPr>
          <w:trHeight w:val="675"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tabs>
                <w:tab w:val="left" w:pos="438"/>
              </w:tabs>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lang w:eastAsia="zh-CN"/>
              </w:rPr>
            </w:pPr>
            <w:r>
              <w:rPr>
                <w:rFonts w:hint="default" w:ascii="Times New Roman" w:hAnsi="Times New Roman" w:cs="Times New Roman"/>
                <w:color w:val="auto"/>
                <w:sz w:val="20"/>
                <w:szCs w:val="20"/>
                <w:highlight w:val="none"/>
                <w:lang w:eastAsia="zh-CN"/>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对营商环境工作影响年限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2年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2年</w:t>
            </w:r>
          </w:p>
        </w:tc>
      </w:tr>
      <w:tr>
        <w:tblPrEx>
          <w:tblLayout w:type="fixed"/>
          <w:tblCellMar>
            <w:top w:w="0" w:type="dxa"/>
            <w:left w:w="0" w:type="dxa"/>
            <w:bottom w:w="0" w:type="dxa"/>
            <w:right w:w="0" w:type="dxa"/>
          </w:tblCellMar>
        </w:tblPrEx>
        <w:trPr>
          <w:trHeight w:val="696"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营商环境评价报告使用年限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1年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1年</w:t>
            </w:r>
          </w:p>
        </w:tc>
      </w:tr>
      <w:tr>
        <w:tblPrEx>
          <w:tblLayout w:type="fixed"/>
          <w:tblCellMar>
            <w:top w:w="0" w:type="dxa"/>
            <w:left w:w="0" w:type="dxa"/>
            <w:bottom w:w="0" w:type="dxa"/>
            <w:right w:w="0" w:type="dxa"/>
          </w:tblCellMar>
        </w:tblPrEx>
        <w:trPr>
          <w:trHeight w:val="737" w:hRule="atLeast"/>
          <w:jc w:val="center"/>
        </w:trPr>
        <w:tc>
          <w:tcPr>
            <w:tcW w:w="73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满意度</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用户满意度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&gt;90%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100%</w:t>
            </w:r>
          </w:p>
        </w:tc>
      </w:tr>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b/>
                <w:bCs/>
                <w:color w:val="auto"/>
                <w:kern w:val="0"/>
                <w:sz w:val="20"/>
                <w:szCs w:val="20"/>
                <w:highlight w:val="none"/>
              </w:rPr>
            </w:pPr>
          </w:p>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方正小标宋简体" w:cs="Times New Roman"/>
                <w:b w:val="0"/>
                <w:bCs w:val="0"/>
                <w:color w:val="auto"/>
                <w:kern w:val="0"/>
                <w:sz w:val="32"/>
                <w:szCs w:val="32"/>
                <w:highlight w:val="none"/>
              </w:rPr>
              <w:t>项目绩效目标完成情况表</w:t>
            </w:r>
            <w:r>
              <w:rPr>
                <w:rFonts w:hint="default" w:ascii="Times New Roman" w:hAnsi="Times New Roman" w:eastAsia="方正小标宋简体" w:cs="Times New Roman"/>
                <w:b w:val="0"/>
                <w:bCs w:val="0"/>
                <w:color w:val="auto"/>
                <w:kern w:val="0"/>
                <w:sz w:val="32"/>
                <w:szCs w:val="32"/>
                <w:highlight w:val="none"/>
              </w:rPr>
              <w:br w:type="textWrapping"/>
            </w:r>
            <w:r>
              <w:rPr>
                <w:rFonts w:hint="default" w:ascii="Times New Roman" w:hAnsi="Times New Roman" w:eastAsia="方正小标宋简体" w:cs="Times New Roman"/>
                <w:b w:val="0"/>
                <w:bCs w:val="0"/>
                <w:color w:val="auto"/>
                <w:kern w:val="0"/>
                <w:sz w:val="32"/>
                <w:szCs w:val="32"/>
                <w:highlight w:val="none"/>
              </w:rPr>
              <w:t>(2020年度)</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四川省易地扶贫搬迁购买服务费</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四川省发展和改革委员会机关</w:t>
            </w:r>
          </w:p>
        </w:tc>
      </w:tr>
      <w:tr>
        <w:tblPrEx>
          <w:tblLayout w:type="fixed"/>
          <w:tblCellMar>
            <w:top w:w="0" w:type="dxa"/>
            <w:left w:w="0" w:type="dxa"/>
            <w:bottom w:w="0" w:type="dxa"/>
            <w:right w:w="0" w:type="dxa"/>
          </w:tblCellMar>
        </w:tblPrEx>
        <w:trPr>
          <w:trHeight w:val="276" w:hRule="atLeast"/>
          <w:jc w:val="center"/>
        </w:trPr>
        <w:tc>
          <w:tcPr>
            <w:tcW w:w="73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预算执行情况(万元)</w:t>
            </w:r>
          </w:p>
        </w:tc>
        <w:tc>
          <w:tcPr>
            <w:tcW w:w="20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485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485</w:t>
            </w:r>
          </w:p>
        </w:tc>
      </w:tr>
      <w:tr>
        <w:tblPrEx>
          <w:tblLayout w:type="fixed"/>
          <w:tblCellMar>
            <w:top w:w="0" w:type="dxa"/>
            <w:left w:w="0" w:type="dxa"/>
            <w:bottom w:w="0" w:type="dxa"/>
            <w:right w:w="0" w:type="dxa"/>
          </w:tblCellMar>
        </w:tblPrEx>
        <w:trPr>
          <w:trHeight w:val="276" w:hRule="atLeast"/>
          <w:jc w:val="center"/>
        </w:trPr>
        <w:tc>
          <w:tcPr>
            <w:tcW w:w="73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240" w:lineRule="auto"/>
              <w:jc w:val="center"/>
              <w:rPr>
                <w:rFonts w:hint="default" w:ascii="Times New Roman" w:hAnsi="Times New Roman" w:cs="Times New Roman"/>
                <w:color w:val="auto"/>
                <w:sz w:val="20"/>
                <w:szCs w:val="20"/>
                <w:highlight w:val="none"/>
              </w:rPr>
            </w:pPr>
          </w:p>
        </w:tc>
        <w:tc>
          <w:tcPr>
            <w:tcW w:w="20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485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485</w:t>
            </w:r>
          </w:p>
        </w:tc>
      </w:tr>
      <w:tr>
        <w:tblPrEx>
          <w:tblLayout w:type="fixed"/>
          <w:tblCellMar>
            <w:top w:w="0" w:type="dxa"/>
            <w:left w:w="0" w:type="dxa"/>
            <w:bottom w:w="0" w:type="dxa"/>
            <w:right w:w="0" w:type="dxa"/>
          </w:tblCellMar>
        </w:tblPrEx>
        <w:trPr>
          <w:trHeight w:val="511" w:hRule="atLeast"/>
          <w:jc w:val="center"/>
        </w:trPr>
        <w:tc>
          <w:tcPr>
            <w:tcW w:w="73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240" w:lineRule="auto"/>
              <w:jc w:val="center"/>
              <w:rPr>
                <w:rFonts w:hint="default" w:ascii="Times New Roman" w:hAnsi="Times New Roman" w:cs="Times New Roman"/>
                <w:color w:val="auto"/>
                <w:sz w:val="20"/>
                <w:szCs w:val="20"/>
                <w:highlight w:val="none"/>
              </w:rPr>
            </w:pPr>
          </w:p>
        </w:tc>
        <w:tc>
          <w:tcPr>
            <w:tcW w:w="20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240" w:lineRule="auto"/>
              <w:jc w:val="center"/>
              <w:rPr>
                <w:rFonts w:hint="default" w:ascii="Times New Roman" w:hAnsi="Times New Roman" w:cs="Times New Roman"/>
                <w:color w:val="auto"/>
                <w:sz w:val="20"/>
                <w:szCs w:val="20"/>
                <w:highlight w:val="none"/>
              </w:rPr>
            </w:pPr>
          </w:p>
        </w:tc>
      </w:tr>
      <w:tr>
        <w:tblPrEx>
          <w:tblLayout w:type="fixed"/>
          <w:tblCellMar>
            <w:top w:w="0" w:type="dxa"/>
            <w:left w:w="0" w:type="dxa"/>
            <w:bottom w:w="0" w:type="dxa"/>
            <w:right w:w="0" w:type="dxa"/>
          </w:tblCellMar>
        </w:tblPrEx>
        <w:trPr>
          <w:trHeight w:val="276" w:hRule="atLeast"/>
          <w:jc w:val="center"/>
        </w:trPr>
        <w:tc>
          <w:tcPr>
            <w:tcW w:w="73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年度目标完成情况</w:t>
            </w:r>
          </w:p>
        </w:tc>
        <w:tc>
          <w:tcPr>
            <w:tcW w:w="444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实际完成目标</w:t>
            </w:r>
          </w:p>
        </w:tc>
      </w:tr>
      <w:tr>
        <w:tblPrEx>
          <w:tblLayout w:type="fixed"/>
          <w:tblCellMar>
            <w:top w:w="0" w:type="dxa"/>
            <w:left w:w="0" w:type="dxa"/>
            <w:bottom w:w="0" w:type="dxa"/>
            <w:right w:w="0" w:type="dxa"/>
          </w:tblCellMar>
        </w:tblPrEx>
        <w:trPr>
          <w:trHeight w:val="1159" w:hRule="atLeast"/>
          <w:jc w:val="center"/>
        </w:trPr>
        <w:tc>
          <w:tcPr>
            <w:tcW w:w="73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240" w:lineRule="auto"/>
              <w:jc w:val="center"/>
              <w:rPr>
                <w:rFonts w:hint="default" w:ascii="Times New Roman" w:hAnsi="Times New Roman" w:cs="Times New Roman"/>
                <w:color w:val="auto"/>
                <w:sz w:val="20"/>
                <w:szCs w:val="20"/>
                <w:highlight w:val="none"/>
              </w:rPr>
            </w:pPr>
          </w:p>
        </w:tc>
        <w:tc>
          <w:tcPr>
            <w:tcW w:w="444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left"/>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向省国农公司购买易地扶贫搬迁投融资服务，要求省国农公司按期完成2016-2019年已经下达易地扶贫搬迁项目资金的还款利息归集和偿还，做好易地扶贫搬迁项目资金的监督管理工作，确保足额、及时完成还款任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numPr>
                <w:ilvl w:val="0"/>
                <w:numId w:val="0"/>
              </w:numPr>
              <w:kinsoku/>
              <w:wordWrap/>
              <w:overflowPunct/>
              <w:topLinePunct w:val="0"/>
              <w:bidi w:val="0"/>
              <w:spacing w:line="240" w:lineRule="auto"/>
              <w:jc w:val="left"/>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lang w:val="en-US" w:eastAsia="zh-CN"/>
              </w:rPr>
              <w:t>1.</w:t>
            </w:r>
            <w:r>
              <w:rPr>
                <w:rFonts w:hint="default" w:ascii="Times New Roman" w:hAnsi="Times New Roman" w:cs="Times New Roman"/>
                <w:color w:val="auto"/>
                <w:sz w:val="20"/>
                <w:szCs w:val="20"/>
                <w:highlight w:val="none"/>
              </w:rPr>
              <w:t xml:space="preserve">省国农公司2020年度按时足额归集和偿还2016-2019年下达易地扶贫搬迁项目资金利息10.03亿元； </w:t>
            </w:r>
            <w:r>
              <w:rPr>
                <w:rFonts w:hint="default" w:ascii="Times New Roman" w:hAnsi="Times New Roman" w:cs="Times New Roman"/>
                <w:color w:val="auto"/>
                <w:sz w:val="20"/>
                <w:szCs w:val="20"/>
                <w:highlight w:val="none"/>
                <w:lang w:val="en-US" w:eastAsia="zh-CN"/>
              </w:rPr>
              <w:t>2.</w:t>
            </w:r>
            <w:r>
              <w:rPr>
                <w:rFonts w:hint="default" w:ascii="Times New Roman" w:hAnsi="Times New Roman" w:cs="Times New Roman"/>
                <w:color w:val="auto"/>
                <w:sz w:val="20"/>
                <w:szCs w:val="20"/>
                <w:highlight w:val="none"/>
              </w:rPr>
              <w:t>按要求完成易地扶贫搬迁项目资金监管工作</w:t>
            </w:r>
            <w:r>
              <w:rPr>
                <w:rFonts w:hint="default" w:ascii="Times New Roman" w:hAnsi="Times New Roman" w:cs="Times New Roman"/>
                <w:color w:val="auto"/>
                <w:sz w:val="20"/>
                <w:szCs w:val="20"/>
                <w:highlight w:val="none"/>
                <w:lang w:eastAsia="zh-CN"/>
              </w:rPr>
              <w:t>；</w:t>
            </w:r>
            <w:r>
              <w:rPr>
                <w:rFonts w:hint="default" w:ascii="Times New Roman" w:hAnsi="Times New Roman" w:cs="Times New Roman"/>
                <w:color w:val="auto"/>
                <w:sz w:val="20"/>
                <w:szCs w:val="20"/>
                <w:highlight w:val="none"/>
                <w:lang w:val="en-US" w:eastAsia="zh-CN"/>
              </w:rPr>
              <w:t>3.</w:t>
            </w:r>
            <w:r>
              <w:rPr>
                <w:rFonts w:hint="default" w:ascii="Times New Roman" w:hAnsi="Times New Roman" w:cs="Times New Roman"/>
                <w:color w:val="auto"/>
                <w:sz w:val="20"/>
                <w:szCs w:val="20"/>
                <w:highlight w:val="none"/>
              </w:rPr>
              <w:t>及时完成还款任务，2020年共归集偿还易地扶贫搬迁项目资金18.21亿元。</w:t>
            </w:r>
          </w:p>
        </w:tc>
      </w:tr>
      <w:tr>
        <w:tblPrEx>
          <w:tblLayout w:type="fixed"/>
          <w:tblCellMar>
            <w:top w:w="0" w:type="dxa"/>
            <w:left w:w="0" w:type="dxa"/>
            <w:bottom w:w="0" w:type="dxa"/>
            <w:right w:w="0" w:type="dxa"/>
          </w:tblCellMar>
        </w:tblPrEx>
        <w:trPr>
          <w:trHeight w:val="675" w:hRule="atLeast"/>
          <w:jc w:val="center"/>
        </w:trPr>
        <w:tc>
          <w:tcPr>
            <w:tcW w:w="73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绩效指标完成情况</w:t>
            </w: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实际完成指标值(包含数字及文字描述)</w:t>
            </w:r>
          </w:p>
        </w:tc>
      </w:tr>
      <w:tr>
        <w:tblPrEx>
          <w:tblLayout w:type="fixed"/>
          <w:tblCellMar>
            <w:top w:w="0" w:type="dxa"/>
            <w:left w:w="0" w:type="dxa"/>
            <w:bottom w:w="0" w:type="dxa"/>
            <w:right w:w="0" w:type="dxa"/>
          </w:tblCellMar>
        </w:tblPrEx>
        <w:trPr>
          <w:trHeight w:val="953"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lang w:val="en-US"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lang w:val="en-US" w:eastAsia="zh-CN"/>
              </w:rPr>
              <w:t>省国农公司按期完成2016-2019年已经下达易地扶贫搬迁项目资金的还款利息归集和偿还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lang w:val="en-US" w:eastAsia="zh-CN"/>
              </w:rPr>
              <w:t>136.0461万人规模的相关资金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lang w:val="en-US" w:eastAsia="zh-CN"/>
              </w:rPr>
              <w:t>实际归集偿还利息10.03亿元</w:t>
            </w:r>
          </w:p>
        </w:tc>
      </w:tr>
      <w:tr>
        <w:tblPrEx>
          <w:tblLayout w:type="fixed"/>
          <w:tblCellMar>
            <w:top w:w="0" w:type="dxa"/>
            <w:left w:w="0" w:type="dxa"/>
            <w:bottom w:w="0" w:type="dxa"/>
            <w:right w:w="0" w:type="dxa"/>
          </w:tblCellMar>
        </w:tblPrEx>
        <w:trPr>
          <w:trHeight w:val="771"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lang w:val="en-US"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lang w:val="en-US" w:eastAsia="zh-CN"/>
              </w:rPr>
              <w:t>确保按照与银行签订的相关协议，足额偿还利息</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lang w:val="en-US" w:eastAsia="zh-CN"/>
              </w:rPr>
              <w:t>全额</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lang w:val="en-US" w:eastAsia="zh-CN"/>
              </w:rPr>
              <w:t>全额完成</w:t>
            </w:r>
          </w:p>
        </w:tc>
      </w:tr>
      <w:tr>
        <w:tblPrEx>
          <w:tblLayout w:type="fixed"/>
          <w:tblCellMar>
            <w:top w:w="0" w:type="dxa"/>
            <w:left w:w="0" w:type="dxa"/>
            <w:bottom w:w="0" w:type="dxa"/>
            <w:right w:w="0" w:type="dxa"/>
          </w:tblCellMar>
        </w:tblPrEx>
        <w:trPr>
          <w:trHeight w:val="794"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lang w:val="en-US" w:eastAsia="zh-CN"/>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lang w:val="en-US" w:eastAsia="zh-CN"/>
              </w:rPr>
              <w:t>确保按照与银行签订的相关协议，按时偿还利息</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lang w:val="en-US" w:eastAsia="zh-CN"/>
              </w:rPr>
              <w:t>按协议及时偿还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lang w:val="en-US" w:eastAsia="zh-CN"/>
              </w:rPr>
              <w:t>按协议及时偿还</w:t>
            </w:r>
          </w:p>
        </w:tc>
      </w:tr>
      <w:tr>
        <w:tblPrEx>
          <w:tblLayout w:type="fixed"/>
          <w:tblCellMar>
            <w:top w:w="0" w:type="dxa"/>
            <w:left w:w="0" w:type="dxa"/>
            <w:bottom w:w="0" w:type="dxa"/>
            <w:right w:w="0" w:type="dxa"/>
          </w:tblCellMar>
        </w:tblPrEx>
        <w:trPr>
          <w:trHeight w:val="876"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实现搬迁人口“搬得出、稳得住、逐步能致富”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实现建房完成率100%、入住率100%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完成率100%，入住率100%</w:t>
            </w:r>
          </w:p>
        </w:tc>
      </w:tr>
      <w:tr>
        <w:tblPrEx>
          <w:tblLayout w:type="fixed"/>
          <w:tblCellMar>
            <w:top w:w="0" w:type="dxa"/>
            <w:left w:w="0" w:type="dxa"/>
            <w:bottom w:w="0" w:type="dxa"/>
            <w:right w:w="0" w:type="dxa"/>
          </w:tblCellMar>
        </w:tblPrEx>
        <w:trPr>
          <w:trHeight w:val="778" w:hRule="atLeast"/>
          <w:jc w:val="center"/>
        </w:trPr>
        <w:tc>
          <w:tcPr>
            <w:tcW w:w="73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对国农公司按时偿还利息工作满意度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满意率达90%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满意率100%</w:t>
            </w:r>
          </w:p>
        </w:tc>
      </w:tr>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b/>
                <w:bCs/>
                <w:color w:val="auto"/>
                <w:kern w:val="0"/>
                <w:sz w:val="20"/>
                <w:szCs w:val="20"/>
                <w:highlight w:val="none"/>
              </w:rPr>
            </w:pPr>
          </w:p>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方正小标宋简体" w:cs="Times New Roman"/>
                <w:b w:val="0"/>
                <w:bCs w:val="0"/>
                <w:color w:val="auto"/>
                <w:kern w:val="0"/>
                <w:sz w:val="32"/>
                <w:szCs w:val="32"/>
                <w:highlight w:val="none"/>
              </w:rPr>
              <w:t>项目绩效目标完成情况表</w:t>
            </w:r>
            <w:r>
              <w:rPr>
                <w:rFonts w:hint="default" w:ascii="Times New Roman" w:hAnsi="Times New Roman" w:eastAsia="方正小标宋简体" w:cs="Times New Roman"/>
                <w:b w:val="0"/>
                <w:bCs w:val="0"/>
                <w:color w:val="auto"/>
                <w:kern w:val="0"/>
                <w:sz w:val="32"/>
                <w:szCs w:val="32"/>
                <w:highlight w:val="none"/>
              </w:rPr>
              <w:br w:type="textWrapping"/>
            </w:r>
            <w:r>
              <w:rPr>
                <w:rFonts w:hint="default" w:ascii="Times New Roman" w:hAnsi="Times New Roman" w:eastAsia="方正小标宋简体" w:cs="Times New Roman"/>
                <w:b w:val="0"/>
                <w:bCs w:val="0"/>
                <w:color w:val="auto"/>
                <w:kern w:val="0"/>
                <w:sz w:val="32"/>
                <w:szCs w:val="32"/>
                <w:highlight w:val="none"/>
              </w:rPr>
              <w:t>(2020年度)</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委机关办公用房维护专项资金（上年结转）</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四川省发展和改革委员会机关</w:t>
            </w:r>
          </w:p>
        </w:tc>
      </w:tr>
      <w:tr>
        <w:tblPrEx>
          <w:tblLayout w:type="fixed"/>
          <w:tblCellMar>
            <w:top w:w="0" w:type="dxa"/>
            <w:left w:w="0" w:type="dxa"/>
            <w:bottom w:w="0" w:type="dxa"/>
            <w:right w:w="0" w:type="dxa"/>
          </w:tblCellMar>
        </w:tblPrEx>
        <w:trPr>
          <w:trHeight w:val="276" w:hRule="atLeast"/>
          <w:jc w:val="center"/>
        </w:trPr>
        <w:tc>
          <w:tcPr>
            <w:tcW w:w="73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预算执行情况(万元)</w:t>
            </w:r>
          </w:p>
        </w:tc>
        <w:tc>
          <w:tcPr>
            <w:tcW w:w="20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207.81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183.36</w:t>
            </w:r>
          </w:p>
        </w:tc>
      </w:tr>
      <w:tr>
        <w:tblPrEx>
          <w:tblLayout w:type="fixed"/>
          <w:tblCellMar>
            <w:top w:w="0" w:type="dxa"/>
            <w:left w:w="0" w:type="dxa"/>
            <w:bottom w:w="0" w:type="dxa"/>
            <w:right w:w="0" w:type="dxa"/>
          </w:tblCellMar>
        </w:tblPrEx>
        <w:trPr>
          <w:trHeight w:val="276" w:hRule="atLeast"/>
          <w:jc w:val="center"/>
        </w:trPr>
        <w:tc>
          <w:tcPr>
            <w:tcW w:w="73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240" w:lineRule="auto"/>
              <w:jc w:val="center"/>
              <w:rPr>
                <w:rFonts w:hint="default" w:ascii="Times New Roman" w:hAnsi="Times New Roman" w:cs="Times New Roman"/>
                <w:color w:val="auto"/>
                <w:sz w:val="20"/>
                <w:szCs w:val="20"/>
                <w:highlight w:val="none"/>
              </w:rPr>
            </w:pPr>
          </w:p>
        </w:tc>
        <w:tc>
          <w:tcPr>
            <w:tcW w:w="20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207.81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183.36</w:t>
            </w:r>
          </w:p>
        </w:tc>
      </w:tr>
      <w:tr>
        <w:tblPrEx>
          <w:tblLayout w:type="fixed"/>
          <w:tblCellMar>
            <w:top w:w="0" w:type="dxa"/>
            <w:left w:w="0" w:type="dxa"/>
            <w:bottom w:w="0" w:type="dxa"/>
            <w:right w:w="0" w:type="dxa"/>
          </w:tblCellMar>
        </w:tblPrEx>
        <w:trPr>
          <w:trHeight w:val="430" w:hRule="atLeast"/>
          <w:jc w:val="center"/>
        </w:trPr>
        <w:tc>
          <w:tcPr>
            <w:tcW w:w="73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240" w:lineRule="auto"/>
              <w:jc w:val="center"/>
              <w:rPr>
                <w:rFonts w:hint="default" w:ascii="Times New Roman" w:hAnsi="Times New Roman" w:cs="Times New Roman"/>
                <w:color w:val="auto"/>
                <w:sz w:val="20"/>
                <w:szCs w:val="20"/>
                <w:highlight w:val="none"/>
              </w:rPr>
            </w:pPr>
          </w:p>
        </w:tc>
        <w:tc>
          <w:tcPr>
            <w:tcW w:w="20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240" w:lineRule="auto"/>
              <w:jc w:val="center"/>
              <w:rPr>
                <w:rFonts w:hint="default" w:ascii="Times New Roman" w:hAnsi="Times New Roman" w:cs="Times New Roman"/>
                <w:color w:val="auto"/>
                <w:sz w:val="20"/>
                <w:szCs w:val="20"/>
                <w:highlight w:val="none"/>
              </w:rPr>
            </w:pPr>
          </w:p>
        </w:tc>
      </w:tr>
      <w:tr>
        <w:tblPrEx>
          <w:tblLayout w:type="fixed"/>
          <w:tblCellMar>
            <w:top w:w="0" w:type="dxa"/>
            <w:left w:w="0" w:type="dxa"/>
            <w:bottom w:w="0" w:type="dxa"/>
            <w:right w:w="0" w:type="dxa"/>
          </w:tblCellMar>
        </w:tblPrEx>
        <w:trPr>
          <w:trHeight w:val="276" w:hRule="atLeast"/>
          <w:jc w:val="center"/>
        </w:trPr>
        <w:tc>
          <w:tcPr>
            <w:tcW w:w="73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年度目标完成情况</w:t>
            </w:r>
          </w:p>
        </w:tc>
        <w:tc>
          <w:tcPr>
            <w:tcW w:w="444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实际完成目标</w:t>
            </w:r>
          </w:p>
        </w:tc>
      </w:tr>
      <w:tr>
        <w:tblPrEx>
          <w:tblLayout w:type="fixed"/>
          <w:tblCellMar>
            <w:top w:w="0" w:type="dxa"/>
            <w:left w:w="0" w:type="dxa"/>
            <w:bottom w:w="0" w:type="dxa"/>
            <w:right w:w="0" w:type="dxa"/>
          </w:tblCellMar>
        </w:tblPrEx>
        <w:trPr>
          <w:trHeight w:val="1159" w:hRule="atLeast"/>
          <w:jc w:val="center"/>
        </w:trPr>
        <w:tc>
          <w:tcPr>
            <w:tcW w:w="73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240" w:lineRule="auto"/>
              <w:jc w:val="center"/>
              <w:rPr>
                <w:rFonts w:hint="default" w:ascii="Times New Roman" w:hAnsi="Times New Roman" w:cs="Times New Roman"/>
                <w:color w:val="auto"/>
                <w:sz w:val="20"/>
                <w:szCs w:val="20"/>
                <w:highlight w:val="none"/>
              </w:rPr>
            </w:pPr>
          </w:p>
        </w:tc>
        <w:tc>
          <w:tcPr>
            <w:tcW w:w="444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left"/>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通过此次办公用房维修改造：一是解决委机关食堂厨房区域地面排水及渗水等问题；二是改善食堂厨房环境，在原有基础上将墙面，顶棚及设备管线更换，整体达到卫生及安全使用要求；三是更换老化的办公室门；四是发展大厦大楼四楼六楼裙楼平台防水处理及更换瓷砖。</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全部完成</w:t>
            </w:r>
          </w:p>
        </w:tc>
      </w:tr>
      <w:tr>
        <w:tblPrEx>
          <w:tblLayout w:type="fixed"/>
          <w:tblCellMar>
            <w:top w:w="0" w:type="dxa"/>
            <w:left w:w="0" w:type="dxa"/>
            <w:bottom w:w="0" w:type="dxa"/>
            <w:right w:w="0" w:type="dxa"/>
          </w:tblCellMar>
        </w:tblPrEx>
        <w:trPr>
          <w:trHeight w:val="580" w:hRule="atLeast"/>
          <w:jc w:val="center"/>
        </w:trPr>
        <w:tc>
          <w:tcPr>
            <w:tcW w:w="73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绩效指标完成情况</w:t>
            </w: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实际完成指标值(包含数字及文字描述)</w:t>
            </w:r>
          </w:p>
        </w:tc>
      </w:tr>
      <w:tr>
        <w:tblPrEx>
          <w:tblLayout w:type="fixed"/>
          <w:tblCellMar>
            <w:top w:w="0" w:type="dxa"/>
            <w:left w:w="0" w:type="dxa"/>
            <w:bottom w:w="0" w:type="dxa"/>
            <w:right w:w="0" w:type="dxa"/>
          </w:tblCellMar>
        </w:tblPrEx>
        <w:trPr>
          <w:trHeight w:val="663"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项目完</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bottom"/>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highlight w:val="none"/>
                <w:u w:val="none"/>
                <w:lang w:val="en-US" w:eastAsia="zh-CN" w:bidi="ar"/>
              </w:rPr>
              <w:t>地面防水改造防滑地砖防水楼地面</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bottom"/>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highlight w:val="none"/>
                <w:u w:val="none"/>
                <w:lang w:val="en-US" w:eastAsia="zh-CN" w:bidi="ar"/>
              </w:rPr>
              <w:t>改造建筑面积约为306平方米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highlight w:val="none"/>
                <w:u w:val="none"/>
                <w:lang w:val="en-US" w:eastAsia="zh-CN" w:bidi="ar"/>
              </w:rPr>
              <w:t>308.97</w:t>
            </w:r>
          </w:p>
        </w:tc>
      </w:tr>
      <w:tr>
        <w:tblPrEx>
          <w:tblLayout w:type="fixed"/>
          <w:tblCellMar>
            <w:top w:w="0" w:type="dxa"/>
            <w:left w:w="0" w:type="dxa"/>
            <w:bottom w:w="0" w:type="dxa"/>
            <w:right w:w="0" w:type="dxa"/>
          </w:tblCellMar>
        </w:tblPrEx>
        <w:trPr>
          <w:trHeight w:val="761"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项目完</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lang w:val="en-US"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bottom"/>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highlight w:val="none"/>
                <w:u w:val="none"/>
                <w:lang w:val="en-US" w:eastAsia="zh-CN" w:bidi="ar"/>
              </w:rPr>
              <w:t>顶棚改造无机涂料吊顶及石膏板吊顶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bottom"/>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highlight w:val="none"/>
                <w:u w:val="none"/>
                <w:lang w:val="en-US" w:eastAsia="zh-CN" w:bidi="ar"/>
              </w:rPr>
              <w:t>改造建筑面积约为306平方米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highlight w:val="none"/>
                <w:u w:val="none"/>
                <w:lang w:val="en-US" w:eastAsia="zh-CN" w:bidi="ar"/>
              </w:rPr>
              <w:t>350.15</w:t>
            </w:r>
          </w:p>
        </w:tc>
      </w:tr>
      <w:tr>
        <w:tblPrEx>
          <w:tblLayout w:type="fixed"/>
          <w:tblCellMar>
            <w:top w:w="0" w:type="dxa"/>
            <w:left w:w="0" w:type="dxa"/>
            <w:bottom w:w="0" w:type="dxa"/>
            <w:right w:w="0" w:type="dxa"/>
          </w:tblCellMar>
        </w:tblPrEx>
        <w:trPr>
          <w:trHeight w:val="603"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项目完</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lang w:val="en-US"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bottom"/>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highlight w:val="none"/>
                <w:u w:val="none"/>
                <w:lang w:val="en-US" w:eastAsia="zh-CN" w:bidi="ar"/>
              </w:rPr>
              <w:t>六楼裙楼平台防水处理及更换瓷砖</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bottom"/>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highlight w:val="none"/>
                <w:u w:val="none"/>
                <w:lang w:val="en-US" w:eastAsia="zh-CN" w:bidi="ar"/>
              </w:rPr>
              <w:t>面积661.86平方米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highlight w:val="none"/>
                <w:u w:val="none"/>
                <w:lang w:val="en-US" w:eastAsia="zh-CN" w:bidi="ar"/>
              </w:rPr>
              <w:t>823.41</w:t>
            </w:r>
          </w:p>
        </w:tc>
      </w:tr>
      <w:tr>
        <w:tblPrEx>
          <w:tblLayout w:type="fixed"/>
          <w:tblCellMar>
            <w:top w:w="0" w:type="dxa"/>
            <w:left w:w="0" w:type="dxa"/>
            <w:bottom w:w="0" w:type="dxa"/>
            <w:right w:w="0" w:type="dxa"/>
          </w:tblCellMar>
        </w:tblPrEx>
        <w:trPr>
          <w:trHeight w:val="731"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项目完</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lang w:val="en-US"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bottom"/>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highlight w:val="none"/>
                <w:u w:val="none"/>
                <w:lang w:val="en-US" w:eastAsia="zh-CN" w:bidi="ar"/>
              </w:rPr>
              <w:t>内墙面改造面砖墙面及无机涂料墙面</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bottom"/>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highlight w:val="none"/>
                <w:u w:val="none"/>
                <w:lang w:val="en-US" w:eastAsia="zh-CN" w:bidi="ar"/>
              </w:rPr>
              <w:t>改造建筑面积约为306平方米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highlight w:val="none"/>
                <w:u w:val="none"/>
                <w:lang w:val="en-US" w:eastAsia="zh-CN" w:bidi="ar"/>
              </w:rPr>
              <w:t>585.07</w:t>
            </w:r>
          </w:p>
        </w:tc>
      </w:tr>
      <w:tr>
        <w:tblPrEx>
          <w:tblLayout w:type="fixed"/>
          <w:tblCellMar>
            <w:top w:w="0" w:type="dxa"/>
            <w:left w:w="0" w:type="dxa"/>
            <w:bottom w:w="0" w:type="dxa"/>
            <w:right w:w="0" w:type="dxa"/>
          </w:tblCellMar>
        </w:tblPrEx>
        <w:trPr>
          <w:trHeight w:val="635"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项目完</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lang w:val="en-US"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bottom"/>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highlight w:val="none"/>
                <w:u w:val="none"/>
                <w:lang w:val="en-US" w:eastAsia="zh-CN" w:bidi="ar"/>
              </w:rPr>
              <w:t>踢脚改造面砖踢脚及硬木踢脚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bottom"/>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highlight w:val="none"/>
                <w:u w:val="none"/>
                <w:lang w:val="en-US" w:eastAsia="zh-CN" w:bidi="ar"/>
              </w:rPr>
              <w:t>改造建筑面积约为306平方米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highlight w:val="none"/>
                <w:u w:val="none"/>
                <w:lang w:val="en-US" w:eastAsia="zh-CN" w:bidi="ar"/>
              </w:rPr>
              <w:t>复合木地板55㎡</w:t>
            </w:r>
          </w:p>
        </w:tc>
      </w:tr>
      <w:tr>
        <w:tblPrEx>
          <w:tblLayout w:type="fixed"/>
          <w:tblCellMar>
            <w:top w:w="0" w:type="dxa"/>
            <w:left w:w="0" w:type="dxa"/>
            <w:bottom w:w="0" w:type="dxa"/>
            <w:right w:w="0" w:type="dxa"/>
          </w:tblCellMar>
        </w:tblPrEx>
        <w:trPr>
          <w:trHeight w:val="726"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项目完</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lang w:val="en-US"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bottom"/>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highlight w:val="none"/>
                <w:u w:val="none"/>
                <w:lang w:val="en-US" w:eastAsia="zh-CN" w:bidi="ar"/>
              </w:rPr>
              <w:t>排水沟防水改造，排水地漏更换</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bottom"/>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highlight w:val="none"/>
                <w:u w:val="none"/>
                <w:lang w:val="en-US" w:eastAsia="zh-CN" w:bidi="ar"/>
              </w:rPr>
              <w:t>改造建筑面积约为306平方米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highlight w:val="none"/>
                <w:u w:val="none"/>
                <w:lang w:val="en-US" w:eastAsia="zh-CN" w:bidi="ar"/>
              </w:rPr>
              <w:t>308.97</w:t>
            </w:r>
          </w:p>
        </w:tc>
      </w:tr>
      <w:tr>
        <w:tblPrEx>
          <w:tblLayout w:type="fixed"/>
          <w:tblCellMar>
            <w:top w:w="0" w:type="dxa"/>
            <w:left w:w="0" w:type="dxa"/>
            <w:bottom w:w="0" w:type="dxa"/>
            <w:right w:w="0" w:type="dxa"/>
          </w:tblCellMar>
        </w:tblPrEx>
        <w:trPr>
          <w:trHeight w:val="710"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项目完</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lang w:val="en-US"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bottom"/>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highlight w:val="none"/>
                <w:u w:val="none"/>
                <w:lang w:val="en-US" w:eastAsia="zh-CN" w:bidi="ar"/>
              </w:rPr>
              <w:t>四楼裙楼平台防水处理及更换瓷砖</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bottom"/>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highlight w:val="none"/>
                <w:u w:val="none"/>
                <w:lang w:val="en-US" w:eastAsia="zh-CN" w:bidi="ar"/>
              </w:rPr>
              <w:t>面积785.40平方米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highlight w:val="none"/>
                <w:u w:val="none"/>
                <w:lang w:val="en-US" w:eastAsia="zh-CN" w:bidi="ar"/>
              </w:rPr>
              <w:t>991.02</w:t>
            </w:r>
          </w:p>
        </w:tc>
      </w:tr>
      <w:tr>
        <w:tblPrEx>
          <w:tblLayout w:type="fixed"/>
          <w:tblCellMar>
            <w:top w:w="0" w:type="dxa"/>
            <w:left w:w="0" w:type="dxa"/>
            <w:bottom w:w="0" w:type="dxa"/>
            <w:right w:w="0" w:type="dxa"/>
          </w:tblCellMar>
        </w:tblPrEx>
        <w:trPr>
          <w:trHeight w:val="623"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项目完</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lang w:val="en-US"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bottom"/>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highlight w:val="none"/>
                <w:u w:val="none"/>
                <w:lang w:val="en-US" w:eastAsia="zh-CN" w:bidi="ar"/>
              </w:rPr>
              <w:t>更换实木门M0921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bottom"/>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highlight w:val="none"/>
                <w:u w:val="none"/>
                <w:lang w:val="en-US" w:eastAsia="zh-CN" w:bidi="ar"/>
              </w:rPr>
              <w:t>200扇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highlight w:val="none"/>
                <w:u w:val="none"/>
                <w:lang w:val="en-US" w:eastAsia="zh-CN" w:bidi="ar"/>
              </w:rPr>
              <w:t>50</w:t>
            </w:r>
          </w:p>
        </w:tc>
      </w:tr>
      <w:tr>
        <w:tblPrEx>
          <w:tblLayout w:type="fixed"/>
          <w:tblCellMar>
            <w:top w:w="0" w:type="dxa"/>
            <w:left w:w="0" w:type="dxa"/>
            <w:bottom w:w="0" w:type="dxa"/>
            <w:right w:w="0" w:type="dxa"/>
          </w:tblCellMar>
        </w:tblPrEx>
        <w:trPr>
          <w:trHeight w:val="1008"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项目完</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bottom"/>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highlight w:val="none"/>
                <w:u w:val="none"/>
                <w:lang w:val="en-US" w:eastAsia="zh-CN" w:bidi="ar"/>
              </w:rPr>
              <w:t>成都市房屋建筑和市政基础设施工程质量监督管理实施细则</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bottom"/>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highlight w:val="none"/>
                <w:u w:val="none"/>
                <w:lang w:val="en-US" w:eastAsia="zh-CN" w:bidi="ar"/>
              </w:rPr>
              <w:t>符合基础设施工程质量相关规定标准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bottom"/>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highlight w:val="none"/>
                <w:u w:val="none"/>
                <w:lang w:val="en-US" w:eastAsia="zh-CN" w:bidi="ar"/>
              </w:rPr>
              <w:t>符合基础设施工程质量相关规定标准</w:t>
            </w:r>
          </w:p>
        </w:tc>
      </w:tr>
      <w:tr>
        <w:tblPrEx>
          <w:tblLayout w:type="fixed"/>
          <w:tblCellMar>
            <w:top w:w="0" w:type="dxa"/>
            <w:left w:w="0" w:type="dxa"/>
            <w:bottom w:w="0" w:type="dxa"/>
            <w:right w:w="0" w:type="dxa"/>
          </w:tblCellMar>
        </w:tblPrEx>
        <w:trPr>
          <w:trHeight w:val="730"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项目完</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bottom"/>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highlight w:val="none"/>
                <w:u w:val="none"/>
                <w:lang w:val="en-US" w:eastAsia="zh-CN" w:bidi="ar"/>
              </w:rPr>
              <w:t>成都市建设工程质量标准化监督管理规程</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bottom"/>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highlight w:val="none"/>
                <w:u w:val="none"/>
                <w:lang w:val="en-US" w:eastAsia="zh-CN" w:bidi="ar"/>
              </w:rPr>
              <w:t>符合基础设施工程质量相关规定标准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bottom"/>
              <w:rPr>
                <w:rFonts w:hint="default" w:ascii="Times New Roman" w:hAnsi="Times New Roman" w:cs="Times New Roman"/>
                <w:color w:val="auto"/>
                <w:sz w:val="20"/>
                <w:szCs w:val="20"/>
                <w:highlight w:val="none"/>
              </w:rPr>
            </w:pPr>
            <w:r>
              <w:rPr>
                <w:rFonts w:hint="default" w:ascii="Times New Roman" w:hAnsi="Times New Roman" w:eastAsia="宋体" w:cs="Times New Roman"/>
                <w:i w:val="0"/>
                <w:color w:val="auto"/>
                <w:kern w:val="0"/>
                <w:sz w:val="20"/>
                <w:szCs w:val="20"/>
                <w:highlight w:val="none"/>
                <w:u w:val="none"/>
                <w:lang w:val="en-US" w:eastAsia="zh-CN" w:bidi="ar"/>
              </w:rPr>
              <w:t>符合基础设施工程质量相关规定标准</w:t>
            </w:r>
          </w:p>
        </w:tc>
      </w:tr>
      <w:tr>
        <w:tblPrEx>
          <w:tblLayout w:type="fixed"/>
          <w:tblCellMar>
            <w:top w:w="0" w:type="dxa"/>
            <w:left w:w="0" w:type="dxa"/>
            <w:bottom w:w="0" w:type="dxa"/>
            <w:right w:w="0" w:type="dxa"/>
          </w:tblCellMar>
        </w:tblPrEx>
        <w:trPr>
          <w:trHeight w:val="622"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bottom"/>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办公门更换，满足正常办公使用要求</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bottom"/>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5年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bottom"/>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利旧为主</w:t>
            </w:r>
          </w:p>
        </w:tc>
      </w:tr>
      <w:tr>
        <w:tblPrEx>
          <w:tblLayout w:type="fixed"/>
          <w:tblCellMar>
            <w:top w:w="0" w:type="dxa"/>
            <w:left w:w="0" w:type="dxa"/>
            <w:bottom w:w="0" w:type="dxa"/>
            <w:right w:w="0" w:type="dxa"/>
          </w:tblCellMar>
        </w:tblPrEx>
        <w:trPr>
          <w:trHeight w:val="732"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bottom"/>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裙楼平台防水处理及更换瓷砖，延长裙楼使用寿命</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bottom"/>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3年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bottom"/>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3年</w:t>
            </w:r>
          </w:p>
        </w:tc>
      </w:tr>
      <w:tr>
        <w:tblPrEx>
          <w:tblLayout w:type="fixed"/>
          <w:tblCellMar>
            <w:top w:w="0" w:type="dxa"/>
            <w:left w:w="0" w:type="dxa"/>
            <w:bottom w:w="0" w:type="dxa"/>
            <w:right w:w="0" w:type="dxa"/>
          </w:tblCellMar>
        </w:tblPrEx>
        <w:trPr>
          <w:trHeight w:val="870"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bottom"/>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开展厨房维修改造，厨房卫生、节能及安全达到使用要求</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bottom"/>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5年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bottom"/>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5年</w:t>
            </w:r>
          </w:p>
        </w:tc>
      </w:tr>
      <w:tr>
        <w:tblPrEx>
          <w:tblLayout w:type="fixed"/>
          <w:tblCellMar>
            <w:top w:w="0" w:type="dxa"/>
            <w:left w:w="0" w:type="dxa"/>
            <w:bottom w:w="0" w:type="dxa"/>
            <w:right w:w="0" w:type="dxa"/>
          </w:tblCellMar>
        </w:tblPrEx>
        <w:trPr>
          <w:trHeight w:val="765" w:hRule="atLeast"/>
          <w:jc w:val="center"/>
        </w:trPr>
        <w:tc>
          <w:tcPr>
            <w:tcW w:w="73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满意度</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bottom"/>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服务委干部职工，提高工作、就餐满意度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bottom"/>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keepNext w:val="0"/>
              <w:keepLines w:val="0"/>
              <w:pageBreakBefore w:val="0"/>
              <w:widowControl/>
              <w:suppressLineNumbers w:val="0"/>
              <w:kinsoku/>
              <w:wordWrap/>
              <w:overflowPunct/>
              <w:topLinePunct w:val="0"/>
              <w:bidi w:val="0"/>
              <w:spacing w:line="240" w:lineRule="auto"/>
              <w:jc w:val="center"/>
              <w:textAlignment w:val="bottom"/>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100%</w:t>
            </w:r>
          </w:p>
        </w:tc>
      </w:tr>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b/>
                <w:bCs/>
                <w:color w:val="auto"/>
                <w:kern w:val="0"/>
                <w:sz w:val="20"/>
                <w:szCs w:val="20"/>
                <w:highlight w:val="none"/>
              </w:rPr>
            </w:pPr>
          </w:p>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方正小标宋简体" w:cs="Times New Roman"/>
                <w:b/>
                <w:bCs/>
                <w:color w:val="auto"/>
                <w:kern w:val="0"/>
                <w:sz w:val="32"/>
                <w:szCs w:val="32"/>
                <w:highlight w:val="none"/>
              </w:rPr>
              <w:t>项目绩效目标完成情况表</w:t>
            </w:r>
            <w:r>
              <w:rPr>
                <w:rFonts w:hint="default" w:ascii="Times New Roman" w:hAnsi="Times New Roman" w:eastAsia="方正小标宋简体" w:cs="Times New Roman"/>
                <w:b/>
                <w:bCs/>
                <w:color w:val="auto"/>
                <w:kern w:val="0"/>
                <w:sz w:val="32"/>
                <w:szCs w:val="32"/>
                <w:highlight w:val="none"/>
              </w:rPr>
              <w:br w:type="textWrapping"/>
            </w:r>
            <w:r>
              <w:rPr>
                <w:rFonts w:hint="default" w:ascii="Times New Roman" w:hAnsi="Times New Roman" w:eastAsia="方正小标宋简体" w:cs="Times New Roman"/>
                <w:color w:val="auto"/>
                <w:kern w:val="0"/>
                <w:sz w:val="32"/>
                <w:szCs w:val="32"/>
                <w:highlight w:val="none"/>
              </w:rPr>
              <w:t>(2020年度)</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日元贷款还本付息</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四川省县域经济研究中心</w:t>
            </w:r>
          </w:p>
        </w:tc>
      </w:tr>
      <w:tr>
        <w:tblPrEx>
          <w:tblLayout w:type="fixed"/>
          <w:tblCellMar>
            <w:top w:w="0" w:type="dxa"/>
            <w:left w:w="0" w:type="dxa"/>
            <w:bottom w:w="0" w:type="dxa"/>
            <w:right w:w="0" w:type="dxa"/>
          </w:tblCellMar>
        </w:tblPrEx>
        <w:trPr>
          <w:trHeight w:val="412" w:hRule="atLeast"/>
          <w:jc w:val="center"/>
        </w:trPr>
        <w:tc>
          <w:tcPr>
            <w:tcW w:w="73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预算执行情况(万元)</w:t>
            </w:r>
          </w:p>
        </w:tc>
        <w:tc>
          <w:tcPr>
            <w:tcW w:w="20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400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349.96</w:t>
            </w:r>
          </w:p>
        </w:tc>
      </w:tr>
      <w:tr>
        <w:tblPrEx>
          <w:tblLayout w:type="fixed"/>
          <w:tblCellMar>
            <w:top w:w="0" w:type="dxa"/>
            <w:left w:w="0" w:type="dxa"/>
            <w:bottom w:w="0" w:type="dxa"/>
            <w:right w:w="0" w:type="dxa"/>
          </w:tblCellMar>
        </w:tblPrEx>
        <w:trPr>
          <w:trHeight w:val="448" w:hRule="atLeast"/>
          <w:jc w:val="center"/>
        </w:trPr>
        <w:tc>
          <w:tcPr>
            <w:tcW w:w="73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240" w:lineRule="auto"/>
              <w:jc w:val="center"/>
              <w:rPr>
                <w:rFonts w:hint="default" w:ascii="Times New Roman" w:hAnsi="Times New Roman" w:cs="Times New Roman"/>
                <w:color w:val="auto"/>
                <w:sz w:val="20"/>
                <w:szCs w:val="20"/>
                <w:highlight w:val="none"/>
              </w:rPr>
            </w:pPr>
          </w:p>
        </w:tc>
        <w:tc>
          <w:tcPr>
            <w:tcW w:w="20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r>
      <w:tr>
        <w:tblPrEx>
          <w:tblLayout w:type="fixed"/>
          <w:tblCellMar>
            <w:top w:w="0" w:type="dxa"/>
            <w:left w:w="0" w:type="dxa"/>
            <w:bottom w:w="0" w:type="dxa"/>
            <w:right w:w="0" w:type="dxa"/>
          </w:tblCellMar>
        </w:tblPrEx>
        <w:trPr>
          <w:trHeight w:val="425" w:hRule="atLeast"/>
          <w:jc w:val="center"/>
        </w:trPr>
        <w:tc>
          <w:tcPr>
            <w:tcW w:w="73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240" w:lineRule="auto"/>
              <w:jc w:val="center"/>
              <w:rPr>
                <w:rFonts w:hint="default" w:ascii="Times New Roman" w:hAnsi="Times New Roman" w:cs="Times New Roman"/>
                <w:color w:val="auto"/>
                <w:sz w:val="20"/>
                <w:szCs w:val="20"/>
                <w:highlight w:val="none"/>
              </w:rPr>
            </w:pPr>
          </w:p>
        </w:tc>
        <w:tc>
          <w:tcPr>
            <w:tcW w:w="20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400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240" w:lineRule="auto"/>
              <w:jc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349.96</w:t>
            </w:r>
          </w:p>
        </w:tc>
      </w:tr>
      <w:tr>
        <w:tblPrEx>
          <w:tblLayout w:type="fixed"/>
          <w:tblCellMar>
            <w:top w:w="0" w:type="dxa"/>
            <w:left w:w="0" w:type="dxa"/>
            <w:bottom w:w="0" w:type="dxa"/>
            <w:right w:w="0" w:type="dxa"/>
          </w:tblCellMar>
        </w:tblPrEx>
        <w:trPr>
          <w:trHeight w:val="276" w:hRule="atLeast"/>
          <w:jc w:val="center"/>
        </w:trPr>
        <w:tc>
          <w:tcPr>
            <w:tcW w:w="73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年度目标完成情况</w:t>
            </w:r>
          </w:p>
        </w:tc>
        <w:tc>
          <w:tcPr>
            <w:tcW w:w="444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实际完成目标</w:t>
            </w:r>
          </w:p>
        </w:tc>
      </w:tr>
      <w:tr>
        <w:tblPrEx>
          <w:tblLayout w:type="fixed"/>
          <w:tblCellMar>
            <w:top w:w="0" w:type="dxa"/>
            <w:left w:w="0" w:type="dxa"/>
            <w:bottom w:w="0" w:type="dxa"/>
            <w:right w:w="0" w:type="dxa"/>
          </w:tblCellMar>
        </w:tblPrEx>
        <w:trPr>
          <w:trHeight w:val="1159" w:hRule="atLeast"/>
          <w:jc w:val="center"/>
        </w:trPr>
        <w:tc>
          <w:tcPr>
            <w:tcW w:w="73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bidi w:val="0"/>
              <w:spacing w:line="240" w:lineRule="auto"/>
              <w:jc w:val="center"/>
              <w:rPr>
                <w:rFonts w:hint="default" w:ascii="Times New Roman" w:hAnsi="Times New Roman" w:cs="Times New Roman"/>
                <w:color w:val="auto"/>
                <w:sz w:val="20"/>
                <w:szCs w:val="20"/>
                <w:highlight w:val="none"/>
              </w:rPr>
            </w:pPr>
          </w:p>
        </w:tc>
        <w:tc>
          <w:tcPr>
            <w:tcW w:w="444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left"/>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项目总体日元贷款9.84亿日元，合同金额9.68亿日元，贷款以支持我省经济信息系统的建设。总共涉及全省23个单位，17个市州，3个重庆区，3个厅局和省中心。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left"/>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项目总体日元贷款9.84亿日元，合同金额9.68亿日元，贷款以支持我省经济信息系统的建设。总共涉及全省23个单位，17个市州，3个重庆区，3个厅局和省中心。</w:t>
            </w:r>
          </w:p>
        </w:tc>
      </w:tr>
      <w:tr>
        <w:tblPrEx>
          <w:tblLayout w:type="fixed"/>
          <w:tblCellMar>
            <w:top w:w="0" w:type="dxa"/>
            <w:left w:w="0" w:type="dxa"/>
            <w:bottom w:w="0" w:type="dxa"/>
            <w:right w:w="0" w:type="dxa"/>
          </w:tblCellMar>
        </w:tblPrEx>
        <w:trPr>
          <w:trHeight w:val="690" w:hRule="atLeast"/>
          <w:jc w:val="center"/>
        </w:trPr>
        <w:tc>
          <w:tcPr>
            <w:tcW w:w="73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 w:val="20"/>
                <w:szCs w:val="20"/>
                <w:highlight w:val="none"/>
              </w:rPr>
              <w:t>绩效指标完成情况</w:t>
            </w: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实际完成指标值(包含数字及文字描述)</w:t>
            </w:r>
          </w:p>
        </w:tc>
      </w:tr>
      <w:tr>
        <w:tblPrEx>
          <w:tblLayout w:type="fixed"/>
          <w:tblCellMar>
            <w:top w:w="0" w:type="dxa"/>
            <w:left w:w="0" w:type="dxa"/>
            <w:bottom w:w="0" w:type="dxa"/>
            <w:right w:w="0" w:type="dxa"/>
          </w:tblCellMar>
        </w:tblPrEx>
        <w:trPr>
          <w:trHeight w:val="648"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项目完</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还款次数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一年四次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一年四次</w:t>
            </w:r>
          </w:p>
        </w:tc>
      </w:tr>
      <w:tr>
        <w:tblPrEx>
          <w:tblLayout w:type="fixed"/>
          <w:tblCellMar>
            <w:top w:w="0" w:type="dxa"/>
            <w:left w:w="0" w:type="dxa"/>
            <w:bottom w:w="0" w:type="dxa"/>
            <w:right w:w="0" w:type="dxa"/>
          </w:tblCellMar>
        </w:tblPrEx>
        <w:trPr>
          <w:trHeight w:val="755"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项目完</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还款金额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360万元人民币</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350万元人民币</w:t>
            </w:r>
          </w:p>
        </w:tc>
      </w:tr>
      <w:tr>
        <w:tblPrEx>
          <w:tblLayout w:type="fixed"/>
          <w:tblCellMar>
            <w:top w:w="0" w:type="dxa"/>
            <w:left w:w="0" w:type="dxa"/>
            <w:bottom w:w="0" w:type="dxa"/>
            <w:right w:w="0" w:type="dxa"/>
          </w:tblCellMar>
        </w:tblPrEx>
        <w:trPr>
          <w:trHeight w:val="798"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项目完</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项目参加单位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p>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23个</w:t>
            </w:r>
          </w:p>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p>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23个</w:t>
            </w:r>
          </w:p>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p>
        </w:tc>
      </w:tr>
      <w:tr>
        <w:tblPrEx>
          <w:tblLayout w:type="fixed"/>
          <w:tblCellMar>
            <w:top w:w="0" w:type="dxa"/>
            <w:left w:w="0" w:type="dxa"/>
            <w:bottom w:w="0" w:type="dxa"/>
            <w:right w:w="0" w:type="dxa"/>
          </w:tblCellMar>
        </w:tblPrEx>
        <w:trPr>
          <w:trHeight w:val="727"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项目完</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全省提款额度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968620107日元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968620107日元</w:t>
            </w:r>
          </w:p>
        </w:tc>
      </w:tr>
      <w:tr>
        <w:tblPrEx>
          <w:tblLayout w:type="fixed"/>
          <w:tblCellMar>
            <w:top w:w="0" w:type="dxa"/>
            <w:left w:w="0" w:type="dxa"/>
            <w:bottom w:w="0" w:type="dxa"/>
            <w:right w:w="0" w:type="dxa"/>
          </w:tblCellMar>
        </w:tblPrEx>
        <w:trPr>
          <w:trHeight w:val="635"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项目完</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省本级用款额度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392927696日元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392927696日元</w:t>
            </w:r>
          </w:p>
        </w:tc>
      </w:tr>
      <w:tr>
        <w:tblPrEx>
          <w:tblLayout w:type="fixed"/>
          <w:tblCellMar>
            <w:top w:w="0" w:type="dxa"/>
            <w:left w:w="0" w:type="dxa"/>
            <w:bottom w:w="0" w:type="dxa"/>
            <w:right w:w="0" w:type="dxa"/>
          </w:tblCellMar>
        </w:tblPrEx>
        <w:trPr>
          <w:trHeight w:val="666"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项目完</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各市州用款额度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276805770日元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276805770日元</w:t>
            </w:r>
          </w:p>
        </w:tc>
      </w:tr>
      <w:tr>
        <w:tblPrEx>
          <w:tblLayout w:type="fixed"/>
          <w:tblCellMar>
            <w:top w:w="0" w:type="dxa"/>
            <w:left w:w="0" w:type="dxa"/>
            <w:bottom w:w="0" w:type="dxa"/>
            <w:right w:w="0" w:type="dxa"/>
          </w:tblCellMar>
        </w:tblPrEx>
        <w:trPr>
          <w:trHeight w:val="670"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项目完</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成都市贷款额度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298886641日元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298886641日元</w:t>
            </w:r>
          </w:p>
        </w:tc>
      </w:tr>
      <w:tr>
        <w:tblPrEx>
          <w:tblLayout w:type="fixed"/>
          <w:tblCellMar>
            <w:top w:w="0" w:type="dxa"/>
            <w:left w:w="0" w:type="dxa"/>
            <w:bottom w:w="0" w:type="dxa"/>
            <w:right w:w="0" w:type="dxa"/>
          </w:tblCellMar>
        </w:tblPrEx>
        <w:trPr>
          <w:trHeight w:val="761"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项目完</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项目完成节点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当年支付利息，到2024年本息全部付清</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当年支付利息，到2024年本息全部付清</w:t>
            </w:r>
          </w:p>
        </w:tc>
      </w:tr>
      <w:tr>
        <w:tblPrEx>
          <w:tblLayout w:type="fixed"/>
          <w:tblCellMar>
            <w:top w:w="0" w:type="dxa"/>
            <w:left w:w="0" w:type="dxa"/>
            <w:bottom w:w="0" w:type="dxa"/>
            <w:right w:w="0" w:type="dxa"/>
          </w:tblCellMar>
        </w:tblPrEx>
        <w:trPr>
          <w:trHeight w:val="724"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项目完</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资金支付进度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按贷款需求</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按贷款需求</w:t>
            </w:r>
          </w:p>
        </w:tc>
      </w:tr>
      <w:tr>
        <w:tblPrEx>
          <w:tblLayout w:type="fixed"/>
          <w:tblCellMar>
            <w:top w:w="0" w:type="dxa"/>
            <w:left w:w="0" w:type="dxa"/>
            <w:bottom w:w="0" w:type="dxa"/>
            <w:right w:w="0" w:type="dxa"/>
          </w:tblCellMar>
        </w:tblPrEx>
        <w:trPr>
          <w:trHeight w:val="694"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项目完</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支付利息</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年息2.3%</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kern w:val="0"/>
                <w:sz w:val="20"/>
                <w:szCs w:val="20"/>
                <w:highlight w:val="none"/>
              </w:rPr>
              <w:t>年息2.3%</w:t>
            </w:r>
          </w:p>
        </w:tc>
      </w:tr>
      <w:tr>
        <w:tblPrEx>
          <w:tblLayout w:type="fixed"/>
          <w:tblCellMar>
            <w:top w:w="0" w:type="dxa"/>
            <w:left w:w="0" w:type="dxa"/>
            <w:bottom w:w="0" w:type="dxa"/>
            <w:right w:w="0" w:type="dxa"/>
          </w:tblCellMar>
        </w:tblPrEx>
        <w:trPr>
          <w:trHeight w:val="884"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val="en-US" w:eastAsia="zh-CN"/>
              </w:rPr>
            </w:pPr>
            <w:r>
              <w:rPr>
                <w:rFonts w:hint="default" w:ascii="Times New Roman" w:hAnsi="Times New Roman" w:cs="Times New Roman"/>
                <w:color w:val="auto"/>
                <w:kern w:val="0"/>
                <w:sz w:val="20"/>
                <w:szCs w:val="20"/>
                <w:highlight w:val="none"/>
                <w:lang w:val="en-US" w:eastAsia="zh-CN"/>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经济效</w:t>
            </w:r>
          </w:p>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提升信息化水平</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各市州使用日元贷款购置硬件软件设备等</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各市州使用日元贷款购置硬件软件设备等</w:t>
            </w:r>
          </w:p>
        </w:tc>
      </w:tr>
      <w:tr>
        <w:tblPrEx>
          <w:tblLayout w:type="fixed"/>
          <w:tblCellMar>
            <w:top w:w="0" w:type="dxa"/>
            <w:left w:w="0" w:type="dxa"/>
            <w:bottom w:w="0" w:type="dxa"/>
            <w:right w:w="0" w:type="dxa"/>
          </w:tblCellMar>
        </w:tblPrEx>
        <w:trPr>
          <w:trHeight w:val="1050"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lang w:val="en-US" w:eastAsia="zh-CN"/>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经济效</w:t>
            </w:r>
          </w:p>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提供资金保障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本项目的执行，为四川省经济信息建设的设备采购和技术人员培训提供了资金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本项目的执行，为四川省经济信息建设的设备采购和技术人员培训提供了资金</w:t>
            </w:r>
          </w:p>
        </w:tc>
      </w:tr>
      <w:tr>
        <w:tblPrEx>
          <w:tblLayout w:type="fixed"/>
          <w:tblCellMar>
            <w:top w:w="0" w:type="dxa"/>
            <w:left w:w="0" w:type="dxa"/>
            <w:bottom w:w="0" w:type="dxa"/>
            <w:right w:w="0" w:type="dxa"/>
          </w:tblCellMar>
        </w:tblPrEx>
        <w:trPr>
          <w:trHeight w:val="1050"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lang w:val="en-US" w:eastAsia="zh-CN"/>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社会效</w:t>
            </w:r>
          </w:p>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为政府宏观决策服务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贷款为国家中心汇总分析全国宏观经济运行状况提供了有力支持，特别是每季度的经济形势分析、我省经济发展中重大问题的研究、经济走势的预测分析等信息，为省内各级政府和国家有关部门的宏观决策和调控服务起到了积极作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贷款为国家中心汇总分析全国宏观经济运行状况提供了有力支持，特别是每季度的经济形势分析、我省经济发展中重大问题的研究、经济走势的预测分析等信息，为省内各级政府和国家有关部门的宏观决策和调控服务起到了积极作用</w:t>
            </w:r>
          </w:p>
        </w:tc>
      </w:tr>
      <w:tr>
        <w:tblPrEx>
          <w:tblLayout w:type="fixed"/>
          <w:tblCellMar>
            <w:top w:w="0" w:type="dxa"/>
            <w:left w:w="0" w:type="dxa"/>
            <w:bottom w:w="0" w:type="dxa"/>
            <w:right w:w="0" w:type="dxa"/>
          </w:tblCellMar>
        </w:tblPrEx>
        <w:trPr>
          <w:trHeight w:val="870"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lang w:val="en-US" w:eastAsia="zh-CN"/>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社会效</w:t>
            </w:r>
          </w:p>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促进全省经济信息工作开展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支持全省经济信息系统建设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支持全省经济信息系统建设</w:t>
            </w:r>
          </w:p>
        </w:tc>
      </w:tr>
      <w:tr>
        <w:tblPrEx>
          <w:tblLayout w:type="fixed"/>
          <w:tblCellMar>
            <w:top w:w="0" w:type="dxa"/>
            <w:left w:w="0" w:type="dxa"/>
            <w:bottom w:w="0" w:type="dxa"/>
            <w:right w:w="0" w:type="dxa"/>
          </w:tblCellMar>
        </w:tblPrEx>
        <w:trPr>
          <w:trHeight w:val="1050"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lang w:val="en-US" w:eastAsia="zh-CN"/>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社会效</w:t>
            </w:r>
          </w:p>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使管理手段更现代化</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利用贷款建设的信息平台对我省经济信息管理手段现代化和管理方法科学化具有促进作用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利用贷款建设的信息平台对我省经济信息管理手段现代化和管理方法科学化具有促进作用</w:t>
            </w:r>
          </w:p>
        </w:tc>
      </w:tr>
      <w:tr>
        <w:tblPrEx>
          <w:tblLayout w:type="fixed"/>
          <w:tblCellMar>
            <w:top w:w="0" w:type="dxa"/>
            <w:left w:w="0" w:type="dxa"/>
            <w:bottom w:w="0" w:type="dxa"/>
            <w:right w:w="0" w:type="dxa"/>
          </w:tblCellMar>
        </w:tblPrEx>
        <w:trPr>
          <w:trHeight w:val="857"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lang w:val="en-US" w:eastAsia="zh-CN"/>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社会效</w:t>
            </w:r>
          </w:p>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加快电子政务建设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利用资金为政务公开提供网络支持</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利用资金为政务公开提供网络支持</w:t>
            </w:r>
          </w:p>
        </w:tc>
      </w:tr>
      <w:tr>
        <w:tblPrEx>
          <w:tblLayout w:type="fixed"/>
          <w:tblCellMar>
            <w:top w:w="0" w:type="dxa"/>
            <w:left w:w="0" w:type="dxa"/>
            <w:bottom w:w="0" w:type="dxa"/>
            <w:right w:w="0" w:type="dxa"/>
          </w:tblCellMar>
        </w:tblPrEx>
        <w:trPr>
          <w:trHeight w:val="830"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lang w:val="en-US" w:eastAsia="zh-CN"/>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生态效</w:t>
            </w:r>
          </w:p>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无纸化办公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建设办公平台，购买计算机硬件推进无纸化办公</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建设办公平台，购买计算机硬件推进无纸化办公</w:t>
            </w:r>
          </w:p>
        </w:tc>
      </w:tr>
      <w:tr>
        <w:tblPrEx>
          <w:tblLayout w:type="fixed"/>
          <w:tblCellMar>
            <w:top w:w="0" w:type="dxa"/>
            <w:left w:w="0" w:type="dxa"/>
            <w:bottom w:w="0" w:type="dxa"/>
            <w:right w:w="0" w:type="dxa"/>
          </w:tblCellMar>
        </w:tblPrEx>
        <w:trPr>
          <w:trHeight w:val="775"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lang w:val="en-US" w:eastAsia="zh-CN"/>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运行情况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良好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良好</w:t>
            </w:r>
          </w:p>
        </w:tc>
      </w:tr>
      <w:tr>
        <w:tblPrEx>
          <w:tblLayout w:type="fixed"/>
          <w:tblCellMar>
            <w:top w:w="0" w:type="dxa"/>
            <w:left w:w="0" w:type="dxa"/>
            <w:bottom w:w="0" w:type="dxa"/>
            <w:right w:w="0" w:type="dxa"/>
          </w:tblCellMar>
        </w:tblPrEx>
        <w:trPr>
          <w:trHeight w:val="748" w:hRule="atLeast"/>
          <w:jc w:val="center"/>
        </w:trPr>
        <w:tc>
          <w:tcPr>
            <w:tcW w:w="733"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lang w:val="en-US" w:eastAsia="zh-CN"/>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剩余持续年限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6年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6年</w:t>
            </w:r>
          </w:p>
        </w:tc>
      </w:tr>
      <w:tr>
        <w:tblPrEx>
          <w:tblLayout w:type="fixed"/>
          <w:tblCellMar>
            <w:top w:w="0" w:type="dxa"/>
            <w:left w:w="0" w:type="dxa"/>
            <w:bottom w:w="0" w:type="dxa"/>
            <w:right w:w="0" w:type="dxa"/>
          </w:tblCellMar>
        </w:tblPrEx>
        <w:trPr>
          <w:trHeight w:val="816" w:hRule="atLeast"/>
          <w:jc w:val="center"/>
        </w:trPr>
        <w:tc>
          <w:tcPr>
            <w:tcW w:w="73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cs="Times New Roman"/>
                <w:color w:val="auto"/>
                <w:sz w:val="20"/>
                <w:szCs w:val="20"/>
                <w:highlight w:val="none"/>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满意度</w:t>
            </w:r>
          </w:p>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lrTb"/>
            <w:vAlign w:val="center"/>
          </w:tcPr>
          <w:p>
            <w:pPr>
              <w:pageBreakBefore w:val="0"/>
              <w:widowControl/>
              <w:kinsoku/>
              <w:wordWrap/>
              <w:overflowPunct/>
              <w:topLinePunct w:val="0"/>
              <w:bidi w:val="0"/>
              <w:spacing w:line="240" w:lineRule="auto"/>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color w:val="auto"/>
                <w:kern w:val="0"/>
                <w:sz w:val="20"/>
                <w:szCs w:val="20"/>
                <w:highlight w:val="none"/>
              </w:rPr>
              <w:t>100%</w:t>
            </w:r>
          </w:p>
        </w:tc>
      </w:tr>
    </w:tbl>
    <w:p>
      <w:pPr>
        <w:pageBreakBefore w:val="0"/>
        <w:kinsoku/>
        <w:wordWrap/>
        <w:overflowPunct/>
        <w:topLinePunct w:val="0"/>
        <w:bidi w:val="0"/>
        <w:spacing w:line="540" w:lineRule="exact"/>
        <w:ind w:left="63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2.部门绩效评价结果。</w:t>
      </w:r>
    </w:p>
    <w:p>
      <w:pPr>
        <w:pageBreakBefore w:val="0"/>
        <w:kinsoku/>
        <w:wordWrap/>
        <w:overflowPunct/>
        <w:topLinePunct w:val="0"/>
        <w:bidi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本部门按要求对2020年部门整体支出绩效评价情况开展自评，《2020年</w:t>
      </w:r>
      <w:r>
        <w:rPr>
          <w:rFonts w:hint="default" w:ascii="Times New Roman" w:hAnsi="Times New Roman" w:eastAsia="仿宋_GB2312" w:cs="Times New Roman"/>
          <w:color w:val="auto"/>
          <w:sz w:val="32"/>
          <w:szCs w:val="32"/>
          <w:highlight w:val="none"/>
          <w:lang w:val="en-US" w:eastAsia="zh-CN"/>
        </w:rPr>
        <w:t>四川省发展和改革委员会</w:t>
      </w:r>
      <w:r>
        <w:rPr>
          <w:rFonts w:hint="default" w:ascii="Times New Roman" w:hAnsi="Times New Roman" w:eastAsia="仿宋_GB2312" w:cs="Times New Roman"/>
          <w:color w:val="auto"/>
          <w:sz w:val="32"/>
          <w:szCs w:val="32"/>
          <w:highlight w:val="none"/>
        </w:rPr>
        <w:t>部门整体支出绩效评价报告》见附件（附件1）。</w:t>
      </w:r>
    </w:p>
    <w:p>
      <w:pPr>
        <w:pageBreakBefore w:val="0"/>
        <w:kinsoku/>
        <w:wordWrap/>
        <w:overflowPunct/>
        <w:topLinePunct w:val="0"/>
        <w:bidi w:val="0"/>
        <w:spacing w:line="54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本部门自行组织对</w:t>
      </w:r>
      <w:r>
        <w:rPr>
          <w:rFonts w:hint="default" w:ascii="Times New Roman" w:hAnsi="Times New Roman" w:eastAsia="仿宋_GB2312" w:cs="Times New Roman"/>
          <w:color w:val="auto"/>
          <w:kern w:val="2"/>
          <w:sz w:val="32"/>
          <w:szCs w:val="32"/>
          <w:highlight w:val="none"/>
          <w:lang w:val="en-US" w:eastAsia="zh-CN"/>
        </w:rPr>
        <w:t>省预算内基本建设投资</w:t>
      </w:r>
      <w:r>
        <w:rPr>
          <w:rFonts w:hint="default" w:ascii="Times New Roman" w:hAnsi="Times New Roman" w:eastAsia="仿宋_GB2312" w:cs="Times New Roman"/>
          <w:color w:val="auto"/>
          <w:sz w:val="32"/>
          <w:szCs w:val="32"/>
          <w:highlight w:val="none"/>
        </w:rPr>
        <w:t>专项项目、部门预算项目开展了绩效评价，《2020年</w:t>
      </w:r>
      <w:r>
        <w:rPr>
          <w:rFonts w:hint="default" w:ascii="Times New Roman" w:hAnsi="Times New Roman" w:eastAsia="仿宋_GB2312" w:cs="Times New Roman"/>
          <w:color w:val="auto"/>
          <w:kern w:val="2"/>
          <w:sz w:val="32"/>
          <w:szCs w:val="32"/>
          <w:highlight w:val="none"/>
          <w:lang w:val="en-US" w:eastAsia="zh-CN"/>
        </w:rPr>
        <w:t>省预算内基本建设投资</w:t>
      </w:r>
      <w:r>
        <w:rPr>
          <w:rFonts w:hint="default" w:ascii="Times New Roman" w:hAnsi="Times New Roman" w:eastAsia="仿宋_GB2312" w:cs="Times New Roman"/>
          <w:color w:val="auto"/>
          <w:sz w:val="32"/>
          <w:szCs w:val="32"/>
          <w:highlight w:val="none"/>
        </w:rPr>
        <w:t>支出绩效自评报告》（附件2）。《2020年部门预算项目支出绩效自评报告》（附件3）</w:t>
      </w:r>
      <w:r>
        <w:rPr>
          <w:rFonts w:hint="eastAsia" w:ascii="Times New Roman" w:hAnsi="Times New Roman" w:eastAsia="仿宋_GB2312" w:cs="Times New Roman"/>
          <w:color w:val="auto"/>
          <w:sz w:val="32"/>
          <w:szCs w:val="32"/>
          <w:highlight w:val="none"/>
          <w:lang w:eastAsia="zh-CN"/>
        </w:rPr>
        <w:t>。</w:t>
      </w:r>
    </w:p>
    <w:p>
      <w:pPr>
        <w:pageBreakBefore w:val="0"/>
        <w:widowControl/>
        <w:kinsoku/>
        <w:wordWrap/>
        <w:overflowPunct/>
        <w:topLinePunct w:val="0"/>
        <w:bidi w:val="0"/>
        <w:spacing w:line="540" w:lineRule="exact"/>
        <w:jc w:val="left"/>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br w:type="page"/>
      </w:r>
    </w:p>
    <w:p>
      <w:pPr>
        <w:pageBreakBefore w:val="0"/>
        <w:numPr>
          <w:ilvl w:val="0"/>
          <w:numId w:val="2"/>
        </w:numPr>
        <w:kinsoku/>
        <w:wordWrap/>
        <w:overflowPunct/>
        <w:topLinePunct w:val="0"/>
        <w:bidi w:val="0"/>
        <w:spacing w:line="540" w:lineRule="exact"/>
        <w:ind w:firstLine="660" w:firstLineChars="150"/>
        <w:jc w:val="center"/>
        <w:outlineLvl w:val="0"/>
        <w:rPr>
          <w:rStyle w:val="39"/>
          <w:rFonts w:hint="default" w:ascii="Times New Roman" w:hAnsi="Times New Roman" w:eastAsia="黑体" w:cs="Times New Roman"/>
          <w:b w:val="0"/>
          <w:color w:val="auto"/>
          <w:highlight w:val="none"/>
        </w:rPr>
      </w:pPr>
      <w:bookmarkStart w:id="99" w:name="_Toc22613"/>
      <w:bookmarkStart w:id="100" w:name="_Toc15377225"/>
      <w:bookmarkStart w:id="101" w:name="_Toc15396613"/>
      <w:r>
        <w:rPr>
          <w:rFonts w:hint="default" w:ascii="Times New Roman" w:hAnsi="Times New Roman" w:eastAsia="黑体" w:cs="Times New Roman"/>
          <w:color w:val="auto"/>
          <w:sz w:val="44"/>
          <w:szCs w:val="44"/>
          <w:highlight w:val="none"/>
        </w:rPr>
        <w:t>名</w:t>
      </w:r>
      <w:r>
        <w:rPr>
          <w:rStyle w:val="39"/>
          <w:rFonts w:hint="default" w:ascii="Times New Roman" w:hAnsi="Times New Roman" w:eastAsia="黑体" w:cs="Times New Roman"/>
          <w:b w:val="0"/>
          <w:color w:val="auto"/>
          <w:highlight w:val="none"/>
        </w:rPr>
        <w:t>词解释</w:t>
      </w:r>
      <w:bookmarkEnd w:id="99"/>
      <w:bookmarkEnd w:id="100"/>
      <w:bookmarkEnd w:id="101"/>
    </w:p>
    <w:p>
      <w:pPr>
        <w:pageBreakBefore w:val="0"/>
        <w:kinsoku/>
        <w:wordWrap/>
        <w:overflowPunct/>
        <w:topLinePunct w:val="0"/>
        <w:bidi w:val="0"/>
        <w:spacing w:line="540" w:lineRule="exact"/>
        <w:jc w:val="left"/>
        <w:rPr>
          <w:rFonts w:hint="default" w:ascii="Times New Roman" w:hAnsi="Times New Roman" w:cs="Times New Roman"/>
          <w:b/>
          <w:color w:val="auto"/>
          <w:sz w:val="44"/>
          <w:szCs w:val="44"/>
          <w:highlight w:val="none"/>
        </w:rPr>
      </w:pPr>
    </w:p>
    <w:p>
      <w:pPr>
        <w:pageBreakBefore w:val="0"/>
        <w:shd w:val="solid" w:color="FFFFFF" w:fill="auto"/>
        <w:kinsoku/>
        <w:wordWrap/>
        <w:overflowPunct/>
        <w:topLinePunct w:val="0"/>
        <w:autoSpaceDN w:val="0"/>
        <w:bidi w:val="0"/>
        <w:spacing w:line="540" w:lineRule="exact"/>
        <w:ind w:firstLine="640"/>
        <w:rPr>
          <w:rFonts w:hint="default" w:ascii="Times New Roman" w:hAnsi="Times New Roman" w:eastAsia="仿宋" w:cs="Times New Roman"/>
          <w:color w:val="auto"/>
          <w:highlight w:val="none"/>
          <w:shd w:val="clear" w:color="auto" w:fill="FFFFFF"/>
        </w:rPr>
      </w:pPr>
      <w:bookmarkStart w:id="102" w:name="_Toc15377226"/>
      <w:r>
        <w:rPr>
          <w:rFonts w:hint="default" w:ascii="Times New Roman" w:hAnsi="Times New Roman" w:eastAsia="仿宋" w:cs="Times New Roman"/>
          <w:color w:val="auto"/>
          <w:sz w:val="32"/>
          <w:highlight w:val="none"/>
          <w:shd w:val="clear" w:color="auto" w:fill="FFFFFF"/>
        </w:rPr>
        <w:t>1.财政拨款收入：指单位从同级财政部门取得的财政预算资金。</w:t>
      </w:r>
    </w:p>
    <w:p>
      <w:pPr>
        <w:pStyle w:val="37"/>
        <w:pageBreakBefore w:val="0"/>
        <w:kinsoku/>
        <w:wordWrap/>
        <w:overflowPunct/>
        <w:topLinePunct w:val="0"/>
        <w:bidi w:val="0"/>
        <w:spacing w:line="540" w:lineRule="exact"/>
        <w:ind w:firstLine="640" w:firstLineChars="20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2.事业收入：指事业单位开展专业业务活动及辅助活动取得的收入。如四川省经济发展研究院机构运行事业收入等。</w:t>
      </w:r>
    </w:p>
    <w:p>
      <w:pPr>
        <w:pageBreakBefore w:val="0"/>
        <w:shd w:val="solid" w:color="FFFFFF" w:fill="auto"/>
        <w:kinsoku/>
        <w:wordWrap/>
        <w:overflowPunct/>
        <w:topLinePunct w:val="0"/>
        <w:autoSpaceDN w:val="0"/>
        <w:bidi w:val="0"/>
        <w:spacing w:line="540" w:lineRule="exact"/>
        <w:ind w:firstLine="64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3.经营收入：指事业单位在专业业务活动及其辅助活动之外开展非独立核算经营活动取得的收入。如事业单位对政府部门、企事业单位开展咨询服务取得的课题咨询费、课题编制费、房租收入等。</w:t>
      </w:r>
    </w:p>
    <w:p>
      <w:pPr>
        <w:pageBreakBefore w:val="0"/>
        <w:shd w:val="solid" w:color="FFFFFF" w:fill="auto"/>
        <w:kinsoku/>
        <w:wordWrap/>
        <w:overflowPunct/>
        <w:topLinePunct w:val="0"/>
        <w:autoSpaceDN w:val="0"/>
        <w:bidi w:val="0"/>
        <w:spacing w:line="540" w:lineRule="exact"/>
        <w:ind w:firstLine="64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4.其他收入：指单位取得的除上述收入以外的各项收入。主要是利息收入等。</w:t>
      </w:r>
    </w:p>
    <w:p>
      <w:pPr>
        <w:pageBreakBefore w:val="0"/>
        <w:shd w:val="solid" w:color="FFFFFF" w:fill="auto"/>
        <w:kinsoku/>
        <w:wordWrap/>
        <w:overflowPunct/>
        <w:topLinePunct w:val="0"/>
        <w:autoSpaceDN w:val="0"/>
        <w:bidi w:val="0"/>
        <w:spacing w:line="540" w:lineRule="exact"/>
        <w:ind w:firstLine="64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5.年初结转和结余：指以前年度尚未完成、结转到本年按有关规定继续使用的资金。</w:t>
      </w:r>
    </w:p>
    <w:p>
      <w:pPr>
        <w:pageBreakBefore w:val="0"/>
        <w:shd w:val="solid" w:color="FFFFFF" w:fill="auto"/>
        <w:kinsoku/>
        <w:wordWrap/>
        <w:overflowPunct/>
        <w:topLinePunct w:val="0"/>
        <w:autoSpaceDN w:val="0"/>
        <w:bidi w:val="0"/>
        <w:spacing w:line="540" w:lineRule="exact"/>
        <w:ind w:firstLine="64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6.项目支出结转和结余：指以前年度尚未完成、结转到本年按有关规定继续使用的项目资金。</w:t>
      </w:r>
    </w:p>
    <w:p>
      <w:pPr>
        <w:pageBreakBefore w:val="0"/>
        <w:shd w:val="solid" w:color="FFFFFF" w:fill="auto"/>
        <w:kinsoku/>
        <w:wordWrap/>
        <w:overflowPunct/>
        <w:topLinePunct w:val="0"/>
        <w:autoSpaceDN w:val="0"/>
        <w:bidi w:val="0"/>
        <w:spacing w:line="540" w:lineRule="exact"/>
        <w:ind w:firstLine="640" w:firstLineChars="20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7.一般公共服务支出（类）政府办公厅（室）及相关机构事务（款）其他政府办公厅（室）及相关机构事务支出（项）：指反映除行政运行、一般行政管理事务、机关服务、专项服务、专项业务活动、政务公开审批、法制建设、信访事务、参事事务、事业运行以外的其他政府办公厅（室）及相关机构事务支出。</w:t>
      </w:r>
    </w:p>
    <w:p>
      <w:pPr>
        <w:pageBreakBefore w:val="0"/>
        <w:shd w:val="solid" w:color="FFFFFF" w:fill="auto"/>
        <w:kinsoku/>
        <w:wordWrap/>
        <w:overflowPunct/>
        <w:topLinePunct w:val="0"/>
        <w:autoSpaceDN w:val="0"/>
        <w:bidi w:val="0"/>
        <w:spacing w:line="540" w:lineRule="exact"/>
        <w:ind w:firstLine="48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8.一般公共服务支出（类）发展与改革事务（款）行政运行（项）：指反映行政单位（包括实行公务员管理的事业单位）的基本支出。</w:t>
      </w:r>
    </w:p>
    <w:p>
      <w:pPr>
        <w:pageBreakBefore w:val="0"/>
        <w:shd w:val="solid" w:color="FFFFFF" w:fill="auto"/>
        <w:kinsoku/>
        <w:wordWrap/>
        <w:overflowPunct/>
        <w:topLinePunct w:val="0"/>
        <w:autoSpaceDN w:val="0"/>
        <w:bidi w:val="0"/>
        <w:spacing w:line="540" w:lineRule="exact"/>
        <w:ind w:firstLine="48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9.一般公共服务支出（类）发展与改革事务（款）一般行政管理事务（项）：指反映行政单位（包括实行公务员管理的事业单位）未单独设置项级科目的其他项目支出。</w:t>
      </w:r>
    </w:p>
    <w:p>
      <w:pPr>
        <w:pageBreakBefore w:val="0"/>
        <w:shd w:val="solid" w:color="FFFFFF" w:fill="auto"/>
        <w:kinsoku/>
        <w:wordWrap/>
        <w:overflowPunct/>
        <w:topLinePunct w:val="0"/>
        <w:autoSpaceDN w:val="0"/>
        <w:bidi w:val="0"/>
        <w:spacing w:line="540" w:lineRule="exact"/>
        <w:ind w:firstLine="48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10.一般公共服务支出（类）发展与改革事务（款）机关服务（项）：指反映为行政单位（包括实行公务员管理的事业单位）提供后勤服务的各类后勤服务中心、医务室等附属事业单位的支出。其他事业单位的支出，凡单独设置了项级科目的，在单独设置的项级科目中反映。未单设项级科目的，在“其他”项级科目中反映。</w:t>
      </w:r>
    </w:p>
    <w:p>
      <w:pPr>
        <w:pageBreakBefore w:val="0"/>
        <w:shd w:val="solid" w:color="FFFFFF" w:fill="auto"/>
        <w:kinsoku/>
        <w:wordWrap/>
        <w:overflowPunct/>
        <w:topLinePunct w:val="0"/>
        <w:autoSpaceDN w:val="0"/>
        <w:bidi w:val="0"/>
        <w:spacing w:line="540" w:lineRule="exact"/>
        <w:ind w:firstLine="48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pacing w:val="-19"/>
          <w:sz w:val="32"/>
          <w:highlight w:val="none"/>
          <w:shd w:val="clear" w:color="auto" w:fill="FFFFFF"/>
        </w:rPr>
        <w:t>11.</w:t>
      </w:r>
      <w:r>
        <w:rPr>
          <w:rFonts w:hint="default" w:ascii="Times New Roman" w:hAnsi="Times New Roman" w:eastAsia="仿宋" w:cs="Times New Roman"/>
          <w:color w:val="auto"/>
          <w:sz w:val="32"/>
          <w:highlight w:val="none"/>
          <w:shd w:val="clear" w:color="auto" w:fill="FFFFFF"/>
        </w:rPr>
        <w:t>一般公共服务支出（类）发展与改革事务（款）社会事业发展规划（项）：</w:t>
      </w:r>
      <w:r>
        <w:rPr>
          <w:rFonts w:hint="default" w:ascii="Times New Roman" w:hAnsi="Times New Roman" w:eastAsia="仿宋" w:cs="Times New Roman"/>
          <w:color w:val="auto"/>
          <w:spacing w:val="-19"/>
          <w:sz w:val="32"/>
          <w:highlight w:val="none"/>
          <w:shd w:val="clear" w:color="auto" w:fill="FFFFFF"/>
        </w:rPr>
        <w:t>指</w:t>
      </w:r>
      <w:r>
        <w:rPr>
          <w:rFonts w:hint="default" w:ascii="Times New Roman" w:hAnsi="Times New Roman" w:eastAsia="仿宋" w:cs="Times New Roman"/>
          <w:color w:val="auto"/>
          <w:sz w:val="32"/>
          <w:highlight w:val="none"/>
          <w:shd w:val="clear" w:color="auto" w:fill="FFFFFF"/>
        </w:rPr>
        <w:t>反映</w:t>
      </w:r>
      <w:r>
        <w:rPr>
          <w:rFonts w:hint="default" w:ascii="Times New Roman" w:hAnsi="Times New Roman" w:eastAsia="仿宋" w:cs="Times New Roman"/>
          <w:color w:val="auto"/>
          <w:spacing w:val="-19"/>
          <w:sz w:val="32"/>
          <w:highlight w:val="none"/>
          <w:shd w:val="clear" w:color="auto" w:fill="FFFFFF"/>
        </w:rPr>
        <w:t>社会事业发展规划方面的支出。</w:t>
      </w:r>
    </w:p>
    <w:p>
      <w:pPr>
        <w:pageBreakBefore w:val="0"/>
        <w:shd w:val="solid" w:color="FFFFFF" w:fill="auto"/>
        <w:kinsoku/>
        <w:wordWrap/>
        <w:overflowPunct/>
        <w:topLinePunct w:val="0"/>
        <w:autoSpaceDN w:val="0"/>
        <w:bidi w:val="0"/>
        <w:spacing w:line="540" w:lineRule="exact"/>
        <w:ind w:firstLine="48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12.一般公共服务支出（类）发展与改革事务（款）经济体制改革研究（项）：</w:t>
      </w:r>
      <w:r>
        <w:rPr>
          <w:rFonts w:hint="default" w:ascii="Times New Roman" w:hAnsi="Times New Roman" w:eastAsia="仿宋" w:cs="Times New Roman"/>
          <w:color w:val="auto"/>
          <w:spacing w:val="-19"/>
          <w:sz w:val="32"/>
          <w:highlight w:val="none"/>
          <w:shd w:val="clear" w:color="auto" w:fill="FFFFFF"/>
        </w:rPr>
        <w:t>指</w:t>
      </w:r>
      <w:r>
        <w:rPr>
          <w:rFonts w:hint="default" w:ascii="Times New Roman" w:hAnsi="Times New Roman" w:eastAsia="仿宋" w:cs="Times New Roman"/>
          <w:color w:val="auto"/>
          <w:sz w:val="32"/>
          <w:highlight w:val="none"/>
          <w:shd w:val="clear" w:color="auto" w:fill="FFFFFF"/>
        </w:rPr>
        <w:t>反映</w:t>
      </w:r>
      <w:r>
        <w:rPr>
          <w:rFonts w:hint="default" w:ascii="Times New Roman" w:hAnsi="Times New Roman" w:eastAsia="仿宋" w:cs="Times New Roman"/>
          <w:color w:val="auto"/>
          <w:spacing w:val="-19"/>
          <w:sz w:val="32"/>
          <w:highlight w:val="none"/>
          <w:shd w:val="clear" w:color="auto" w:fill="FFFFFF"/>
        </w:rPr>
        <w:t>经济体制改革与研究方面的支出。</w:t>
      </w:r>
    </w:p>
    <w:p>
      <w:pPr>
        <w:pageBreakBefore w:val="0"/>
        <w:shd w:val="solid" w:color="FFFFFF" w:fill="auto"/>
        <w:kinsoku/>
        <w:wordWrap/>
        <w:overflowPunct/>
        <w:topLinePunct w:val="0"/>
        <w:autoSpaceDN w:val="0"/>
        <w:bidi w:val="0"/>
        <w:spacing w:line="540" w:lineRule="exact"/>
        <w:ind w:firstLine="48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13.一般公共服务支出（类）发展与改革事务（款）物价管理（项）：指反映物价管理方面的支出。</w:t>
      </w:r>
    </w:p>
    <w:p>
      <w:pPr>
        <w:pageBreakBefore w:val="0"/>
        <w:shd w:val="solid" w:color="FFFFFF" w:fill="auto"/>
        <w:kinsoku/>
        <w:wordWrap/>
        <w:overflowPunct/>
        <w:topLinePunct w:val="0"/>
        <w:autoSpaceDN w:val="0"/>
        <w:bidi w:val="0"/>
        <w:spacing w:line="540" w:lineRule="exact"/>
        <w:ind w:firstLine="48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14.一般公共服务支出（类）发展与改革事务（款）事业运行（项）：指反映事业单位的基本支出，不包括行政单位（包括实行公务员管理的事业单位）后勤服务中心、医务室等附属事业单位。</w:t>
      </w:r>
    </w:p>
    <w:p>
      <w:pPr>
        <w:pageBreakBefore w:val="0"/>
        <w:shd w:val="solid" w:color="FFFFFF" w:fill="auto"/>
        <w:kinsoku/>
        <w:wordWrap/>
        <w:overflowPunct/>
        <w:topLinePunct w:val="0"/>
        <w:autoSpaceDN w:val="0"/>
        <w:bidi w:val="0"/>
        <w:spacing w:line="540" w:lineRule="exact"/>
        <w:ind w:firstLine="640" w:firstLineChars="20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15.一般公共服务支出（类）发展与改革事务（款）其他发展与改革事务支出（项）：指反映除行政运行、一般行政管理事务、机关服务、社会事业发展规划、经济体制改革研究、物价管理、事业运行以外的其他发展与改革事务支出。</w:t>
      </w:r>
    </w:p>
    <w:p>
      <w:pPr>
        <w:pageBreakBefore w:val="0"/>
        <w:shd w:val="solid" w:color="FFFFFF" w:fill="auto"/>
        <w:kinsoku/>
        <w:wordWrap/>
        <w:overflowPunct/>
        <w:topLinePunct w:val="0"/>
        <w:autoSpaceDN w:val="0"/>
        <w:bidi w:val="0"/>
        <w:spacing w:line="540" w:lineRule="exact"/>
        <w:ind w:firstLine="640"/>
        <w:rPr>
          <w:rFonts w:hint="default" w:ascii="Times New Roman" w:hAnsi="Times New Roman" w:eastAsia="仿宋" w:cs="Times New Roman"/>
          <w:color w:val="auto"/>
          <w:sz w:val="32"/>
          <w:highlight w:val="none"/>
          <w:shd w:val="clear" w:color="auto" w:fill="FFFFFF"/>
        </w:rPr>
      </w:pPr>
      <w:r>
        <w:rPr>
          <w:rFonts w:hint="default" w:ascii="Times New Roman" w:hAnsi="Times New Roman" w:eastAsia="仿宋" w:cs="Times New Roman"/>
          <w:color w:val="auto"/>
          <w:sz w:val="32"/>
          <w:highlight w:val="none"/>
          <w:shd w:val="clear" w:color="auto" w:fill="FFFFFF"/>
        </w:rPr>
        <w:t>16.一般公共服务支出（类）其他共产党事务支出（款）其他共产党事务支出（项）：指反映除行政运行、一般行政管理事务、机关服务、事业运行以外的其他用于中国共产党事务的支出。</w:t>
      </w:r>
    </w:p>
    <w:p>
      <w:pPr>
        <w:pageBreakBefore w:val="0"/>
        <w:shd w:val="solid" w:color="FFFFFF" w:fill="auto"/>
        <w:kinsoku/>
        <w:wordWrap/>
        <w:overflowPunct/>
        <w:topLinePunct w:val="0"/>
        <w:autoSpaceDN w:val="0"/>
        <w:bidi w:val="0"/>
        <w:spacing w:line="540" w:lineRule="exact"/>
        <w:ind w:firstLine="640"/>
        <w:rPr>
          <w:rFonts w:hint="default" w:ascii="Times New Roman" w:hAnsi="Times New Roman" w:eastAsia="仿宋" w:cs="Times New Roman"/>
          <w:color w:val="auto"/>
          <w:sz w:val="32"/>
          <w:highlight w:val="none"/>
          <w:shd w:val="clear" w:color="auto" w:fill="FFFFFF"/>
        </w:rPr>
      </w:pPr>
      <w:r>
        <w:rPr>
          <w:rFonts w:hint="default" w:ascii="Times New Roman" w:hAnsi="Times New Roman" w:eastAsia="仿宋" w:cs="Times New Roman"/>
          <w:color w:val="auto"/>
          <w:sz w:val="32"/>
          <w:highlight w:val="none"/>
          <w:shd w:val="clear" w:color="auto" w:fill="FFFFFF"/>
        </w:rPr>
        <w:t>17.一般公共服务支出（类）其他一般公共服务支出（款）其他一般公共服务支出（项）：指反映上述项目以外的其他一般公共服务支出。</w:t>
      </w:r>
    </w:p>
    <w:p>
      <w:pPr>
        <w:pageBreakBefore w:val="0"/>
        <w:shd w:val="solid" w:color="FFFFFF" w:fill="auto"/>
        <w:kinsoku/>
        <w:wordWrap/>
        <w:overflowPunct/>
        <w:topLinePunct w:val="0"/>
        <w:autoSpaceDN w:val="0"/>
        <w:bidi w:val="0"/>
        <w:spacing w:line="540" w:lineRule="exact"/>
        <w:ind w:firstLine="64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18.教育支出（类）进修及培训（款）培训支出（项）：指反映各部门安排的用于培训方面的支出。教育部门的师资培训，党校、行政学院等专业干部教育机构的支出，以及退役士兵、转业士官的培训支出，不在本科目反映。</w:t>
      </w:r>
    </w:p>
    <w:p>
      <w:pPr>
        <w:pageBreakBefore w:val="0"/>
        <w:shd w:val="solid" w:color="FFFFFF" w:fill="auto"/>
        <w:kinsoku/>
        <w:wordWrap/>
        <w:overflowPunct/>
        <w:topLinePunct w:val="0"/>
        <w:autoSpaceDN w:val="0"/>
        <w:bidi w:val="0"/>
        <w:spacing w:line="540" w:lineRule="exact"/>
        <w:ind w:firstLine="640" w:firstLineChars="20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19.科学技术支出（类）应用研究（款）机构运行（项）：指反映应用研究机构的基本支出。</w:t>
      </w:r>
    </w:p>
    <w:p>
      <w:pPr>
        <w:pageBreakBefore w:val="0"/>
        <w:shd w:val="solid" w:color="FFFFFF" w:fill="auto"/>
        <w:kinsoku/>
        <w:wordWrap/>
        <w:overflowPunct/>
        <w:topLinePunct w:val="0"/>
        <w:autoSpaceDN w:val="0"/>
        <w:bidi w:val="0"/>
        <w:spacing w:line="540" w:lineRule="exact"/>
        <w:ind w:firstLine="640" w:firstLineChars="20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20.科学技术支出（类）应用研究（款）社会公益研究（项）：指反映从事卫生、劳动保护、计划生育、环境科学、农业等社会公益专项科研方面的支出。</w:t>
      </w:r>
    </w:p>
    <w:p>
      <w:pPr>
        <w:pageBreakBefore w:val="0"/>
        <w:shd w:val="solid" w:color="FFFFFF" w:fill="auto"/>
        <w:kinsoku/>
        <w:wordWrap/>
        <w:overflowPunct/>
        <w:topLinePunct w:val="0"/>
        <w:autoSpaceDN w:val="0"/>
        <w:bidi w:val="0"/>
        <w:spacing w:line="540" w:lineRule="exact"/>
        <w:ind w:firstLine="640" w:firstLineChars="20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21.科学技术支出（类）应用研究（款）其他应用研究支出（项）：指反映除机构运行、社会公益研究、高技术研究、专项科研试制以外其他用于应用研究方面的支出。</w:t>
      </w:r>
    </w:p>
    <w:p>
      <w:pPr>
        <w:pageBreakBefore w:val="0"/>
        <w:shd w:val="solid" w:color="FFFFFF" w:fill="auto"/>
        <w:kinsoku/>
        <w:wordWrap/>
        <w:overflowPunct/>
        <w:topLinePunct w:val="0"/>
        <w:autoSpaceDN w:val="0"/>
        <w:bidi w:val="0"/>
        <w:spacing w:line="540" w:lineRule="exact"/>
        <w:ind w:firstLine="640" w:firstLineChars="20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22.社会保障和就业支出（类）行政事业单位离退休（款）事业单位离退休（项）：指实行归口管理的事业单位开支的离退休经费。</w:t>
      </w:r>
    </w:p>
    <w:p>
      <w:pPr>
        <w:pageBreakBefore w:val="0"/>
        <w:shd w:val="solid" w:color="FFFFFF" w:fill="auto"/>
        <w:kinsoku/>
        <w:wordWrap/>
        <w:overflowPunct/>
        <w:topLinePunct w:val="0"/>
        <w:autoSpaceDN w:val="0"/>
        <w:bidi w:val="0"/>
        <w:spacing w:line="540" w:lineRule="exact"/>
        <w:ind w:firstLine="640" w:firstLineChars="20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23.社会保障和就业支出（类）行政事业单位离退休（款）未归口管理的行政单位离退休（项）：指反映行归口管理的行政单位（包括实行公务员管理的事业单位）开支的离退休支出。</w:t>
      </w:r>
    </w:p>
    <w:p>
      <w:pPr>
        <w:pageBreakBefore w:val="0"/>
        <w:shd w:val="solid" w:color="FFFFFF" w:fill="auto"/>
        <w:kinsoku/>
        <w:wordWrap/>
        <w:overflowPunct/>
        <w:topLinePunct w:val="0"/>
        <w:autoSpaceDN w:val="0"/>
        <w:bidi w:val="0"/>
        <w:spacing w:line="540" w:lineRule="exact"/>
        <w:ind w:firstLine="640" w:firstLineChars="20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24.社会保障和就业支出（类）行政事业单位离退休（款）机关事业单位基本养老缴费支出（项）：指反映事业单位实施养老保险制度由单位缴纳的基本养老保险费支出。</w:t>
      </w:r>
    </w:p>
    <w:p>
      <w:pPr>
        <w:pageBreakBefore w:val="0"/>
        <w:shd w:val="solid" w:color="FFFFFF" w:fill="auto"/>
        <w:kinsoku/>
        <w:wordWrap/>
        <w:overflowPunct/>
        <w:topLinePunct w:val="0"/>
        <w:autoSpaceDN w:val="0"/>
        <w:bidi w:val="0"/>
        <w:spacing w:line="540" w:lineRule="exact"/>
        <w:ind w:firstLine="640" w:firstLineChars="20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25.社会保障和就业支出（类）行政事业单位离退休（款）机关事业单位职业年金缴费支出（项）：指反映事业单位实施养老保险制度由单位实际缴纳的职业年金支出。</w:t>
      </w:r>
    </w:p>
    <w:p>
      <w:pPr>
        <w:pageBreakBefore w:val="0"/>
        <w:shd w:val="solid" w:color="FFFFFF" w:fill="auto"/>
        <w:kinsoku/>
        <w:wordWrap/>
        <w:overflowPunct/>
        <w:topLinePunct w:val="0"/>
        <w:autoSpaceDN w:val="0"/>
        <w:bidi w:val="0"/>
        <w:spacing w:line="540" w:lineRule="exact"/>
        <w:ind w:firstLine="640" w:firstLineChars="20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26.社会保障和就业支出（类）抚恤（款）死亡抚恤（项）：指反映按规定用于烈士和牺牲、病故人员家属的一次性和定期抚恤金以及丧葬补助费。</w:t>
      </w:r>
    </w:p>
    <w:p>
      <w:pPr>
        <w:pageBreakBefore w:val="0"/>
        <w:shd w:val="solid" w:color="FFFFFF" w:fill="auto"/>
        <w:kinsoku/>
        <w:wordWrap/>
        <w:overflowPunct/>
        <w:topLinePunct w:val="0"/>
        <w:autoSpaceDN w:val="0"/>
        <w:bidi w:val="0"/>
        <w:spacing w:line="540" w:lineRule="exact"/>
        <w:ind w:firstLine="640" w:firstLineChars="20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27.社会保障和就业支出（类）其他社会保障和就业支出（款）其他社会保障和就业支出（项）：指反映除人力资源和社会保障管理、民政管理事务、补充全国社会保障基金、</w:t>
      </w:r>
      <w:r>
        <w:rPr>
          <w:rFonts w:hint="eastAsia" w:eastAsia="仿宋" w:cs="Times New Roman"/>
          <w:color w:val="auto"/>
          <w:sz w:val="32"/>
          <w:highlight w:val="none"/>
          <w:shd w:val="clear" w:color="auto" w:fill="FFFFFF"/>
          <w:lang w:val="en-US" w:eastAsia="zh-CN"/>
        </w:rPr>
        <w:t>行政</w:t>
      </w:r>
      <w:r>
        <w:rPr>
          <w:rFonts w:hint="default" w:ascii="Times New Roman" w:hAnsi="Times New Roman" w:eastAsia="仿宋" w:cs="Times New Roman"/>
          <w:color w:val="auto"/>
          <w:sz w:val="32"/>
          <w:highlight w:val="none"/>
          <w:shd w:val="clear" w:color="auto" w:fill="FFFFFF"/>
        </w:rPr>
        <w:t>事业单位离退休、企业改革补助、就业补助、抚恤、退役安置、社会福利、残疾人事业、自然灾害生活补助、红十字事业、最低生活保障、临时救助等项目以外其他用于社会保障和就业方面的支出。</w:t>
      </w:r>
    </w:p>
    <w:p>
      <w:pPr>
        <w:pageBreakBefore w:val="0"/>
        <w:shd w:val="solid" w:color="FFFFFF" w:fill="auto"/>
        <w:kinsoku/>
        <w:wordWrap/>
        <w:overflowPunct/>
        <w:topLinePunct w:val="0"/>
        <w:autoSpaceDN w:val="0"/>
        <w:bidi w:val="0"/>
        <w:spacing w:line="540" w:lineRule="exact"/>
        <w:ind w:firstLine="640" w:firstLineChars="20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28.医疗卫生与计划生育支出（类）医疗保障（款）行政单位医疗（项）：指反映财政部门集中安排的行政单位基本医疗保险缴费经费，未参加医疗保险的行政单位的公费医疗经费，按国家规定享受离休人员、红军老战士待遇人员的医疗经费。</w:t>
      </w:r>
    </w:p>
    <w:p>
      <w:pPr>
        <w:pageBreakBefore w:val="0"/>
        <w:shd w:val="solid" w:color="FFFFFF" w:fill="auto"/>
        <w:kinsoku/>
        <w:wordWrap/>
        <w:overflowPunct/>
        <w:topLinePunct w:val="0"/>
        <w:autoSpaceDN w:val="0"/>
        <w:bidi w:val="0"/>
        <w:spacing w:line="540" w:lineRule="exact"/>
        <w:ind w:firstLine="640" w:firstLineChars="20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29.医疗卫生与计划生育支出（类）医疗保障（款）事业单位医疗（项）：指反映财政部门集中安排的事业单位基本医疗保险缴费经费，未参加医疗保险的事业单位的公费医疗经费，按国家规定享受离休人员待遇的医疗经费。</w:t>
      </w:r>
    </w:p>
    <w:p>
      <w:pPr>
        <w:pageBreakBefore w:val="0"/>
        <w:shd w:val="solid" w:color="FFFFFF" w:fill="auto"/>
        <w:kinsoku/>
        <w:wordWrap/>
        <w:overflowPunct/>
        <w:topLinePunct w:val="0"/>
        <w:autoSpaceDN w:val="0"/>
        <w:bidi w:val="0"/>
        <w:spacing w:line="540" w:lineRule="exact"/>
        <w:ind w:firstLine="640" w:firstLineChars="20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30.医疗卫生与计划生育支出（类）医疗保障（款）公务员医疗补助（项）：指反映财政部门集中安排的公务员医疗补助经费。</w:t>
      </w:r>
    </w:p>
    <w:p>
      <w:pPr>
        <w:pageBreakBefore w:val="0"/>
        <w:shd w:val="solid" w:color="FFFFFF" w:fill="auto"/>
        <w:kinsoku/>
        <w:wordWrap/>
        <w:overflowPunct/>
        <w:topLinePunct w:val="0"/>
        <w:autoSpaceDN w:val="0"/>
        <w:bidi w:val="0"/>
        <w:spacing w:line="540" w:lineRule="exact"/>
        <w:ind w:firstLine="640" w:firstLineChars="20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31.节能环保支出（类）循环经济（款）循环经济（项）：</w:t>
      </w:r>
    </w:p>
    <w:p>
      <w:pPr>
        <w:pageBreakBefore w:val="0"/>
        <w:shd w:val="solid" w:color="FFFFFF" w:fill="auto"/>
        <w:kinsoku/>
        <w:wordWrap/>
        <w:overflowPunct/>
        <w:topLinePunct w:val="0"/>
        <w:autoSpaceDN w:val="0"/>
        <w:bidi w:val="0"/>
        <w:spacing w:line="540" w:lineRule="exact"/>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指反映用于循环经济（含资源综合利用）方面的支出。</w:t>
      </w:r>
    </w:p>
    <w:p>
      <w:pPr>
        <w:pageBreakBefore w:val="0"/>
        <w:shd w:val="solid" w:color="FFFFFF" w:fill="auto"/>
        <w:kinsoku/>
        <w:wordWrap/>
        <w:overflowPunct/>
        <w:topLinePunct w:val="0"/>
        <w:autoSpaceDN w:val="0"/>
        <w:bidi w:val="0"/>
        <w:spacing w:line="540" w:lineRule="exact"/>
        <w:ind w:firstLine="640" w:firstLineChars="20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32.节能环保支出（类）能源管理事务（款）其他能源管理事务支出（项）：指反映除行政运行、一般行政管理事务、机关服务、能源预测预警、能源战略规划与实施、能源科技装备、能源管理、石油储备发展管理、能源调查、信息化建设、农村电网建设、事业运行以外用于能源管理事务的支出。</w:t>
      </w:r>
    </w:p>
    <w:p>
      <w:pPr>
        <w:pageBreakBefore w:val="0"/>
        <w:shd w:val="solid" w:color="FFFFFF" w:fill="auto"/>
        <w:kinsoku/>
        <w:wordWrap/>
        <w:overflowPunct/>
        <w:topLinePunct w:val="0"/>
        <w:autoSpaceDN w:val="0"/>
        <w:bidi w:val="0"/>
        <w:spacing w:line="540" w:lineRule="exact"/>
        <w:ind w:firstLine="640" w:firstLineChars="20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33.资源勘探信息等支出（类）安全生产监管支出（款）其他安全生产监管支出（项）：指反映除行政运行、一般行政管理事务、机关服务、国务院安委会专项、安全监管监察专项、应急救援支出、煤炭安全以外其他用于安全生产监管等方面的支出。</w:t>
      </w:r>
    </w:p>
    <w:p>
      <w:pPr>
        <w:pageBreakBefore w:val="0"/>
        <w:shd w:val="solid" w:color="FFFFFF" w:fill="auto"/>
        <w:kinsoku/>
        <w:wordWrap/>
        <w:overflowPunct/>
        <w:topLinePunct w:val="0"/>
        <w:autoSpaceDN w:val="0"/>
        <w:bidi w:val="0"/>
        <w:spacing w:line="540" w:lineRule="exact"/>
        <w:ind w:firstLine="640" w:firstLineChars="20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34.住房保障支出（类）住房改革支出（款）住房公积金（项）：指反映行政事业单位按人力资源和社会保障部、财政部规定的基本工资和津贴补贴以及规定比例为职工缴纳的住房公积金。</w:t>
      </w:r>
    </w:p>
    <w:p>
      <w:pPr>
        <w:pageBreakBefore w:val="0"/>
        <w:shd w:val="solid" w:color="FFFFFF" w:fill="auto"/>
        <w:kinsoku/>
        <w:wordWrap/>
        <w:overflowPunct/>
        <w:topLinePunct w:val="0"/>
        <w:autoSpaceDN w:val="0"/>
        <w:bidi w:val="0"/>
        <w:spacing w:line="540" w:lineRule="exact"/>
        <w:ind w:firstLine="640" w:firstLineChars="20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35.住房保障支出（类）住房改革支出（款）购房补贴（项）：指反映按房改政策规定，行政事业单位向符合条件职工（含离退休）、军队（含武警）向转役复员离退休人员发放的用于购买住房的补贴。</w:t>
      </w:r>
    </w:p>
    <w:p>
      <w:pPr>
        <w:pageBreakBefore w:val="0"/>
        <w:shd w:val="solid" w:color="FFFFFF" w:fill="auto"/>
        <w:kinsoku/>
        <w:wordWrap/>
        <w:overflowPunct/>
        <w:topLinePunct w:val="0"/>
        <w:autoSpaceDN w:val="0"/>
        <w:bidi w:val="0"/>
        <w:spacing w:line="540" w:lineRule="exact"/>
        <w:ind w:firstLine="64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36.其他支出（类）其他支出（款）其他支出（项）：指反映不能划分到具体功能科目中的支出项目。</w:t>
      </w:r>
    </w:p>
    <w:p>
      <w:pPr>
        <w:pageBreakBefore w:val="0"/>
        <w:shd w:val="solid" w:color="FFFFFF" w:fill="auto"/>
        <w:kinsoku/>
        <w:wordWrap/>
        <w:overflowPunct/>
        <w:topLinePunct w:val="0"/>
        <w:autoSpaceDN w:val="0"/>
        <w:bidi w:val="0"/>
        <w:spacing w:line="540" w:lineRule="exact"/>
        <w:ind w:firstLine="64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37.债务还本支出（类）地方政府一般债务还本支出（款）地方政府向外国政府借款还本支出（项）：指反映地方政府用于归还通过中央政府直接转贷或委托银行转贷向外国政府借款本金所发生的支出。</w:t>
      </w:r>
    </w:p>
    <w:p>
      <w:pPr>
        <w:pageBreakBefore w:val="0"/>
        <w:shd w:val="solid" w:color="FFFFFF" w:fill="auto"/>
        <w:kinsoku/>
        <w:wordWrap/>
        <w:overflowPunct/>
        <w:topLinePunct w:val="0"/>
        <w:autoSpaceDN w:val="0"/>
        <w:bidi w:val="0"/>
        <w:spacing w:line="540" w:lineRule="exact"/>
        <w:ind w:firstLine="64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38.结余分配：指事业单位按规定提取的职工福利基金、事业基金和缴纳的所得税，以及建设单位按规定应交回的基本建设竣工项目结余资金。</w:t>
      </w:r>
    </w:p>
    <w:p>
      <w:pPr>
        <w:pageBreakBefore w:val="0"/>
        <w:shd w:val="solid" w:color="FFFFFF" w:fill="auto"/>
        <w:kinsoku/>
        <w:wordWrap/>
        <w:overflowPunct/>
        <w:topLinePunct w:val="0"/>
        <w:autoSpaceDN w:val="0"/>
        <w:bidi w:val="0"/>
        <w:spacing w:line="540" w:lineRule="exact"/>
        <w:ind w:firstLine="64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39.年末结转和结余：指本年度或以前年度预算安排、因客观条件发生变化无法按原计划实施，需延迟到以后年度按有关规定继续使用的资金。</w:t>
      </w:r>
    </w:p>
    <w:p>
      <w:pPr>
        <w:pageBreakBefore w:val="0"/>
        <w:shd w:val="solid" w:color="FFFFFF" w:fill="auto"/>
        <w:kinsoku/>
        <w:wordWrap/>
        <w:overflowPunct/>
        <w:topLinePunct w:val="0"/>
        <w:autoSpaceDN w:val="0"/>
        <w:bidi w:val="0"/>
        <w:spacing w:line="540" w:lineRule="exact"/>
        <w:ind w:firstLine="64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40.基本支出：指为保障机构正常运转、完成日常工作任务而发生的人员支出和公用支出。</w:t>
      </w:r>
    </w:p>
    <w:p>
      <w:pPr>
        <w:pageBreakBefore w:val="0"/>
        <w:shd w:val="solid" w:color="FFFFFF" w:fill="auto"/>
        <w:kinsoku/>
        <w:wordWrap/>
        <w:overflowPunct/>
        <w:topLinePunct w:val="0"/>
        <w:autoSpaceDN w:val="0"/>
        <w:bidi w:val="0"/>
        <w:spacing w:line="540" w:lineRule="exact"/>
        <w:ind w:firstLine="64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41.项目支出：指在基本支出之外为完成特定行政任务和事业发展目标所发生的支出。</w:t>
      </w:r>
    </w:p>
    <w:p>
      <w:pPr>
        <w:pageBreakBefore w:val="0"/>
        <w:shd w:val="solid" w:color="FFFFFF" w:fill="auto"/>
        <w:kinsoku/>
        <w:wordWrap/>
        <w:overflowPunct/>
        <w:topLinePunct w:val="0"/>
        <w:autoSpaceDN w:val="0"/>
        <w:bidi w:val="0"/>
        <w:spacing w:line="540" w:lineRule="exact"/>
        <w:ind w:firstLine="64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42.经营支出：指事业单位在专业业务活动及其辅助活动之外开展非独立核算经营活动发生的支出。</w:t>
      </w:r>
    </w:p>
    <w:p>
      <w:pPr>
        <w:pageBreakBefore w:val="0"/>
        <w:shd w:val="solid" w:color="FFFFFF" w:fill="auto"/>
        <w:kinsoku/>
        <w:wordWrap/>
        <w:overflowPunct/>
        <w:topLinePunct w:val="0"/>
        <w:autoSpaceDN w:val="0"/>
        <w:bidi w:val="0"/>
        <w:spacing w:line="540" w:lineRule="exact"/>
        <w:ind w:firstLine="64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43.“三公”经费：纳入省级财政预决算管理的“三公”经费，是指部门用财政拨款安排的因公出国（境）费、公务用车购置及运行费和公务接待费。其中，因公出国（境）费反映单位因公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ageBreakBefore w:val="0"/>
        <w:shd w:val="solid" w:color="FFFFFF" w:fill="auto"/>
        <w:kinsoku/>
        <w:wordWrap/>
        <w:overflowPunct/>
        <w:topLinePunct w:val="0"/>
        <w:autoSpaceDN w:val="0"/>
        <w:bidi w:val="0"/>
        <w:spacing w:line="540" w:lineRule="exact"/>
        <w:ind w:firstLine="640"/>
        <w:rPr>
          <w:rFonts w:hint="default" w:ascii="Times New Roman" w:hAnsi="Times New Roman" w:eastAsia="仿宋" w:cs="Times New Roman"/>
          <w:color w:val="auto"/>
          <w:highlight w:val="none"/>
          <w:shd w:val="clear" w:color="auto" w:fill="FFFFFF"/>
        </w:rPr>
      </w:pPr>
      <w:r>
        <w:rPr>
          <w:rFonts w:hint="default" w:ascii="Times New Roman" w:hAnsi="Times New Roman" w:eastAsia="仿宋" w:cs="Times New Roman"/>
          <w:color w:val="auto"/>
          <w:sz w:val="32"/>
          <w:highlight w:val="none"/>
          <w:shd w:val="clear" w:color="auto" w:fill="FFFFFF"/>
        </w:rPr>
        <w:t>44.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ageBreakBefore w:val="0"/>
        <w:kinsoku/>
        <w:wordWrap/>
        <w:overflowPunct/>
        <w:topLinePunct w:val="0"/>
        <w:bidi w:val="0"/>
        <w:spacing w:line="540" w:lineRule="exact"/>
        <w:jc w:val="center"/>
        <w:outlineLvl w:val="0"/>
        <w:rPr>
          <w:rStyle w:val="39"/>
          <w:rFonts w:hint="default" w:ascii="Times New Roman" w:hAnsi="Times New Roman" w:eastAsia="黑体" w:cs="Times New Roman"/>
          <w:b w:val="0"/>
          <w:color w:val="auto"/>
          <w:highlight w:val="none"/>
        </w:rPr>
      </w:pPr>
      <w:r>
        <w:rPr>
          <w:rFonts w:hint="default" w:ascii="Times New Roman" w:hAnsi="Times New Roman" w:cs="Times New Roman"/>
          <w:b/>
          <w:color w:val="auto"/>
          <w:sz w:val="44"/>
          <w:szCs w:val="44"/>
          <w:highlight w:val="none"/>
        </w:rPr>
        <w:br w:type="page"/>
      </w:r>
      <w:bookmarkStart w:id="103" w:name="_Toc15396614"/>
      <w:bookmarkStart w:id="104" w:name="_Toc12632"/>
      <w:r>
        <w:rPr>
          <w:rFonts w:hint="default" w:ascii="Times New Roman" w:hAnsi="Times New Roman" w:eastAsia="黑体" w:cs="Times New Roman"/>
          <w:color w:val="auto"/>
          <w:sz w:val="44"/>
          <w:szCs w:val="44"/>
          <w:highlight w:val="none"/>
        </w:rPr>
        <w:t>第</w:t>
      </w:r>
      <w:r>
        <w:rPr>
          <w:rStyle w:val="39"/>
          <w:rFonts w:hint="default" w:ascii="Times New Roman" w:hAnsi="Times New Roman" w:eastAsia="黑体" w:cs="Times New Roman"/>
          <w:b w:val="0"/>
          <w:color w:val="auto"/>
          <w:highlight w:val="none"/>
        </w:rPr>
        <w:t>四部分 附件</w:t>
      </w:r>
      <w:bookmarkEnd w:id="103"/>
      <w:bookmarkEnd w:id="104"/>
    </w:p>
    <w:p>
      <w:pPr>
        <w:pageBreakBefore w:val="0"/>
        <w:kinsoku/>
        <w:wordWrap/>
        <w:overflowPunct/>
        <w:topLinePunct w:val="0"/>
        <w:bidi w:val="0"/>
        <w:spacing w:line="540" w:lineRule="exact"/>
        <w:jc w:val="left"/>
        <w:outlineLvl w:val="0"/>
        <w:rPr>
          <w:rFonts w:hint="default" w:ascii="Times New Roman" w:hAnsi="Times New Roman" w:eastAsia="黑体" w:cs="Times New Roman"/>
          <w:color w:val="auto"/>
          <w:sz w:val="32"/>
          <w:szCs w:val="32"/>
          <w:highlight w:val="none"/>
        </w:rPr>
      </w:pPr>
    </w:p>
    <w:p>
      <w:pPr>
        <w:pageBreakBefore w:val="0"/>
        <w:kinsoku/>
        <w:wordWrap/>
        <w:overflowPunct/>
        <w:topLinePunct w:val="0"/>
        <w:bidi w:val="0"/>
        <w:spacing w:line="540" w:lineRule="exact"/>
        <w:jc w:val="left"/>
        <w:outlineLvl w:val="0"/>
        <w:rPr>
          <w:rFonts w:hint="default" w:ascii="Times New Roman" w:hAnsi="Times New Roman" w:eastAsia="黑体" w:cs="Times New Roman"/>
          <w:color w:val="auto"/>
          <w:sz w:val="32"/>
          <w:szCs w:val="32"/>
          <w:highlight w:val="none"/>
        </w:rPr>
      </w:pPr>
      <w:bookmarkStart w:id="105" w:name="_Toc27274"/>
      <w:r>
        <w:rPr>
          <w:rFonts w:hint="default" w:ascii="Times New Roman" w:hAnsi="Times New Roman" w:eastAsia="黑体" w:cs="Times New Roman"/>
          <w:color w:val="auto"/>
          <w:sz w:val="32"/>
          <w:szCs w:val="32"/>
          <w:highlight w:val="none"/>
        </w:rPr>
        <w:t>附件1</w:t>
      </w:r>
      <w:bookmarkEnd w:id="105"/>
    </w:p>
    <w:p>
      <w:pPr>
        <w:pStyle w:val="2"/>
        <w:pageBreakBefore w:val="0"/>
        <w:kinsoku/>
        <w:wordWrap/>
        <w:overflowPunct/>
        <w:topLinePunct w:val="0"/>
        <w:bidi w:val="0"/>
        <w:spacing w:line="540" w:lineRule="exact"/>
        <w:rPr>
          <w:rFonts w:hint="default" w:ascii="Times New Roman" w:hAnsi="Times New Roman" w:cs="Times New Roman"/>
          <w:color w:val="auto"/>
          <w:highlight w:val="none"/>
        </w:rPr>
      </w:pPr>
    </w:p>
    <w:p>
      <w:pPr>
        <w:pageBreakBefore w:val="0"/>
        <w:kinsoku/>
        <w:wordWrap/>
        <w:overflowPunct/>
        <w:topLinePunct w:val="0"/>
        <w:bidi w:val="0"/>
        <w:spacing w:line="540" w:lineRule="exact"/>
        <w:jc w:val="center"/>
        <w:rPr>
          <w:rFonts w:hint="default" w:ascii="Times New Roman" w:hAnsi="Times New Roman" w:eastAsia="方正小标宋简体" w:cs="Times New Roman"/>
          <w:color w:val="auto"/>
          <w:kern w:val="0"/>
          <w:sz w:val="40"/>
          <w:szCs w:val="44"/>
          <w:highlight w:val="none"/>
          <w:lang w:val="en-US" w:eastAsia="zh-CN"/>
        </w:rPr>
      </w:pPr>
      <w:r>
        <w:rPr>
          <w:rFonts w:hint="default" w:ascii="Times New Roman" w:hAnsi="Times New Roman" w:eastAsia="方正小标宋简体" w:cs="Times New Roman"/>
          <w:color w:val="auto"/>
          <w:kern w:val="0"/>
          <w:sz w:val="40"/>
          <w:szCs w:val="44"/>
          <w:highlight w:val="none"/>
        </w:rPr>
        <w:t>2020年</w:t>
      </w:r>
      <w:r>
        <w:rPr>
          <w:rFonts w:hint="default" w:ascii="Times New Roman" w:hAnsi="Times New Roman" w:eastAsia="方正小标宋简体" w:cs="Times New Roman"/>
          <w:color w:val="auto"/>
          <w:kern w:val="0"/>
          <w:sz w:val="40"/>
          <w:szCs w:val="44"/>
          <w:highlight w:val="none"/>
          <w:lang w:val="en-US" w:eastAsia="zh-CN"/>
        </w:rPr>
        <w:t>四川省发展和改革委员会</w:t>
      </w:r>
    </w:p>
    <w:p>
      <w:pPr>
        <w:pageBreakBefore w:val="0"/>
        <w:kinsoku/>
        <w:wordWrap/>
        <w:overflowPunct/>
        <w:topLinePunct w:val="0"/>
        <w:bidi w:val="0"/>
        <w:spacing w:line="540" w:lineRule="exact"/>
        <w:jc w:val="center"/>
        <w:rPr>
          <w:rFonts w:hint="default" w:ascii="Times New Roman" w:hAnsi="Times New Roman" w:eastAsia="方正小标宋简体" w:cs="Times New Roman"/>
          <w:color w:val="auto"/>
          <w:kern w:val="0"/>
          <w:sz w:val="40"/>
          <w:szCs w:val="44"/>
          <w:highlight w:val="none"/>
          <w:lang w:val="zh-CN"/>
        </w:rPr>
      </w:pPr>
      <w:r>
        <w:rPr>
          <w:rFonts w:hint="default" w:ascii="Times New Roman" w:hAnsi="Times New Roman" w:eastAsia="方正小标宋简体" w:cs="Times New Roman"/>
          <w:color w:val="auto"/>
          <w:kern w:val="0"/>
          <w:sz w:val="40"/>
          <w:szCs w:val="44"/>
          <w:highlight w:val="none"/>
        </w:rPr>
        <w:t>部门整体支出绩效评价报告</w:t>
      </w:r>
    </w:p>
    <w:p>
      <w:pPr>
        <w:pageBreakBefore w:val="0"/>
        <w:widowControl/>
        <w:kinsoku/>
        <w:wordWrap/>
        <w:overflowPunct/>
        <w:topLinePunct w:val="0"/>
        <w:bidi w:val="0"/>
        <w:adjustRightInd w:val="0"/>
        <w:snapToGrid w:val="0"/>
        <w:spacing w:line="540" w:lineRule="exact"/>
        <w:ind w:firstLine="640" w:firstLineChars="200"/>
        <w:contextualSpacing/>
        <w:jc w:val="left"/>
        <w:rPr>
          <w:rFonts w:hint="default" w:ascii="Times New Roman" w:hAnsi="Times New Roman" w:eastAsia="黑体" w:cs="Times New Roman"/>
          <w:b w:val="0"/>
          <w:bCs/>
          <w:color w:val="auto"/>
          <w:kern w:val="0"/>
          <w:sz w:val="32"/>
          <w:szCs w:val="32"/>
          <w:highlight w:val="none"/>
          <w:shd w:val="clear" w:color="auto" w:fill="FFFFFF"/>
        </w:rPr>
      </w:pPr>
    </w:p>
    <w:p>
      <w:pPr>
        <w:pageBreakBefore w:val="0"/>
        <w:widowControl/>
        <w:kinsoku/>
        <w:wordWrap/>
        <w:overflowPunct/>
        <w:topLinePunct w:val="0"/>
        <w:bidi w:val="0"/>
        <w:adjustRightInd w:val="0"/>
        <w:snapToGrid w:val="0"/>
        <w:spacing w:line="540" w:lineRule="exact"/>
        <w:ind w:firstLine="640" w:firstLineChars="200"/>
        <w:contextualSpacing/>
        <w:jc w:val="left"/>
        <w:rPr>
          <w:rFonts w:hint="default" w:ascii="Times New Roman" w:hAnsi="Times New Roman" w:eastAsia="黑体" w:cs="Times New Roman"/>
          <w:b w:val="0"/>
          <w:bCs/>
          <w:color w:val="auto"/>
          <w:kern w:val="0"/>
          <w:sz w:val="32"/>
          <w:szCs w:val="32"/>
          <w:highlight w:val="none"/>
          <w:shd w:val="clear" w:color="auto" w:fill="FFFFFF"/>
          <w:lang w:val="zh-CN"/>
        </w:rPr>
      </w:pPr>
      <w:r>
        <w:rPr>
          <w:rFonts w:hint="default" w:ascii="Times New Roman" w:hAnsi="Times New Roman" w:eastAsia="黑体" w:cs="Times New Roman"/>
          <w:b w:val="0"/>
          <w:bCs/>
          <w:color w:val="auto"/>
          <w:kern w:val="0"/>
          <w:sz w:val="32"/>
          <w:szCs w:val="32"/>
          <w:highlight w:val="none"/>
          <w:shd w:val="clear" w:color="auto" w:fill="FFFFFF"/>
        </w:rPr>
        <w:t>一、</w:t>
      </w:r>
      <w:r>
        <w:rPr>
          <w:rFonts w:hint="default" w:ascii="Times New Roman" w:hAnsi="Times New Roman" w:eastAsia="黑体" w:cs="Times New Roman"/>
          <w:b w:val="0"/>
          <w:bCs/>
          <w:color w:val="auto"/>
          <w:kern w:val="0"/>
          <w:sz w:val="32"/>
          <w:szCs w:val="32"/>
          <w:highlight w:val="none"/>
          <w:shd w:val="clear" w:color="auto" w:fill="FFFFFF"/>
          <w:lang w:val="zh-CN"/>
        </w:rPr>
        <w:t>部门（单位）概况</w:t>
      </w:r>
    </w:p>
    <w:p>
      <w:pPr>
        <w:pageBreakBefore w:val="0"/>
        <w:widowControl/>
        <w:kinsoku/>
        <w:wordWrap/>
        <w:overflowPunct/>
        <w:topLinePunct w:val="0"/>
        <w:bidi w:val="0"/>
        <w:adjustRightInd w:val="0"/>
        <w:snapToGrid w:val="0"/>
        <w:spacing w:line="540" w:lineRule="exact"/>
        <w:ind w:firstLine="640" w:firstLineChars="200"/>
        <w:contextualSpacing/>
        <w:jc w:val="left"/>
        <w:rPr>
          <w:rFonts w:hint="default" w:ascii="Times New Roman" w:hAnsi="Times New Roman" w:eastAsia="楷体_GB2312" w:cs="Times New Roman"/>
          <w:b/>
          <w:bCs w:val="0"/>
          <w:color w:val="auto"/>
          <w:kern w:val="0"/>
          <w:sz w:val="32"/>
          <w:szCs w:val="32"/>
          <w:highlight w:val="none"/>
          <w:shd w:val="clear" w:color="auto" w:fill="FFFFFF"/>
          <w:lang w:val="zh-CN"/>
        </w:rPr>
      </w:pPr>
      <w:r>
        <w:rPr>
          <w:rFonts w:hint="default" w:ascii="Times New Roman" w:hAnsi="Times New Roman" w:eastAsia="楷体_GB2312" w:cs="Times New Roman"/>
          <w:b/>
          <w:bCs w:val="0"/>
          <w:color w:val="auto"/>
          <w:kern w:val="0"/>
          <w:sz w:val="32"/>
          <w:szCs w:val="32"/>
          <w:highlight w:val="none"/>
          <w:shd w:val="clear" w:color="auto" w:fill="FFFFFF"/>
          <w:lang w:val="zh-CN"/>
        </w:rPr>
        <w:t>（一）机构组成</w:t>
      </w:r>
    </w:p>
    <w:p>
      <w:pPr>
        <w:pageBreakBefore w:val="0"/>
        <w:widowControl/>
        <w:kinsoku/>
        <w:wordWrap/>
        <w:overflowPunct/>
        <w:topLinePunct w:val="0"/>
        <w:bidi w:val="0"/>
        <w:adjustRightInd w:val="0"/>
        <w:snapToGrid w:val="0"/>
        <w:spacing w:line="540" w:lineRule="exact"/>
        <w:ind w:firstLine="640" w:firstLineChars="200"/>
        <w:contextualSpacing/>
        <w:jc w:val="left"/>
        <w:rPr>
          <w:rFonts w:hint="default" w:ascii="Times New Roman" w:hAnsi="Times New Roman" w:eastAsia="仿宋_GB2312" w:cs="Times New Roman"/>
          <w:b w:val="0"/>
          <w:bCs/>
          <w:color w:val="auto"/>
          <w:kern w:val="0"/>
          <w:sz w:val="32"/>
          <w:szCs w:val="32"/>
          <w:highlight w:val="none"/>
          <w:shd w:val="clear" w:color="auto" w:fill="FFFFFF"/>
          <w:lang w:val="zh-CN"/>
        </w:rPr>
      </w:pPr>
      <w:r>
        <w:rPr>
          <w:rFonts w:hint="default" w:ascii="Times New Roman" w:hAnsi="Times New Roman" w:eastAsia="仿宋_GB2312" w:cs="Times New Roman"/>
          <w:color w:val="auto"/>
          <w:sz w:val="32"/>
          <w:szCs w:val="32"/>
          <w:highlight w:val="none"/>
          <w:lang w:val="zh-CN" w:eastAsia="zh-CN"/>
        </w:rPr>
        <w:t>省发展改革委共有独立编制机构</w:t>
      </w:r>
      <w:r>
        <w:rPr>
          <w:rFonts w:hint="default" w:ascii="Times New Roman" w:hAnsi="Times New Roman" w:eastAsia="仿宋_GB2312" w:cs="Times New Roman"/>
          <w:color w:val="auto"/>
          <w:sz w:val="32"/>
          <w:szCs w:val="32"/>
          <w:highlight w:val="none"/>
          <w:u w:val="none"/>
          <w:lang w:val="en-US" w:eastAsia="zh-CN"/>
        </w:rPr>
        <w:t>10</w:t>
      </w:r>
      <w:r>
        <w:rPr>
          <w:rFonts w:hint="default" w:ascii="Times New Roman" w:hAnsi="Times New Roman" w:eastAsia="仿宋_GB2312" w:cs="Times New Roman"/>
          <w:color w:val="auto"/>
          <w:sz w:val="32"/>
          <w:szCs w:val="32"/>
          <w:highlight w:val="none"/>
          <w:u w:val="none"/>
        </w:rPr>
        <w:t>个，其中</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行政单位</w:t>
      </w: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个</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省发展改革委机关、省成本调查监审局、省价格</w:t>
      </w:r>
      <w:r>
        <w:rPr>
          <w:rFonts w:hint="default" w:ascii="Times New Roman" w:hAnsi="Times New Roman" w:eastAsia="仿宋_GB2312" w:cs="Times New Roman"/>
          <w:color w:val="auto"/>
          <w:sz w:val="32"/>
          <w:szCs w:val="32"/>
          <w:highlight w:val="none"/>
          <w:u w:val="none"/>
          <w:lang w:val="en-US" w:eastAsia="zh-CN"/>
        </w:rPr>
        <w:t>监</w:t>
      </w:r>
      <w:r>
        <w:rPr>
          <w:rFonts w:hint="default" w:ascii="Times New Roman" w:hAnsi="Times New Roman" w:eastAsia="仿宋_GB2312" w:cs="Times New Roman"/>
          <w:color w:val="auto"/>
          <w:sz w:val="32"/>
          <w:szCs w:val="32"/>
          <w:highlight w:val="none"/>
          <w:u w:val="none"/>
        </w:rPr>
        <w:t>测局</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，参照公务员法管理的事业单位</w:t>
      </w: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rPr>
        <w:t>个</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省价格认证中心、省引进外资项目办公室（金沙江办）</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，其他事业单位</w:t>
      </w:r>
      <w:r>
        <w:rPr>
          <w:rFonts w:hint="default"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个</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省发展改革委机关服务中心、省发展与改革研究所、省经济</w:t>
      </w:r>
      <w:r>
        <w:rPr>
          <w:rFonts w:hint="default" w:ascii="Times New Roman" w:hAnsi="Times New Roman" w:eastAsia="仿宋_GB2312" w:cs="Times New Roman"/>
          <w:color w:val="auto"/>
          <w:sz w:val="32"/>
          <w:szCs w:val="32"/>
          <w:highlight w:val="none"/>
          <w:u w:val="none"/>
          <w:lang w:val="en-US" w:eastAsia="zh-CN"/>
        </w:rPr>
        <w:t>和社会</w:t>
      </w:r>
      <w:r>
        <w:rPr>
          <w:rFonts w:hint="default" w:ascii="Times New Roman" w:hAnsi="Times New Roman" w:eastAsia="仿宋_GB2312" w:cs="Times New Roman"/>
          <w:color w:val="auto"/>
          <w:sz w:val="32"/>
          <w:szCs w:val="32"/>
          <w:highlight w:val="none"/>
          <w:u w:val="none"/>
        </w:rPr>
        <w:t>发展研究院、省</w:t>
      </w:r>
      <w:r>
        <w:rPr>
          <w:rFonts w:hint="default" w:ascii="Times New Roman" w:hAnsi="Times New Roman" w:eastAsia="仿宋_GB2312" w:cs="Times New Roman"/>
          <w:color w:val="auto"/>
          <w:sz w:val="32"/>
          <w:szCs w:val="32"/>
          <w:highlight w:val="none"/>
          <w:u w:val="none"/>
          <w:lang w:val="en-US" w:eastAsia="zh-CN"/>
        </w:rPr>
        <w:t>县域经济</w:t>
      </w:r>
      <w:r>
        <w:rPr>
          <w:rFonts w:hint="default" w:ascii="Times New Roman" w:hAnsi="Times New Roman" w:eastAsia="仿宋_GB2312" w:cs="Times New Roman"/>
          <w:color w:val="auto"/>
          <w:sz w:val="32"/>
          <w:szCs w:val="32"/>
          <w:highlight w:val="none"/>
          <w:u w:val="none"/>
        </w:rPr>
        <w:t>研究中心</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省工程咨询研究院</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按照财政要求，省工程咨询研究院从2021年开始纳入预算管理。</w:t>
      </w:r>
    </w:p>
    <w:p>
      <w:pPr>
        <w:pageBreakBefore w:val="0"/>
        <w:widowControl/>
        <w:numPr>
          <w:ilvl w:val="0"/>
          <w:numId w:val="0"/>
        </w:numPr>
        <w:kinsoku/>
        <w:wordWrap/>
        <w:overflowPunct/>
        <w:topLinePunct w:val="0"/>
        <w:bidi w:val="0"/>
        <w:adjustRightInd w:val="0"/>
        <w:snapToGrid w:val="0"/>
        <w:spacing w:line="540" w:lineRule="exact"/>
        <w:contextualSpacing/>
        <w:jc w:val="left"/>
        <w:rPr>
          <w:rFonts w:hint="default" w:ascii="Times New Roman" w:hAnsi="Times New Roman" w:eastAsia="楷体_GB2312" w:cs="Times New Roman"/>
          <w:b w:val="0"/>
          <w:bCs/>
          <w:color w:val="auto"/>
          <w:kern w:val="0"/>
          <w:sz w:val="32"/>
          <w:szCs w:val="32"/>
          <w:highlight w:val="none"/>
          <w:shd w:val="clear" w:color="auto" w:fill="FFFFFF"/>
          <w:lang w:val="zh-CN"/>
        </w:rPr>
      </w:pPr>
      <w:r>
        <w:rPr>
          <w:rFonts w:hint="default" w:ascii="Times New Roman" w:hAnsi="Times New Roman" w:cs="Times New Roman"/>
          <w:b w:val="0"/>
          <w:bCs/>
          <w:color w:val="auto"/>
          <w:kern w:val="0"/>
          <w:sz w:val="32"/>
          <w:szCs w:val="32"/>
          <w:highlight w:val="none"/>
          <w:shd w:val="clear" w:color="auto" w:fill="FFFFFF"/>
          <w:lang w:val="en-US" w:eastAsia="zh-CN"/>
        </w:rPr>
        <w:t xml:space="preserve">    </w:t>
      </w:r>
      <w:r>
        <w:rPr>
          <w:rFonts w:hint="default" w:ascii="Times New Roman" w:hAnsi="Times New Roman" w:eastAsia="楷体_GB2312" w:cs="Times New Roman"/>
          <w:b/>
          <w:bCs w:val="0"/>
          <w:color w:val="auto"/>
          <w:kern w:val="0"/>
          <w:sz w:val="32"/>
          <w:szCs w:val="32"/>
          <w:highlight w:val="none"/>
          <w:shd w:val="clear" w:color="auto" w:fill="FFFFFF"/>
          <w:lang w:val="en-US" w:eastAsia="zh-CN"/>
        </w:rPr>
        <w:t>（二）</w:t>
      </w:r>
      <w:r>
        <w:rPr>
          <w:rFonts w:hint="default" w:ascii="Times New Roman" w:hAnsi="Times New Roman" w:eastAsia="楷体_GB2312" w:cs="Times New Roman"/>
          <w:b/>
          <w:bCs w:val="0"/>
          <w:color w:val="auto"/>
          <w:kern w:val="0"/>
          <w:sz w:val="32"/>
          <w:szCs w:val="32"/>
          <w:highlight w:val="none"/>
          <w:shd w:val="clear" w:color="auto" w:fill="FFFFFF"/>
          <w:lang w:val="zh-CN"/>
        </w:rPr>
        <w:t>机构职能</w:t>
      </w:r>
    </w:p>
    <w:p>
      <w:pPr>
        <w:pageBreakBefore w:val="0"/>
        <w:kinsoku/>
        <w:wordWrap/>
        <w:overflowPunct/>
        <w:topLinePunct w:val="0"/>
        <w:bidi w:val="0"/>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贯彻实施国家有关国民经济和社会发展、经济体制改革的方针、政策和法律、法规。拟订全省有关国民经济和社会发展、经济体制改革的地方性法规、规章草案，负责本系统、本部门依法行政工作，落实行政执法责任制。</w:t>
      </w:r>
    </w:p>
    <w:p>
      <w:pPr>
        <w:pageBreakBefore w:val="0"/>
        <w:kinsoku/>
        <w:wordWrap/>
        <w:overflowPunct/>
        <w:topLinePunct w:val="0"/>
        <w:bidi w:val="0"/>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负责拟订并组织实施全省国民经济和社会发展战略、中长期规划和年度计划，统筹协调全省经济社会发展，研究分析宏观经济形势，提出全省经济社会发展、经济结构优化、价格总水平调控目标和政策建议。受省政府委托向省人大提交国民经济和社会发展计划报告。</w:t>
      </w:r>
    </w:p>
    <w:p>
      <w:pPr>
        <w:pageBreakBefore w:val="0"/>
        <w:kinsoku/>
        <w:wordWrap/>
        <w:overflowPunct/>
        <w:topLinePunct w:val="0"/>
        <w:bidi w:val="0"/>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负责监测宏观经济和社会发展态势，承担预测预警和信息引导的责任，研究宏观调控重大问题并提出政策建议，搞好总量平衡，综合协调经济社会发展中的重大问题。负责省级以上开发区的指导、协调和宏观管理。</w:t>
      </w:r>
    </w:p>
    <w:p>
      <w:pPr>
        <w:pageBreakBefore w:val="0"/>
        <w:kinsoku/>
        <w:wordWrap/>
        <w:overflowPunct/>
        <w:topLinePunct w:val="0"/>
        <w:bidi w:val="0"/>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负责汇总分析全省财政、金融等方面情况，参与制订财政、金融、土地政策，综合分析政策执行效果，负责全省全口径外债</w:t>
      </w:r>
      <w:r>
        <w:rPr>
          <w:rFonts w:hint="eastAsia" w:eastAsia="仿宋_GB2312" w:cs="Times New Roman"/>
          <w:color w:val="auto"/>
          <w:sz w:val="32"/>
          <w:szCs w:val="32"/>
          <w:highlight w:val="none"/>
          <w:lang w:val="en-US" w:eastAsia="zh-CN"/>
        </w:rPr>
        <w:t>管理有关工作</w:t>
      </w:r>
      <w:r>
        <w:rPr>
          <w:rFonts w:hint="default" w:ascii="Times New Roman" w:hAnsi="Times New Roman" w:eastAsia="仿宋_GB2312" w:cs="Times New Roman"/>
          <w:color w:val="auto"/>
          <w:sz w:val="32"/>
          <w:szCs w:val="32"/>
          <w:highlight w:val="none"/>
        </w:rPr>
        <w:t>，提出多渠道融资的政策建议，综合协调财政、金融、价格和产业政策等经济杠杆，保证全省国民经济计划和发展规划的实施。</w:t>
      </w:r>
    </w:p>
    <w:p>
      <w:pPr>
        <w:pageBreakBefore w:val="0"/>
        <w:kinsoku/>
        <w:wordWrap/>
        <w:overflowPunct/>
        <w:topLinePunct w:val="0"/>
        <w:bidi w:val="0"/>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承担指导推进和综合协调全省经济体制改革的责任，研究经济体制改革和对外开放的重大问题，组织拟订综合性经济体制改革方案，协调有关专项经济体制改革方案，会同有关部门搞好重要专项经济体制改革之间的衔接，指导经济体制改革试点和改革试验区工作。</w:t>
      </w:r>
    </w:p>
    <w:p>
      <w:pPr>
        <w:pageBreakBefore w:val="0"/>
        <w:kinsoku/>
        <w:wordWrap/>
        <w:overflowPunct/>
        <w:topLinePunct w:val="0"/>
        <w:bidi w:val="0"/>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贯彻实施国家和省价格法律、法规和方针、政策，编制和执行价格调整改革规划，提出年度价格总水平调控目标及价格调控措施并组织实施，管理国家、省列名管理的商品和服务价格，承担行政事业性收费管理工作，负责全省价格成本调查监审、价格监测、价格认证等工作。</w:t>
      </w:r>
    </w:p>
    <w:p>
      <w:pPr>
        <w:pageBreakBefore w:val="0"/>
        <w:kinsoku/>
        <w:wordWrap/>
        <w:overflowPunct/>
        <w:topLinePunct w:val="0"/>
        <w:bidi w:val="0"/>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负责全省投资宏观管理和协调推进重大项目建设。拟订全社会固定资产投资总规模和投资结构的调控目标、政策及措施，安排省级预算内基本建设资金，按规定权限审批、核准、备案或转报固定资产投资项目（企业技术改造项目除外）和资源开发利用、外资、境外投资项目。引导民间投资方向，研究提出利用外资和境外投资的规划、总量平衡和结构优化的目标和政策，指导和协调国外贷款项目实施。</w:t>
      </w:r>
    </w:p>
    <w:p>
      <w:pPr>
        <w:pageBreakBefore w:val="0"/>
        <w:kinsoku/>
        <w:wordWrap/>
        <w:overflowPunct/>
        <w:topLinePunct w:val="0"/>
        <w:bidi w:val="0"/>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推进经济结构战略性调整。组织拟订全省综合性产业政策，负责协调第一、二、三产业发展的重大问题，衔接平衡相关发展规划和重大政策，拟订重大产业发展规划，引导全省重大生产力合理布局，协调推进全省重大技术装备推广应用和重大产业基地建设，会同有关部门拟订服务业、现代物流业发展战略、规划和重大政策。组织拟订高技术产业发展、产业技术进步的战略、规划和重大政策，指导全省自主创新体系建设发展。</w:t>
      </w:r>
    </w:p>
    <w:p>
      <w:pPr>
        <w:pageBreakBefore w:val="0"/>
        <w:kinsoku/>
        <w:wordWrap/>
        <w:overflowPunct/>
        <w:topLinePunct w:val="0"/>
        <w:bidi w:val="0"/>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促进城乡区域协调发展。组织拟订区域协调发展战略、规划和重大政策，研究提出城镇化发展战略，负责地区经济协作的统筹协调。</w:t>
      </w:r>
    </w:p>
    <w:p>
      <w:pPr>
        <w:pageBreakBefore w:val="0"/>
        <w:kinsoku/>
        <w:wordWrap/>
        <w:overflowPunct/>
        <w:topLinePunct w:val="0"/>
        <w:bidi w:val="0"/>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负责重要商品总量平衡和宏观调控。研究分析省内外市场和对外贸易运行情况，会同有关部门管理重要物资的省级储备工作。</w:t>
      </w:r>
    </w:p>
    <w:p>
      <w:pPr>
        <w:pageBreakBefore w:val="0"/>
        <w:kinsoku/>
        <w:wordWrap/>
        <w:overflowPunct/>
        <w:topLinePunct w:val="0"/>
        <w:bidi w:val="0"/>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11.</w:t>
      </w:r>
      <w:r>
        <w:rPr>
          <w:rFonts w:hint="default" w:ascii="Times New Roman" w:hAnsi="Times New Roman" w:eastAsia="仿宋_GB2312" w:cs="Times New Roman"/>
          <w:color w:val="auto"/>
          <w:sz w:val="32"/>
          <w:szCs w:val="32"/>
          <w:highlight w:val="none"/>
        </w:rPr>
        <w:t>负责全省社会发展与国民经济发展的政策衔接，组织拟订社会发展战略、总体规划和年度计划，研究提出促进就业、调整收入分配、完善社会保障与经济协调发展的政策建议，协调社会事业发展中的重大问题及政策。</w:t>
      </w:r>
    </w:p>
    <w:p>
      <w:pPr>
        <w:pageBreakBefore w:val="0"/>
        <w:kinsoku/>
        <w:wordWrap/>
        <w:overflowPunct/>
        <w:topLinePunct w:val="0"/>
        <w:bidi w:val="0"/>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12.</w:t>
      </w:r>
      <w:r>
        <w:rPr>
          <w:rFonts w:hint="default" w:ascii="Times New Roman" w:hAnsi="Times New Roman" w:eastAsia="仿宋_GB2312" w:cs="Times New Roman"/>
          <w:color w:val="auto"/>
          <w:sz w:val="32"/>
          <w:szCs w:val="32"/>
          <w:highlight w:val="none"/>
        </w:rPr>
        <w:t>推进可持续发展，负责全省节能的综合协调工作，组织拟订并协调实施全省发展循环经济、能源资源节约和综合利用规划及政策措施，参与编制生态建设规划，协调生态建设、能源资源节约和综合利用的重大问题，综合协调环保产业和清洁生产促进有关工作。</w:t>
      </w:r>
    </w:p>
    <w:p>
      <w:pPr>
        <w:pageBreakBefore w:val="0"/>
        <w:kinsoku/>
        <w:wordWrap/>
        <w:overflowPunct/>
        <w:topLinePunct w:val="0"/>
        <w:bidi w:val="0"/>
        <w:snapToGrid w:val="0"/>
        <w:spacing w:line="540" w:lineRule="exact"/>
        <w:ind w:firstLine="640" w:firstLineChars="200"/>
        <w:rPr>
          <w:rFonts w:hint="eastAsia"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13.</w:t>
      </w:r>
      <w:r>
        <w:rPr>
          <w:rFonts w:hint="default" w:ascii="Times New Roman" w:hAnsi="Times New Roman" w:eastAsia="仿宋_GB2312" w:cs="Times New Roman"/>
          <w:color w:val="auto"/>
          <w:sz w:val="32"/>
          <w:szCs w:val="32"/>
          <w:highlight w:val="none"/>
        </w:rPr>
        <w:t>会同有关部门拟订民族地区、革命老区、贫困地区经济发展规划，会同有关部门制定加快民族地区、革命老区、贫困地区经济发展的重大政策，协调推进重大项目建设</w:t>
      </w:r>
      <w:r>
        <w:rPr>
          <w:rFonts w:hint="eastAsia" w:eastAsia="仿宋_GB2312" w:cs="Times New Roman"/>
          <w:color w:val="auto"/>
          <w:sz w:val="32"/>
          <w:szCs w:val="32"/>
          <w:highlight w:val="none"/>
          <w:lang w:eastAsia="zh-CN"/>
        </w:rPr>
        <w:t>。</w:t>
      </w:r>
    </w:p>
    <w:p>
      <w:pPr>
        <w:pageBreakBefore w:val="0"/>
        <w:kinsoku/>
        <w:wordWrap/>
        <w:overflowPunct/>
        <w:topLinePunct w:val="0"/>
        <w:bidi w:val="0"/>
        <w:snapToGrid w:val="0"/>
        <w:spacing w:line="540" w:lineRule="exact"/>
        <w:ind w:firstLine="640" w:firstLineChars="200"/>
        <w:rPr>
          <w:rFonts w:hint="eastAsia"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14.</w:t>
      </w:r>
      <w:r>
        <w:rPr>
          <w:rFonts w:hint="default" w:ascii="Times New Roman" w:hAnsi="Times New Roman" w:eastAsia="仿宋_GB2312" w:cs="Times New Roman"/>
          <w:color w:val="auto"/>
          <w:sz w:val="32"/>
          <w:szCs w:val="32"/>
          <w:highlight w:val="none"/>
        </w:rPr>
        <w:t>指导、协调并综合管理全省招标投标工作</w:t>
      </w:r>
      <w:r>
        <w:rPr>
          <w:rFonts w:hint="eastAsia" w:eastAsia="仿宋_GB2312" w:cs="Times New Roman"/>
          <w:color w:val="auto"/>
          <w:sz w:val="32"/>
          <w:szCs w:val="32"/>
          <w:highlight w:val="none"/>
          <w:lang w:eastAsia="zh-CN"/>
        </w:rPr>
        <w:t>。</w:t>
      </w:r>
    </w:p>
    <w:p>
      <w:pPr>
        <w:pageBreakBefore w:val="0"/>
        <w:kinsoku/>
        <w:wordWrap/>
        <w:overflowPunct/>
        <w:topLinePunct w:val="0"/>
        <w:bidi w:val="0"/>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15.</w:t>
      </w:r>
      <w:r>
        <w:rPr>
          <w:rFonts w:hint="default" w:ascii="Times New Roman" w:hAnsi="Times New Roman" w:eastAsia="仿宋_GB2312" w:cs="Times New Roman"/>
          <w:color w:val="auto"/>
          <w:sz w:val="32"/>
          <w:szCs w:val="32"/>
          <w:highlight w:val="none"/>
        </w:rPr>
        <w:t>负责组织协调和处理全省铁路</w:t>
      </w:r>
      <w:r>
        <w:rPr>
          <w:rFonts w:hint="eastAsia" w:eastAsia="仿宋_GB2312" w:cs="Times New Roman"/>
          <w:color w:val="auto"/>
          <w:sz w:val="32"/>
          <w:szCs w:val="32"/>
          <w:highlight w:val="none"/>
          <w:lang w:eastAsia="zh-CN"/>
        </w:rPr>
        <w:t>、</w:t>
      </w:r>
      <w:r>
        <w:rPr>
          <w:rFonts w:hint="eastAsia" w:eastAsia="仿宋_GB2312" w:cs="Times New Roman"/>
          <w:color w:val="auto"/>
          <w:sz w:val="32"/>
          <w:szCs w:val="32"/>
          <w:highlight w:val="none"/>
          <w:lang w:val="en-US" w:eastAsia="zh-CN"/>
        </w:rPr>
        <w:t>机场</w:t>
      </w:r>
      <w:r>
        <w:rPr>
          <w:rFonts w:hint="default" w:ascii="Times New Roman" w:hAnsi="Times New Roman" w:eastAsia="仿宋_GB2312" w:cs="Times New Roman"/>
          <w:color w:val="auto"/>
          <w:sz w:val="32"/>
          <w:szCs w:val="32"/>
          <w:highlight w:val="none"/>
        </w:rPr>
        <w:t>建设项目前期工作、征地拆迁、建设过程中涉及的重大问题，做好全省铁路</w:t>
      </w:r>
      <w:r>
        <w:rPr>
          <w:rFonts w:hint="eastAsia" w:eastAsia="仿宋_GB2312" w:cs="Times New Roman"/>
          <w:color w:val="auto"/>
          <w:sz w:val="32"/>
          <w:szCs w:val="32"/>
          <w:highlight w:val="none"/>
          <w:lang w:eastAsia="zh-CN"/>
        </w:rPr>
        <w:t>、</w:t>
      </w:r>
      <w:r>
        <w:rPr>
          <w:rFonts w:hint="eastAsia" w:eastAsia="仿宋_GB2312" w:cs="Times New Roman"/>
          <w:color w:val="auto"/>
          <w:sz w:val="32"/>
          <w:szCs w:val="32"/>
          <w:highlight w:val="none"/>
          <w:lang w:val="en-US" w:eastAsia="zh-CN"/>
        </w:rPr>
        <w:t>机场</w:t>
      </w:r>
      <w:r>
        <w:rPr>
          <w:rFonts w:hint="default" w:ascii="Times New Roman" w:hAnsi="Times New Roman" w:eastAsia="仿宋_GB2312" w:cs="Times New Roman"/>
          <w:color w:val="auto"/>
          <w:sz w:val="32"/>
          <w:szCs w:val="32"/>
          <w:highlight w:val="none"/>
        </w:rPr>
        <w:t>建设规划及年度计划编制的相关工作。</w:t>
      </w:r>
    </w:p>
    <w:p>
      <w:pPr>
        <w:pageBreakBefore w:val="0"/>
        <w:kinsoku/>
        <w:wordWrap/>
        <w:overflowPunct/>
        <w:topLinePunct w:val="0"/>
        <w:bidi w:val="0"/>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w:t>
      </w:r>
      <w:r>
        <w:rPr>
          <w:rFonts w:hint="eastAsia"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承担省实施西部大开发领导小组（省攀西地区资源开发领导小组）、省重点项目领导小组</w:t>
      </w:r>
      <w:r>
        <w:rPr>
          <w:rFonts w:hint="eastAsia" w:eastAsia="仿宋_GB2312" w:cs="Times New Roman"/>
          <w:color w:val="auto"/>
          <w:sz w:val="32"/>
          <w:szCs w:val="32"/>
          <w:highlight w:val="none"/>
          <w:lang w:val="en-US" w:eastAsia="zh-CN"/>
        </w:rPr>
        <w:t>等</w:t>
      </w:r>
      <w:r>
        <w:rPr>
          <w:rFonts w:hint="default" w:ascii="Times New Roman" w:hAnsi="Times New Roman" w:eastAsia="仿宋_GB2312" w:cs="Times New Roman"/>
          <w:color w:val="auto"/>
          <w:sz w:val="32"/>
          <w:szCs w:val="32"/>
          <w:highlight w:val="none"/>
        </w:rPr>
        <w:t>具体工作。</w:t>
      </w:r>
    </w:p>
    <w:p>
      <w:pPr>
        <w:pageBreakBefore w:val="0"/>
        <w:kinsoku/>
        <w:wordWrap/>
        <w:overflowPunct/>
        <w:topLinePunct w:val="0"/>
        <w:bidi w:val="0"/>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w:t>
      </w:r>
      <w:r>
        <w:rPr>
          <w:rFonts w:hint="eastAsia"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承担省政府公布的有关行政审批事项。</w:t>
      </w:r>
    </w:p>
    <w:p>
      <w:pPr>
        <w:pageBreakBefore w:val="0"/>
        <w:kinsoku/>
        <w:wordWrap/>
        <w:overflowPunct/>
        <w:topLinePunct w:val="0"/>
        <w:bidi w:val="0"/>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w:t>
      </w:r>
      <w:r>
        <w:rPr>
          <w:rFonts w:hint="eastAsia"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承办省政府交办的其他事项。</w:t>
      </w:r>
    </w:p>
    <w:p>
      <w:pPr>
        <w:pageBreakBefore w:val="0"/>
        <w:widowControl/>
        <w:numPr>
          <w:ilvl w:val="0"/>
          <w:numId w:val="0"/>
        </w:numPr>
        <w:kinsoku/>
        <w:wordWrap/>
        <w:overflowPunct/>
        <w:topLinePunct w:val="0"/>
        <w:bidi w:val="0"/>
        <w:adjustRightInd w:val="0"/>
        <w:snapToGrid w:val="0"/>
        <w:spacing w:line="540" w:lineRule="exact"/>
        <w:contextualSpacing/>
        <w:jc w:val="left"/>
        <w:rPr>
          <w:rFonts w:hint="default" w:ascii="Times New Roman" w:hAnsi="Times New Roman" w:eastAsia="仿宋_GB2312" w:cs="Times New Roman"/>
          <w:b w:val="0"/>
          <w:bCs/>
          <w:color w:val="auto"/>
          <w:kern w:val="0"/>
          <w:sz w:val="32"/>
          <w:szCs w:val="32"/>
          <w:highlight w:val="none"/>
          <w:shd w:val="clear" w:color="auto" w:fill="FFFFFF"/>
          <w:lang w:val="zh-CN"/>
        </w:rPr>
      </w:pPr>
      <w:r>
        <w:rPr>
          <w:rFonts w:hint="default" w:ascii="Times New Roman" w:hAnsi="Times New Roman" w:eastAsia="仿宋_GB2312" w:cs="Times New Roman"/>
          <w:b w:val="0"/>
          <w:bCs/>
          <w:color w:val="auto"/>
          <w:kern w:val="0"/>
          <w:sz w:val="32"/>
          <w:szCs w:val="32"/>
          <w:highlight w:val="none"/>
          <w:shd w:val="clear" w:color="auto" w:fill="FFFFFF"/>
          <w:lang w:val="en-US" w:eastAsia="zh-CN"/>
        </w:rPr>
        <w:t xml:space="preserve">   </w:t>
      </w:r>
      <w:r>
        <w:rPr>
          <w:rFonts w:hint="default" w:ascii="Times New Roman" w:hAnsi="Times New Roman" w:eastAsia="楷体_GB2312" w:cs="Times New Roman"/>
          <w:b/>
          <w:bCs w:val="0"/>
          <w:color w:val="auto"/>
          <w:kern w:val="0"/>
          <w:sz w:val="32"/>
          <w:szCs w:val="32"/>
          <w:highlight w:val="none"/>
          <w:shd w:val="clear" w:color="auto" w:fill="FFFFFF"/>
          <w:lang w:val="en-US" w:eastAsia="zh-CN"/>
        </w:rPr>
        <w:t xml:space="preserve"> （三）</w:t>
      </w:r>
      <w:r>
        <w:rPr>
          <w:rFonts w:hint="default" w:ascii="Times New Roman" w:hAnsi="Times New Roman" w:eastAsia="楷体_GB2312" w:cs="Times New Roman"/>
          <w:b/>
          <w:bCs w:val="0"/>
          <w:color w:val="auto"/>
          <w:kern w:val="0"/>
          <w:sz w:val="32"/>
          <w:szCs w:val="32"/>
          <w:highlight w:val="none"/>
          <w:shd w:val="clear" w:color="auto" w:fill="FFFFFF"/>
          <w:lang w:val="zh-CN"/>
        </w:rPr>
        <w:t>人员概况</w:t>
      </w:r>
    </w:p>
    <w:p>
      <w:pPr>
        <w:keepNext w:val="0"/>
        <w:keepLines w:val="0"/>
        <w:pageBreakBefore w:val="0"/>
        <w:kinsoku/>
        <w:wordWrap/>
        <w:overflowPunct/>
        <w:topLinePunct w:val="0"/>
        <w:autoSpaceDE/>
        <w:autoSpaceDN/>
        <w:bidi w:val="0"/>
        <w:snapToGrid w:val="0"/>
        <w:spacing w:line="540" w:lineRule="exact"/>
        <w:ind w:left="0" w:leftChars="0" w:right="0" w:rightChars="0" w:firstLine="640" w:firstLineChars="200"/>
        <w:textAlignment w:val="auto"/>
        <w:outlineLvl w:val="9"/>
        <w:rPr>
          <w:rFonts w:hint="default" w:ascii="Times New Roman" w:hAnsi="Times New Roman" w:eastAsia="仿宋_GB2312" w:cs="Times New Roman"/>
          <w:b w:val="0"/>
          <w:bCs/>
          <w:color w:val="auto"/>
          <w:kern w:val="0"/>
          <w:sz w:val="32"/>
          <w:szCs w:val="32"/>
          <w:highlight w:val="none"/>
          <w:shd w:val="clear" w:color="auto" w:fill="FFFFFF"/>
          <w:lang w:val="zh-CN"/>
        </w:rPr>
      </w:pPr>
      <w:r>
        <w:rPr>
          <w:rFonts w:hint="default" w:ascii="Times New Roman" w:hAnsi="Times New Roman" w:eastAsia="仿宋_GB2312" w:cs="Times New Roman"/>
          <w:color w:val="auto"/>
          <w:sz w:val="32"/>
          <w:szCs w:val="32"/>
          <w:highlight w:val="none"/>
          <w:lang w:val="en-US" w:eastAsia="zh-CN"/>
        </w:rPr>
        <w:t>2020年末，省发展改革委共有编制人数576人；其中行政编制372人，事业编制204人（其中参公管理18人，财政补助171人，经费自理15人）。实有财政供养人数460人，其中：在职人员444人（行政人员333人，参公及事业人员111人），离退休人员16人。</w:t>
      </w:r>
    </w:p>
    <w:p>
      <w:pPr>
        <w:pageBreakBefore w:val="0"/>
        <w:widowControl/>
        <w:kinsoku/>
        <w:wordWrap/>
        <w:overflowPunct/>
        <w:topLinePunct w:val="0"/>
        <w:bidi w:val="0"/>
        <w:adjustRightInd w:val="0"/>
        <w:snapToGrid w:val="0"/>
        <w:spacing w:line="540" w:lineRule="exact"/>
        <w:ind w:firstLine="640" w:firstLineChars="200"/>
        <w:contextualSpacing/>
        <w:jc w:val="left"/>
        <w:rPr>
          <w:rFonts w:hint="default" w:ascii="Times New Roman" w:hAnsi="Times New Roman" w:eastAsia="黑体" w:cs="Times New Roman"/>
          <w:b w:val="0"/>
          <w:bCs/>
          <w:color w:val="auto"/>
          <w:kern w:val="0"/>
          <w:sz w:val="32"/>
          <w:szCs w:val="32"/>
          <w:highlight w:val="none"/>
          <w:shd w:val="clear" w:color="auto" w:fill="FFFFFF"/>
        </w:rPr>
      </w:pPr>
      <w:r>
        <w:rPr>
          <w:rFonts w:hint="default" w:ascii="Times New Roman" w:hAnsi="Times New Roman" w:eastAsia="黑体" w:cs="Times New Roman"/>
          <w:b w:val="0"/>
          <w:bCs/>
          <w:color w:val="auto"/>
          <w:kern w:val="0"/>
          <w:sz w:val="32"/>
          <w:szCs w:val="32"/>
          <w:highlight w:val="none"/>
          <w:shd w:val="clear" w:color="auto" w:fill="FFFFFF"/>
        </w:rPr>
        <w:t>二、部门财政资金收支情况</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contextualSpacing/>
        <w:jc w:val="left"/>
        <w:textAlignment w:val="auto"/>
        <w:outlineLvl w:val="9"/>
        <w:rPr>
          <w:rFonts w:hint="default" w:ascii="Times New Roman" w:hAnsi="Times New Roman" w:eastAsia="楷体_GB2312" w:cs="Times New Roman"/>
          <w:b/>
          <w:bCs/>
          <w:color w:val="auto"/>
          <w:kern w:val="0"/>
          <w:sz w:val="32"/>
          <w:szCs w:val="32"/>
          <w:highlight w:val="none"/>
          <w:shd w:val="clear" w:color="auto" w:fill="FFFFFF"/>
          <w:lang w:val="zh-CN"/>
        </w:rPr>
      </w:pPr>
      <w:r>
        <w:rPr>
          <w:rFonts w:hint="default" w:ascii="Times New Roman" w:hAnsi="Times New Roman" w:eastAsia="楷体_GB2312" w:cs="Times New Roman"/>
          <w:b/>
          <w:bCs/>
          <w:color w:val="auto"/>
          <w:kern w:val="0"/>
          <w:sz w:val="32"/>
          <w:szCs w:val="32"/>
          <w:highlight w:val="none"/>
          <w:shd w:val="clear" w:color="auto" w:fill="FFFFFF"/>
          <w:lang w:val="zh-CN"/>
        </w:rPr>
        <w:t>（一）部门财政资金收入情况</w:t>
      </w:r>
    </w:p>
    <w:p>
      <w:pPr>
        <w:keepNext w:val="0"/>
        <w:keepLines w:val="0"/>
        <w:pageBreakBefore w:val="0"/>
        <w:kinsoku/>
        <w:wordWrap/>
        <w:overflowPunct/>
        <w:topLinePunct w:val="0"/>
        <w:autoSpaceDE/>
        <w:autoSpaceDN/>
        <w:bidi w:val="0"/>
        <w:snapToGrid w:val="0"/>
        <w:spacing w:line="54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2020年，省发展改革委财政拨款收入18145.36万元，全部为一般公共预算收入，占本年收入91.47%。</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contextualSpacing/>
        <w:jc w:val="left"/>
        <w:textAlignment w:val="auto"/>
        <w:outlineLvl w:val="9"/>
        <w:rPr>
          <w:rFonts w:hint="default" w:ascii="Times New Roman" w:hAnsi="Times New Roman" w:eastAsia="楷体_GB2312" w:cs="Times New Roman"/>
          <w:b/>
          <w:bCs/>
          <w:color w:val="auto"/>
          <w:kern w:val="0"/>
          <w:sz w:val="32"/>
          <w:szCs w:val="32"/>
          <w:highlight w:val="none"/>
          <w:shd w:val="clear" w:color="auto" w:fill="FFFFFF"/>
          <w:lang w:val="zh-CN"/>
        </w:rPr>
      </w:pPr>
      <w:r>
        <w:rPr>
          <w:rFonts w:hint="default" w:ascii="Times New Roman" w:hAnsi="Times New Roman" w:eastAsia="楷体_GB2312" w:cs="Times New Roman"/>
          <w:b/>
          <w:bCs/>
          <w:color w:val="auto"/>
          <w:kern w:val="0"/>
          <w:sz w:val="32"/>
          <w:szCs w:val="32"/>
          <w:highlight w:val="none"/>
          <w:shd w:val="clear" w:color="auto" w:fill="FFFFFF"/>
          <w:lang w:val="zh-CN"/>
        </w:rPr>
        <w:t>（二）部门财政资金支出情况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contextualSpacing/>
        <w:jc w:val="left"/>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cs="Times New Roman"/>
          <w:color w:val="auto"/>
          <w:kern w:val="0"/>
          <w:sz w:val="32"/>
          <w:szCs w:val="32"/>
          <w:highlight w:val="none"/>
          <w:shd w:val="clear" w:color="auto" w:fill="FFFFFF"/>
          <w:lang w:val="en-US" w:eastAsia="zh-CN"/>
        </w:rPr>
        <w:t xml:space="preserve">   </w:t>
      </w:r>
      <w:r>
        <w:rPr>
          <w:rFonts w:hint="default" w:ascii="Times New Roman" w:hAnsi="Times New Roman" w:eastAsia="仿宋_GB2312" w:cs="Times New Roman"/>
          <w:color w:val="auto"/>
          <w:sz w:val="32"/>
          <w:szCs w:val="32"/>
          <w:highlight w:val="none"/>
          <w:lang w:val="en-US" w:eastAsia="zh-CN"/>
        </w:rPr>
        <w:t xml:space="preserve"> 2020年，省发展改革委财政拨款支出18145.36万元，占本年支出90.78%。其中，基本支出12646.22万元，项目支出5499.14万元。按经济支出分类：工资福利支出7925.59万元，商品和服务支出5905.65万元，对个人和家庭的补助支出1431.13万元，资本性支出2807.6万元。 </w:t>
      </w:r>
    </w:p>
    <w:p>
      <w:pPr>
        <w:pageBreakBefore w:val="0"/>
        <w:widowControl/>
        <w:kinsoku/>
        <w:wordWrap/>
        <w:overflowPunct/>
        <w:topLinePunct w:val="0"/>
        <w:bidi w:val="0"/>
        <w:adjustRightInd w:val="0"/>
        <w:snapToGrid w:val="0"/>
        <w:spacing w:line="540" w:lineRule="exact"/>
        <w:ind w:firstLine="640" w:firstLineChars="200"/>
        <w:contextualSpacing/>
        <w:jc w:val="left"/>
        <w:rPr>
          <w:rFonts w:hint="default" w:ascii="Times New Roman" w:hAnsi="Times New Roman" w:eastAsia="黑体" w:cs="Times New Roman"/>
          <w:b w:val="0"/>
          <w:bCs/>
          <w:color w:val="auto"/>
          <w:kern w:val="0"/>
          <w:sz w:val="32"/>
          <w:szCs w:val="32"/>
          <w:highlight w:val="none"/>
          <w:shd w:val="clear" w:color="auto" w:fill="FFFFFF"/>
        </w:rPr>
      </w:pPr>
      <w:r>
        <w:rPr>
          <w:rFonts w:hint="default" w:ascii="Times New Roman" w:hAnsi="Times New Roman" w:eastAsia="黑体" w:cs="Times New Roman"/>
          <w:b w:val="0"/>
          <w:bCs/>
          <w:color w:val="auto"/>
          <w:kern w:val="0"/>
          <w:sz w:val="32"/>
          <w:szCs w:val="32"/>
          <w:highlight w:val="none"/>
          <w:shd w:val="clear" w:color="auto" w:fill="FFFFFF"/>
        </w:rPr>
        <w:t>三、部门整体预算绩效管理情况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2"/>
        <w:contextualSpacing/>
        <w:jc w:val="left"/>
        <w:textAlignment w:val="auto"/>
        <w:outlineLvl w:val="9"/>
        <w:rPr>
          <w:rFonts w:hint="default" w:ascii="Times New Roman" w:hAnsi="Times New Roman" w:eastAsia="楷体_GB2312" w:cs="Times New Roman"/>
          <w:b/>
          <w:bCs/>
          <w:color w:val="auto"/>
          <w:kern w:val="0"/>
          <w:sz w:val="32"/>
          <w:szCs w:val="32"/>
          <w:highlight w:val="none"/>
          <w:shd w:val="clear" w:color="auto" w:fill="FFFFFF"/>
          <w:lang w:val="zh-CN"/>
        </w:rPr>
      </w:pPr>
      <w:r>
        <w:rPr>
          <w:rFonts w:hint="default" w:ascii="Times New Roman" w:hAnsi="Times New Roman" w:eastAsia="楷体_GB2312" w:cs="Times New Roman"/>
          <w:b/>
          <w:bCs/>
          <w:color w:val="auto"/>
          <w:kern w:val="0"/>
          <w:sz w:val="32"/>
          <w:szCs w:val="32"/>
          <w:highlight w:val="none"/>
          <w:shd w:val="clear" w:color="auto" w:fill="FFFFFF"/>
          <w:lang w:val="zh-CN"/>
        </w:rPr>
        <w:t>（一）部门预算管理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2"/>
        <w:contextualSpacing/>
        <w:jc w:val="left"/>
        <w:textAlignment w:val="auto"/>
        <w:outlineLvl w:val="9"/>
        <w:rPr>
          <w:rFonts w:hint="default" w:ascii="Times New Roman" w:hAnsi="Times New Roman" w:eastAsia="仿宋_GB2312" w:cs="Times New Roman"/>
          <w:color w:val="auto"/>
          <w:kern w:val="0"/>
          <w:sz w:val="32"/>
          <w:szCs w:val="32"/>
          <w:highlight w:val="none"/>
          <w:shd w:val="clear" w:color="auto" w:fill="FFFFFF"/>
          <w:lang w:val="zh-CN"/>
        </w:rPr>
      </w:pPr>
      <w:r>
        <w:rPr>
          <w:rFonts w:hint="default" w:ascii="Times New Roman" w:hAnsi="Times New Roman" w:eastAsia="仿宋_GB2312" w:cs="Times New Roman"/>
          <w:b/>
          <w:bCs/>
          <w:color w:val="auto"/>
          <w:kern w:val="0"/>
          <w:sz w:val="32"/>
          <w:szCs w:val="32"/>
          <w:highlight w:val="none"/>
          <w:shd w:val="clear" w:color="auto" w:fill="FFFFFF"/>
          <w:lang w:val="en-US" w:eastAsia="zh-CN"/>
        </w:rPr>
        <w:t>1.部门绩效目标制定。</w:t>
      </w:r>
      <w:r>
        <w:rPr>
          <w:rFonts w:hint="default" w:ascii="Times New Roman" w:hAnsi="Times New Roman" w:eastAsia="仿宋_GB2312" w:cs="Times New Roman"/>
          <w:color w:val="auto"/>
          <w:kern w:val="0"/>
          <w:sz w:val="32"/>
          <w:szCs w:val="32"/>
          <w:highlight w:val="none"/>
          <w:shd w:val="clear" w:color="auto" w:fill="FFFFFF"/>
          <w:lang w:val="en-US" w:eastAsia="zh-CN"/>
        </w:rPr>
        <w:t>我委</w:t>
      </w:r>
      <w:r>
        <w:rPr>
          <w:rFonts w:hint="default" w:ascii="Times New Roman" w:hAnsi="Times New Roman" w:eastAsia="仿宋_GB2312" w:cs="Times New Roman"/>
          <w:color w:val="auto"/>
          <w:kern w:val="0"/>
          <w:sz w:val="32"/>
          <w:szCs w:val="32"/>
          <w:highlight w:val="none"/>
          <w:shd w:val="clear" w:color="auto" w:fill="FFFFFF"/>
          <w:lang w:val="zh-CN"/>
        </w:rPr>
        <w:t>严格</w:t>
      </w:r>
      <w:r>
        <w:rPr>
          <w:rFonts w:hint="default" w:ascii="Times New Roman" w:hAnsi="Times New Roman" w:eastAsia="仿宋_GB2312" w:cs="Times New Roman"/>
          <w:color w:val="auto"/>
          <w:sz w:val="32"/>
          <w:szCs w:val="32"/>
          <w:highlight w:val="none"/>
        </w:rPr>
        <w:t>落实省委</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省政府各项决策部署</w:t>
      </w:r>
      <w:r>
        <w:rPr>
          <w:rFonts w:hint="default" w:ascii="Times New Roman" w:hAnsi="Times New Roman" w:eastAsia="仿宋_GB2312" w:cs="Times New Roman"/>
          <w:color w:val="auto"/>
          <w:kern w:val="0"/>
          <w:sz w:val="32"/>
          <w:szCs w:val="32"/>
          <w:highlight w:val="none"/>
          <w:shd w:val="clear" w:color="auto" w:fill="FFFFFF"/>
          <w:lang w:val="zh-CN"/>
        </w:rPr>
        <w:t>，结合</w:t>
      </w:r>
      <w:r>
        <w:rPr>
          <w:rFonts w:hint="default" w:ascii="Times New Roman" w:hAnsi="Times New Roman" w:eastAsia="仿宋_GB2312" w:cs="Times New Roman"/>
          <w:color w:val="auto"/>
          <w:kern w:val="0"/>
          <w:sz w:val="32"/>
          <w:szCs w:val="32"/>
          <w:highlight w:val="none"/>
          <w:shd w:val="clear" w:color="auto" w:fill="FFFFFF"/>
          <w:lang w:val="en-US" w:eastAsia="zh-CN"/>
        </w:rPr>
        <w:t>2020年度计划任务，科学制定</w:t>
      </w:r>
      <w:r>
        <w:rPr>
          <w:rFonts w:hint="default" w:ascii="Times New Roman" w:hAnsi="Times New Roman" w:eastAsia="仿宋_GB2312" w:cs="Times New Roman"/>
          <w:color w:val="auto"/>
          <w:kern w:val="0"/>
          <w:sz w:val="32"/>
          <w:szCs w:val="32"/>
          <w:highlight w:val="none"/>
          <w:shd w:val="clear" w:color="auto" w:fill="FFFFFF"/>
          <w:lang w:val="zh-CN"/>
        </w:rPr>
        <w:t>部门整体预算绩效目标。整体绩效目标符合中长期规划，切合当前实际，在全面反映年度主要目标任务基础上，细化、量化了成果和效益指标，绩效目标监控和考核具有科学性、合理性和可操作性。同时，按部门预算编制要求，</w:t>
      </w:r>
      <w:r>
        <w:rPr>
          <w:rFonts w:hint="default" w:ascii="Times New Roman" w:hAnsi="Times New Roman" w:eastAsia="仿宋_GB2312" w:cs="Times New Roman"/>
          <w:color w:val="auto"/>
          <w:sz w:val="32"/>
          <w:szCs w:val="32"/>
          <w:highlight w:val="none"/>
        </w:rPr>
        <w:t>100万元以上的项目</w:t>
      </w:r>
      <w:r>
        <w:rPr>
          <w:rFonts w:hint="default" w:ascii="Times New Roman" w:hAnsi="Times New Roman" w:eastAsia="仿宋_GB2312" w:cs="Times New Roman"/>
          <w:color w:val="auto"/>
          <w:sz w:val="32"/>
          <w:szCs w:val="32"/>
          <w:highlight w:val="none"/>
          <w:lang w:eastAsia="zh-CN"/>
        </w:rPr>
        <w:t>均编制了</w:t>
      </w:r>
      <w:r>
        <w:rPr>
          <w:rFonts w:hint="default" w:ascii="Times New Roman" w:hAnsi="Times New Roman" w:eastAsia="仿宋_GB2312" w:cs="Times New Roman"/>
          <w:color w:val="auto"/>
          <w:kern w:val="0"/>
          <w:sz w:val="32"/>
          <w:szCs w:val="32"/>
          <w:highlight w:val="none"/>
          <w:shd w:val="clear" w:color="auto" w:fill="FFFFFF"/>
          <w:lang w:val="zh-CN"/>
        </w:rPr>
        <w:t>项目绩效目标，纳入绩效管理体系。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contextualSpacing/>
        <w:jc w:val="left"/>
        <w:textAlignment w:val="auto"/>
        <w:outlineLvl w:val="9"/>
        <w:rPr>
          <w:rFonts w:hint="default" w:ascii="Times New Roman" w:hAnsi="Times New Roman" w:eastAsia="仿宋_GB2312" w:cs="Times New Roman"/>
          <w:color w:val="auto"/>
          <w:kern w:val="0"/>
          <w:sz w:val="32"/>
          <w:szCs w:val="32"/>
          <w:highlight w:val="none"/>
          <w:shd w:val="clear" w:color="auto" w:fill="FFFFFF"/>
          <w:lang w:val="en-US" w:eastAsia="zh-CN"/>
        </w:rPr>
      </w:pPr>
      <w:r>
        <w:rPr>
          <w:rFonts w:hint="default" w:ascii="Times New Roman" w:hAnsi="Times New Roman" w:eastAsia="仿宋_GB2312" w:cs="Times New Roman"/>
          <w:color w:val="auto"/>
          <w:kern w:val="0"/>
          <w:sz w:val="32"/>
          <w:szCs w:val="32"/>
          <w:highlight w:val="none"/>
          <w:shd w:val="clear" w:color="auto" w:fill="FFFFFF"/>
          <w:lang w:val="en-US" w:eastAsia="zh-CN"/>
        </w:rPr>
        <w:t>该项分值4分，自评得分4分。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contextualSpacing/>
        <w:jc w:val="left"/>
        <w:textAlignment w:val="auto"/>
        <w:outlineLvl w:val="9"/>
        <w:rPr>
          <w:rFonts w:hint="default" w:ascii="Times New Roman" w:hAnsi="Times New Roman" w:eastAsia="仿宋_GB2312" w:cs="Times New Roman"/>
          <w:color w:val="auto"/>
          <w:kern w:val="0"/>
          <w:sz w:val="32"/>
          <w:szCs w:val="32"/>
          <w:highlight w:val="none"/>
          <w:shd w:val="clear" w:color="auto" w:fill="FFFFFF"/>
          <w:lang w:val="zh-CN"/>
        </w:rPr>
      </w:pPr>
      <w:r>
        <w:rPr>
          <w:rFonts w:hint="default" w:ascii="Times New Roman" w:hAnsi="Times New Roman" w:eastAsia="仿宋_GB2312" w:cs="Times New Roman"/>
          <w:b/>
          <w:bCs/>
          <w:color w:val="auto"/>
          <w:kern w:val="0"/>
          <w:sz w:val="32"/>
          <w:szCs w:val="32"/>
          <w:highlight w:val="none"/>
          <w:shd w:val="clear" w:color="auto" w:fill="FFFFFF"/>
          <w:lang w:val="en-US" w:eastAsia="zh-CN"/>
        </w:rPr>
        <w:t xml:space="preserve">    2.</w:t>
      </w:r>
      <w:r>
        <w:rPr>
          <w:rFonts w:hint="default" w:ascii="Times New Roman" w:hAnsi="Times New Roman" w:eastAsia="仿宋_GB2312" w:cs="Times New Roman"/>
          <w:b/>
          <w:bCs/>
          <w:color w:val="auto"/>
          <w:kern w:val="0"/>
          <w:sz w:val="32"/>
          <w:szCs w:val="32"/>
          <w:highlight w:val="none"/>
          <w:shd w:val="clear" w:color="auto" w:fill="FFFFFF"/>
          <w:lang w:val="zh-CN"/>
        </w:rPr>
        <w:t>目标实现。</w:t>
      </w:r>
      <w:r>
        <w:rPr>
          <w:rFonts w:hint="default" w:ascii="Times New Roman" w:hAnsi="Times New Roman" w:eastAsia="仿宋_GB2312" w:cs="Times New Roman"/>
          <w:color w:val="auto"/>
          <w:kern w:val="0"/>
          <w:sz w:val="32"/>
          <w:szCs w:val="32"/>
          <w:highlight w:val="none"/>
          <w:shd w:val="clear" w:color="auto" w:fill="FFFFFF"/>
          <w:lang w:val="en-US" w:eastAsia="zh-CN"/>
        </w:rPr>
        <w:t>2020年纳入绩效目标自评5个，数量指标17个。其中：委机关办公用房维护专项资金（上年结转）207.81万元，数量指标9个；日元贷款还本付息经费400万元，数量指标3个；2019年四川省营商环境评价350万元，数量指标2个；“十四五”规划前期工作专项经费400万元，数量指标2个；四川省易地扶贫搬迁购买服务费485万元，数量指标1个。其中12个数量指标达到预期，且未超过预期指标30%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contextualSpacing/>
        <w:jc w:val="left"/>
        <w:textAlignment w:val="auto"/>
        <w:outlineLvl w:val="9"/>
        <w:rPr>
          <w:rFonts w:hint="default" w:ascii="Times New Roman" w:hAnsi="Times New Roman" w:eastAsia="仿宋_GB2312" w:cs="Times New Roman"/>
          <w:color w:val="auto"/>
          <w:kern w:val="0"/>
          <w:sz w:val="32"/>
          <w:szCs w:val="32"/>
          <w:highlight w:val="none"/>
          <w:shd w:val="clear" w:color="auto" w:fill="FFFFFF"/>
          <w:lang w:val="en-US" w:eastAsia="zh-CN"/>
        </w:rPr>
      </w:pPr>
      <w:r>
        <w:rPr>
          <w:rFonts w:hint="default" w:ascii="Times New Roman" w:hAnsi="Times New Roman" w:eastAsia="仿宋_GB2312" w:cs="Times New Roman"/>
          <w:color w:val="auto"/>
          <w:kern w:val="0"/>
          <w:sz w:val="32"/>
          <w:szCs w:val="32"/>
          <w:highlight w:val="none"/>
          <w:shd w:val="clear" w:color="auto" w:fill="FFFFFF"/>
          <w:lang w:val="en-US" w:eastAsia="zh-CN"/>
        </w:rPr>
        <w:t>该项分值4分，经计算，自评得分2.82分。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contextualSpacing/>
        <w:jc w:val="left"/>
        <w:textAlignment w:val="auto"/>
        <w:outlineLvl w:val="9"/>
        <w:rPr>
          <w:rFonts w:hint="default" w:ascii="Times New Roman" w:hAnsi="Times New Roman" w:eastAsia="仿宋_GB2312" w:cs="Times New Roman"/>
          <w:color w:val="auto"/>
          <w:kern w:val="0"/>
          <w:sz w:val="32"/>
          <w:szCs w:val="32"/>
          <w:highlight w:val="none"/>
          <w:shd w:val="clear" w:color="auto" w:fill="FFFFFF"/>
          <w:lang w:val="zh-CN"/>
        </w:rPr>
      </w:pPr>
      <w:r>
        <w:rPr>
          <w:rFonts w:hint="default" w:ascii="Times New Roman" w:hAnsi="Times New Roman" w:eastAsia="仿宋_GB2312" w:cs="Times New Roman"/>
          <w:b/>
          <w:bCs/>
          <w:color w:val="auto"/>
          <w:kern w:val="0"/>
          <w:sz w:val="32"/>
          <w:szCs w:val="32"/>
          <w:highlight w:val="none"/>
          <w:shd w:val="clear" w:color="auto" w:fill="FFFFFF"/>
          <w:lang w:val="en-US" w:eastAsia="zh-CN"/>
        </w:rPr>
        <w:t xml:space="preserve">    </w:t>
      </w:r>
      <w:r>
        <w:rPr>
          <w:rFonts w:hint="default" w:ascii="Times New Roman" w:hAnsi="Times New Roman" w:eastAsia="仿宋_GB2312" w:cs="Times New Roman"/>
          <w:color w:val="auto"/>
          <w:kern w:val="0"/>
          <w:sz w:val="32"/>
          <w:szCs w:val="32"/>
          <w:highlight w:val="none"/>
          <w:shd w:val="clear" w:color="auto" w:fill="FFFFFF"/>
          <w:lang w:val="en-US" w:eastAsia="zh-CN"/>
        </w:rPr>
        <w:t>3.</w:t>
      </w:r>
      <w:r>
        <w:rPr>
          <w:rFonts w:hint="default" w:ascii="Times New Roman" w:hAnsi="Times New Roman" w:eastAsia="仿宋_GB2312" w:cs="Times New Roman"/>
          <w:b/>
          <w:bCs/>
          <w:color w:val="auto"/>
          <w:kern w:val="0"/>
          <w:sz w:val="32"/>
          <w:szCs w:val="32"/>
          <w:highlight w:val="none"/>
          <w:shd w:val="clear" w:color="auto" w:fill="FFFFFF"/>
          <w:lang w:val="zh-CN" w:eastAsia="zh-CN"/>
        </w:rPr>
        <w:t>编制准确</w:t>
      </w:r>
      <w:r>
        <w:rPr>
          <w:rFonts w:hint="default" w:ascii="Times New Roman" w:hAnsi="Times New Roman" w:eastAsia="仿宋_GB2312" w:cs="Times New Roman"/>
          <w:b/>
          <w:bCs/>
          <w:color w:val="auto"/>
          <w:kern w:val="0"/>
          <w:sz w:val="32"/>
          <w:szCs w:val="32"/>
          <w:highlight w:val="none"/>
          <w:shd w:val="clear" w:color="auto" w:fill="FFFFFF"/>
          <w:lang w:val="en-US" w:eastAsia="zh-CN"/>
        </w:rPr>
        <w:t>。</w:t>
      </w:r>
      <w:r>
        <w:rPr>
          <w:rFonts w:hint="default" w:ascii="Times New Roman" w:hAnsi="Times New Roman" w:eastAsia="仿宋_GB2312" w:cs="Times New Roman"/>
          <w:b w:val="0"/>
          <w:bCs w:val="0"/>
          <w:color w:val="auto"/>
          <w:kern w:val="0"/>
          <w:sz w:val="32"/>
          <w:szCs w:val="32"/>
          <w:highlight w:val="none"/>
          <w:shd w:val="clear" w:color="auto" w:fill="FFFFFF"/>
          <w:lang w:val="en-US" w:eastAsia="zh-CN"/>
        </w:rPr>
        <w:t>2020</w:t>
      </w:r>
      <w:r>
        <w:rPr>
          <w:rFonts w:hint="default" w:ascii="Times New Roman" w:hAnsi="Times New Roman" w:eastAsia="仿宋_GB2312" w:cs="Times New Roman"/>
          <w:color w:val="auto"/>
          <w:kern w:val="0"/>
          <w:sz w:val="32"/>
          <w:szCs w:val="32"/>
          <w:highlight w:val="none"/>
          <w:shd w:val="clear" w:color="auto" w:fill="FFFFFF"/>
          <w:lang w:val="en-US" w:eastAsia="zh-CN"/>
        </w:rPr>
        <w:t>年我委年初部门预算数15859.67万元，调整预算数23914.93万元，全年调整预算8055.26万元，扣除上年结转650万元、省级预算内基本建设资金和科研资金2640.5万元、财政政策性调整1961.31万元，实际调整预算565万元。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contextualSpacing/>
        <w:jc w:val="left"/>
        <w:textAlignment w:val="auto"/>
        <w:outlineLvl w:val="9"/>
        <w:rPr>
          <w:rFonts w:hint="default" w:ascii="Times New Roman" w:hAnsi="Times New Roman" w:eastAsia="仿宋_GB2312" w:cs="Times New Roman"/>
          <w:color w:val="auto"/>
          <w:kern w:val="0"/>
          <w:sz w:val="32"/>
          <w:szCs w:val="32"/>
          <w:highlight w:val="none"/>
          <w:shd w:val="clear" w:color="auto" w:fill="FFFFFF"/>
          <w:lang w:val="en-US" w:eastAsia="zh-CN"/>
        </w:rPr>
      </w:pPr>
      <w:r>
        <w:rPr>
          <w:rFonts w:hint="default" w:ascii="Times New Roman" w:hAnsi="Times New Roman" w:eastAsia="仿宋_GB2312" w:cs="Times New Roman"/>
          <w:color w:val="auto"/>
          <w:kern w:val="0"/>
          <w:sz w:val="32"/>
          <w:szCs w:val="32"/>
          <w:highlight w:val="none"/>
          <w:shd w:val="clear" w:color="auto" w:fill="FFFFFF"/>
          <w:lang w:val="en-US" w:eastAsia="zh-CN"/>
        </w:rPr>
        <w:t>该项分值2分，经计算，自评得分1.29分。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contextualSpacing/>
        <w:jc w:val="left"/>
        <w:textAlignment w:val="auto"/>
        <w:outlineLvl w:val="9"/>
        <w:rPr>
          <w:rFonts w:hint="default" w:ascii="Times New Roman" w:hAnsi="Times New Roman" w:eastAsia="仿宋_GB2312" w:cs="Times New Roman"/>
          <w:color w:val="auto"/>
          <w:kern w:val="0"/>
          <w:sz w:val="32"/>
          <w:szCs w:val="32"/>
          <w:highlight w:val="none"/>
          <w:shd w:val="clear" w:color="auto" w:fill="FFFFFF"/>
          <w:lang w:val="en-US" w:eastAsia="zh-CN"/>
        </w:rPr>
      </w:pPr>
      <w:r>
        <w:rPr>
          <w:rFonts w:hint="default" w:ascii="Times New Roman" w:hAnsi="Times New Roman" w:eastAsia="仿宋_GB2312" w:cs="Times New Roman"/>
          <w:color w:val="auto"/>
          <w:kern w:val="0"/>
          <w:sz w:val="32"/>
          <w:szCs w:val="32"/>
          <w:highlight w:val="none"/>
          <w:shd w:val="clear" w:color="auto" w:fill="FFFFFF"/>
          <w:lang w:val="en-US" w:eastAsia="zh-CN"/>
        </w:rPr>
        <w:t xml:space="preserve">   </w:t>
      </w:r>
      <w:r>
        <w:rPr>
          <w:rFonts w:hint="default" w:ascii="Times New Roman" w:hAnsi="Times New Roman" w:eastAsia="仿宋_GB2312" w:cs="Times New Roman"/>
          <w:b/>
          <w:bCs/>
          <w:color w:val="auto"/>
          <w:kern w:val="0"/>
          <w:sz w:val="32"/>
          <w:szCs w:val="32"/>
          <w:highlight w:val="none"/>
          <w:shd w:val="clear" w:color="auto" w:fill="FFFFFF"/>
          <w:lang w:val="en-US" w:eastAsia="zh-CN"/>
        </w:rPr>
        <w:t xml:space="preserve"> 4.支出控制。</w:t>
      </w:r>
      <w:r>
        <w:rPr>
          <w:rFonts w:hint="default" w:ascii="Times New Roman" w:hAnsi="Times New Roman" w:eastAsia="仿宋_GB2312" w:cs="Times New Roman"/>
          <w:color w:val="auto"/>
          <w:kern w:val="0"/>
          <w:sz w:val="32"/>
          <w:szCs w:val="32"/>
          <w:highlight w:val="none"/>
          <w:shd w:val="clear" w:color="auto" w:fill="FFFFFF"/>
          <w:lang w:val="en-US" w:eastAsia="zh-CN"/>
        </w:rPr>
        <w:t>委机关及下属单位日常公用经费、项目支出中“办公费、印刷费、水费、电费、物业管理费”科目年初预算总额为1073.81万元，实际决算支出总额为1040.98万元，预决算差异率3.06%。</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contextualSpacing/>
        <w:jc w:val="left"/>
        <w:textAlignment w:val="auto"/>
        <w:outlineLvl w:val="9"/>
        <w:rPr>
          <w:rFonts w:hint="default" w:ascii="Times New Roman" w:hAnsi="Times New Roman" w:eastAsia="仿宋_GB2312" w:cs="Times New Roman"/>
          <w:color w:val="auto"/>
          <w:kern w:val="0"/>
          <w:sz w:val="32"/>
          <w:szCs w:val="32"/>
          <w:highlight w:val="none"/>
          <w:shd w:val="clear" w:color="auto" w:fill="FFFFFF"/>
          <w:lang w:val="en-US" w:eastAsia="zh-CN"/>
        </w:rPr>
      </w:pPr>
      <w:r>
        <w:rPr>
          <w:rFonts w:hint="default" w:ascii="Times New Roman" w:hAnsi="Times New Roman" w:eastAsia="仿宋_GB2312" w:cs="Times New Roman"/>
          <w:color w:val="auto"/>
          <w:kern w:val="0"/>
          <w:sz w:val="32"/>
          <w:szCs w:val="32"/>
          <w:highlight w:val="none"/>
          <w:shd w:val="clear" w:color="auto" w:fill="FFFFFF"/>
          <w:lang w:val="en-US" w:eastAsia="zh-CN"/>
        </w:rPr>
        <w:t>该项分值4分，经计算，自评得分4分。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contextualSpacing/>
        <w:jc w:val="left"/>
        <w:textAlignment w:val="auto"/>
        <w:outlineLvl w:val="9"/>
        <w:rPr>
          <w:rFonts w:hint="default" w:ascii="Times New Roman" w:hAnsi="Times New Roman" w:eastAsia="仿宋_GB2312" w:cs="Times New Roman"/>
          <w:color w:val="auto"/>
          <w:kern w:val="0"/>
          <w:sz w:val="32"/>
          <w:szCs w:val="32"/>
          <w:highlight w:val="none"/>
          <w:shd w:val="clear" w:color="auto" w:fill="FFFFFF"/>
          <w:lang w:val="en-US" w:eastAsia="zh-CN"/>
        </w:rPr>
      </w:pPr>
      <w:r>
        <w:rPr>
          <w:rFonts w:hint="default" w:ascii="Times New Roman" w:hAnsi="Times New Roman" w:eastAsia="仿宋_GB2312" w:cs="Times New Roman"/>
          <w:color w:val="auto"/>
          <w:kern w:val="0"/>
          <w:sz w:val="32"/>
          <w:szCs w:val="32"/>
          <w:highlight w:val="none"/>
          <w:shd w:val="clear" w:color="auto" w:fill="FFFFFF"/>
          <w:lang w:val="en-US" w:eastAsia="zh-CN"/>
        </w:rPr>
        <w:t xml:space="preserve">    5</w:t>
      </w:r>
      <w:r>
        <w:rPr>
          <w:rFonts w:hint="default" w:ascii="Times New Roman" w:hAnsi="Times New Roman" w:eastAsia="仿宋_GB2312" w:cs="Times New Roman"/>
          <w:b/>
          <w:bCs/>
          <w:color w:val="auto"/>
          <w:kern w:val="0"/>
          <w:sz w:val="32"/>
          <w:szCs w:val="32"/>
          <w:highlight w:val="none"/>
          <w:shd w:val="clear" w:color="auto" w:fill="FFFFFF"/>
          <w:lang w:val="en-US" w:eastAsia="zh-CN"/>
        </w:rPr>
        <w:t>.预算动态调整。</w:t>
      </w:r>
      <w:r>
        <w:rPr>
          <w:rFonts w:hint="default" w:ascii="Times New Roman" w:hAnsi="Times New Roman" w:eastAsia="仿宋_GB2312" w:cs="Times New Roman"/>
          <w:color w:val="auto"/>
          <w:kern w:val="0"/>
          <w:sz w:val="32"/>
          <w:szCs w:val="32"/>
          <w:highlight w:val="none"/>
          <w:shd w:val="clear" w:color="auto" w:fill="FFFFFF"/>
          <w:lang w:val="en-US" w:eastAsia="zh-CN"/>
        </w:rPr>
        <w:t>2020年末，我委财政预算结余注销额852.18万元，主要为人员经费和任务已完成的专项经费结余。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contextualSpacing/>
        <w:jc w:val="left"/>
        <w:textAlignment w:val="auto"/>
        <w:outlineLvl w:val="9"/>
        <w:rPr>
          <w:rFonts w:hint="default" w:ascii="Times New Roman" w:hAnsi="Times New Roman" w:eastAsia="仿宋_GB2312" w:cs="Times New Roman"/>
          <w:color w:val="auto"/>
          <w:kern w:val="0"/>
          <w:sz w:val="32"/>
          <w:szCs w:val="32"/>
          <w:highlight w:val="none"/>
          <w:shd w:val="clear" w:color="auto" w:fill="FFFFFF"/>
          <w:lang w:val="en-US" w:eastAsia="zh-CN"/>
        </w:rPr>
      </w:pPr>
      <w:r>
        <w:rPr>
          <w:rFonts w:hint="default" w:ascii="Times New Roman" w:hAnsi="Times New Roman" w:eastAsia="仿宋_GB2312" w:cs="Times New Roman"/>
          <w:color w:val="auto"/>
          <w:kern w:val="0"/>
          <w:sz w:val="32"/>
          <w:szCs w:val="32"/>
          <w:highlight w:val="none"/>
          <w:shd w:val="clear" w:color="auto" w:fill="FFFFFF"/>
          <w:lang w:val="en-US" w:eastAsia="zh-CN"/>
        </w:rPr>
        <w:t>该项分值2分，经计算，自评得分1.29分。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contextualSpacing/>
        <w:jc w:val="left"/>
        <w:textAlignment w:val="auto"/>
        <w:outlineLvl w:val="9"/>
        <w:rPr>
          <w:rFonts w:hint="default" w:ascii="Times New Roman" w:hAnsi="Times New Roman" w:eastAsia="仿宋_GB2312" w:cs="Times New Roman"/>
          <w:color w:val="auto"/>
          <w:kern w:val="0"/>
          <w:sz w:val="32"/>
          <w:szCs w:val="32"/>
          <w:highlight w:val="none"/>
          <w:shd w:val="clear" w:color="auto" w:fill="FFFFFF"/>
          <w:lang w:val="en-US" w:eastAsia="zh-CN"/>
        </w:rPr>
      </w:pPr>
      <w:r>
        <w:rPr>
          <w:rFonts w:hint="default" w:ascii="Times New Roman" w:hAnsi="Times New Roman" w:eastAsia="仿宋_GB2312" w:cs="Times New Roman"/>
          <w:color w:val="auto"/>
          <w:kern w:val="0"/>
          <w:sz w:val="32"/>
          <w:szCs w:val="32"/>
          <w:highlight w:val="none"/>
          <w:shd w:val="clear" w:color="auto" w:fill="FFFFFF"/>
          <w:lang w:val="en-US" w:eastAsia="zh-CN"/>
        </w:rPr>
        <w:t xml:space="preserve">    6.</w:t>
      </w:r>
      <w:r>
        <w:rPr>
          <w:rFonts w:hint="default" w:ascii="Times New Roman" w:hAnsi="Times New Roman" w:eastAsia="仿宋_GB2312" w:cs="Times New Roman"/>
          <w:b/>
          <w:bCs/>
          <w:color w:val="auto"/>
          <w:kern w:val="0"/>
          <w:sz w:val="32"/>
          <w:szCs w:val="32"/>
          <w:highlight w:val="none"/>
          <w:shd w:val="clear" w:color="auto" w:fill="FFFFFF"/>
          <w:lang w:val="en-US" w:eastAsia="zh-CN"/>
        </w:rPr>
        <w:t>预算执行进度</w:t>
      </w:r>
      <w:r>
        <w:rPr>
          <w:rFonts w:hint="default" w:ascii="Times New Roman" w:hAnsi="Times New Roman" w:eastAsia="仿宋_GB2312" w:cs="Times New Roman"/>
          <w:color w:val="auto"/>
          <w:kern w:val="0"/>
          <w:sz w:val="32"/>
          <w:szCs w:val="32"/>
          <w:highlight w:val="none"/>
          <w:shd w:val="clear" w:color="auto" w:fill="FFFFFF"/>
          <w:lang w:val="en-US" w:eastAsia="zh-CN"/>
        </w:rPr>
        <w:t>。按照财政厅预算执行情况通报，我委6月份预算执行率35.74%，得1.79分；9月份预算执行率57.94%，得1.72分；11月份预算执行率59.3%，得1.44分。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contextualSpacing/>
        <w:jc w:val="left"/>
        <w:textAlignment w:val="auto"/>
        <w:outlineLvl w:val="9"/>
        <w:rPr>
          <w:rFonts w:hint="default" w:ascii="Times New Roman" w:hAnsi="Times New Roman" w:eastAsia="仿宋_GB2312" w:cs="Times New Roman"/>
          <w:color w:val="auto"/>
          <w:kern w:val="0"/>
          <w:sz w:val="32"/>
          <w:szCs w:val="32"/>
          <w:highlight w:val="none"/>
          <w:shd w:val="clear" w:color="auto" w:fill="FFFFFF"/>
          <w:lang w:val="en-US" w:eastAsia="zh-CN"/>
        </w:rPr>
      </w:pPr>
      <w:r>
        <w:rPr>
          <w:rFonts w:hint="default" w:ascii="Times New Roman" w:hAnsi="Times New Roman" w:eastAsia="仿宋_GB2312" w:cs="Times New Roman"/>
          <w:color w:val="auto"/>
          <w:kern w:val="0"/>
          <w:sz w:val="32"/>
          <w:szCs w:val="32"/>
          <w:highlight w:val="none"/>
          <w:shd w:val="clear" w:color="auto" w:fill="FFFFFF"/>
          <w:lang w:val="en-US" w:eastAsia="zh-CN"/>
        </w:rPr>
        <w:t>该项分值6分，经计算，自评得分4.95分。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contextualSpacing/>
        <w:jc w:val="left"/>
        <w:textAlignment w:val="auto"/>
        <w:outlineLvl w:val="9"/>
        <w:rPr>
          <w:rFonts w:hint="default" w:ascii="Times New Roman" w:hAnsi="Times New Roman" w:eastAsia="仿宋_GB2312" w:cs="Times New Roman"/>
          <w:color w:val="auto"/>
          <w:kern w:val="0"/>
          <w:sz w:val="32"/>
          <w:szCs w:val="32"/>
          <w:highlight w:val="none"/>
          <w:shd w:val="clear" w:color="auto" w:fill="FFFFFF"/>
          <w:lang w:val="en-US" w:eastAsia="zh-CN"/>
        </w:rPr>
      </w:pPr>
      <w:r>
        <w:rPr>
          <w:rFonts w:hint="default" w:ascii="Times New Roman" w:hAnsi="Times New Roman" w:eastAsia="仿宋_GB2312" w:cs="Times New Roman"/>
          <w:color w:val="auto"/>
          <w:kern w:val="0"/>
          <w:sz w:val="32"/>
          <w:szCs w:val="32"/>
          <w:highlight w:val="none"/>
          <w:shd w:val="clear" w:color="auto" w:fill="FFFFFF"/>
          <w:lang w:val="en-US" w:eastAsia="zh-CN"/>
        </w:rPr>
        <w:t xml:space="preserve">    </w:t>
      </w:r>
      <w:r>
        <w:rPr>
          <w:rFonts w:hint="default" w:ascii="Times New Roman" w:hAnsi="Times New Roman" w:eastAsia="仿宋_GB2312" w:cs="Times New Roman"/>
          <w:b/>
          <w:bCs/>
          <w:color w:val="auto"/>
          <w:kern w:val="0"/>
          <w:sz w:val="32"/>
          <w:szCs w:val="32"/>
          <w:highlight w:val="none"/>
          <w:shd w:val="clear" w:color="auto" w:fill="FFFFFF"/>
          <w:lang w:val="en-US" w:eastAsia="zh-CN"/>
        </w:rPr>
        <w:t>7.预算完成情况。</w:t>
      </w:r>
      <w:r>
        <w:rPr>
          <w:rFonts w:hint="default" w:ascii="Times New Roman" w:hAnsi="Times New Roman" w:eastAsia="仿宋_GB2312" w:cs="Times New Roman"/>
          <w:color w:val="auto"/>
          <w:kern w:val="0"/>
          <w:sz w:val="32"/>
          <w:szCs w:val="32"/>
          <w:highlight w:val="none"/>
          <w:shd w:val="clear" w:color="auto" w:fill="FFFFFF"/>
          <w:lang w:val="en-US" w:eastAsia="zh-CN"/>
        </w:rPr>
        <w:t>按照财政厅预算执行情况通报，我委年度预算执行率77.6%。</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contextualSpacing/>
        <w:jc w:val="left"/>
        <w:textAlignment w:val="auto"/>
        <w:outlineLvl w:val="9"/>
        <w:rPr>
          <w:rFonts w:hint="default" w:ascii="Times New Roman" w:hAnsi="Times New Roman" w:eastAsia="仿宋_GB2312" w:cs="Times New Roman"/>
          <w:color w:val="auto"/>
          <w:kern w:val="0"/>
          <w:sz w:val="32"/>
          <w:szCs w:val="32"/>
          <w:highlight w:val="none"/>
          <w:shd w:val="clear" w:color="auto" w:fill="FFFFFF"/>
          <w:lang w:val="en-US" w:eastAsia="zh-CN"/>
        </w:rPr>
      </w:pPr>
      <w:r>
        <w:rPr>
          <w:rFonts w:hint="default" w:ascii="Times New Roman" w:hAnsi="Times New Roman" w:eastAsia="仿宋_GB2312" w:cs="Times New Roman"/>
          <w:color w:val="auto"/>
          <w:kern w:val="0"/>
          <w:sz w:val="32"/>
          <w:szCs w:val="32"/>
          <w:highlight w:val="none"/>
          <w:shd w:val="clear" w:color="auto" w:fill="FFFFFF"/>
          <w:lang w:val="en-US" w:eastAsia="zh-CN"/>
        </w:rPr>
        <w:t xml:space="preserve">    该项分值4分，经计算，自评得分3.10分。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contextualSpacing/>
        <w:jc w:val="left"/>
        <w:textAlignment w:val="auto"/>
        <w:outlineLvl w:val="9"/>
        <w:rPr>
          <w:rFonts w:hint="default" w:ascii="Times New Roman" w:hAnsi="Times New Roman" w:eastAsia="仿宋_GB2312" w:cs="Times New Roman"/>
          <w:color w:val="auto"/>
          <w:kern w:val="0"/>
          <w:sz w:val="32"/>
          <w:szCs w:val="32"/>
          <w:highlight w:val="none"/>
          <w:shd w:val="clear" w:color="auto" w:fill="FFFFFF"/>
          <w:lang w:val="en-US" w:eastAsia="zh-CN"/>
        </w:rPr>
      </w:pPr>
      <w:r>
        <w:rPr>
          <w:rFonts w:hint="default" w:ascii="Times New Roman" w:hAnsi="Times New Roman" w:eastAsia="仿宋_GB2312" w:cs="Times New Roman"/>
          <w:b/>
          <w:bCs/>
          <w:color w:val="auto"/>
          <w:kern w:val="0"/>
          <w:sz w:val="32"/>
          <w:szCs w:val="32"/>
          <w:highlight w:val="none"/>
          <w:shd w:val="clear" w:color="auto" w:fill="FFFFFF"/>
          <w:lang w:val="en-US" w:eastAsia="zh-CN"/>
        </w:rPr>
        <w:t>8.违规记录。</w:t>
      </w:r>
      <w:r>
        <w:rPr>
          <w:rFonts w:hint="default" w:ascii="Times New Roman" w:hAnsi="Times New Roman" w:eastAsia="仿宋_GB2312" w:cs="Times New Roman"/>
          <w:color w:val="auto"/>
          <w:kern w:val="0"/>
          <w:sz w:val="32"/>
          <w:szCs w:val="32"/>
          <w:highlight w:val="none"/>
          <w:shd w:val="clear" w:color="auto" w:fill="FFFFFF"/>
          <w:lang w:val="en-US" w:eastAsia="zh-CN"/>
        </w:rPr>
        <w:t>委机关及下属单位2020年无违纪违规问题。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contextualSpacing/>
        <w:jc w:val="left"/>
        <w:textAlignment w:val="auto"/>
        <w:outlineLvl w:val="9"/>
        <w:rPr>
          <w:rFonts w:hint="default" w:ascii="Times New Roman" w:hAnsi="Times New Roman" w:eastAsia="仿宋_GB2312" w:cs="Times New Roman"/>
          <w:color w:val="auto"/>
          <w:kern w:val="0"/>
          <w:sz w:val="32"/>
          <w:szCs w:val="32"/>
          <w:highlight w:val="none"/>
          <w:shd w:val="clear" w:color="auto" w:fill="FFFFFF"/>
          <w:lang w:val="en-US" w:eastAsia="zh-CN"/>
        </w:rPr>
      </w:pPr>
      <w:r>
        <w:rPr>
          <w:rFonts w:hint="default" w:ascii="Times New Roman" w:hAnsi="Times New Roman" w:eastAsia="仿宋_GB2312" w:cs="Times New Roman"/>
          <w:color w:val="auto"/>
          <w:kern w:val="0"/>
          <w:sz w:val="32"/>
          <w:szCs w:val="32"/>
          <w:highlight w:val="none"/>
          <w:shd w:val="clear" w:color="auto" w:fill="FFFFFF"/>
          <w:lang w:val="en-US" w:eastAsia="zh-CN"/>
        </w:rPr>
        <w:t>该项分值4分，自评得分4分。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contextualSpacing/>
        <w:jc w:val="left"/>
        <w:textAlignment w:val="auto"/>
        <w:outlineLvl w:val="9"/>
        <w:rPr>
          <w:rFonts w:hint="default" w:ascii="Times New Roman" w:hAnsi="Times New Roman" w:eastAsia="楷体_GB2312" w:cs="Times New Roman"/>
          <w:b/>
          <w:bCs/>
          <w:color w:val="auto"/>
          <w:kern w:val="0"/>
          <w:sz w:val="32"/>
          <w:szCs w:val="32"/>
          <w:highlight w:val="none"/>
          <w:shd w:val="clear" w:color="auto" w:fill="FFFFFF"/>
          <w:lang w:val="zh-CN"/>
        </w:rPr>
      </w:pPr>
      <w:r>
        <w:rPr>
          <w:rFonts w:hint="default" w:ascii="Times New Roman" w:hAnsi="Times New Roman" w:eastAsia="楷体_GB2312" w:cs="Times New Roman"/>
          <w:b/>
          <w:bCs/>
          <w:color w:val="auto"/>
          <w:kern w:val="0"/>
          <w:sz w:val="32"/>
          <w:szCs w:val="32"/>
          <w:highlight w:val="none"/>
          <w:shd w:val="clear" w:color="auto" w:fill="FFFFFF"/>
          <w:lang w:val="zh-CN"/>
        </w:rPr>
        <w:t>（二）结果应用情况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contextualSpacing/>
        <w:jc w:val="left"/>
        <w:textAlignment w:val="auto"/>
        <w:outlineLvl w:val="9"/>
        <w:rPr>
          <w:rFonts w:hint="default" w:ascii="Times New Roman" w:hAnsi="Times New Roman" w:eastAsia="仿宋_GB2312" w:cs="Times New Roman"/>
          <w:color w:val="auto"/>
          <w:kern w:val="0"/>
          <w:sz w:val="32"/>
          <w:szCs w:val="32"/>
          <w:highlight w:val="none"/>
          <w:shd w:val="clear" w:color="auto" w:fill="FFFFFF"/>
          <w:lang w:val="en-US" w:eastAsia="zh-CN"/>
        </w:rPr>
      </w:pPr>
      <w:r>
        <w:rPr>
          <w:rFonts w:hint="default" w:ascii="Times New Roman" w:hAnsi="Times New Roman" w:cs="Times New Roman"/>
          <w:b/>
          <w:bCs/>
          <w:color w:val="auto"/>
          <w:kern w:val="0"/>
          <w:sz w:val="32"/>
          <w:szCs w:val="32"/>
          <w:highlight w:val="none"/>
          <w:shd w:val="clear" w:color="auto" w:fill="FFFFFF"/>
          <w:lang w:val="en-US" w:eastAsia="zh-CN"/>
        </w:rPr>
        <w:t xml:space="preserve">    </w:t>
      </w:r>
      <w:r>
        <w:rPr>
          <w:rFonts w:hint="default" w:ascii="Times New Roman" w:hAnsi="Times New Roman" w:eastAsia="仿宋_GB2312" w:cs="Times New Roman"/>
          <w:color w:val="auto"/>
          <w:kern w:val="0"/>
          <w:sz w:val="32"/>
          <w:szCs w:val="32"/>
          <w:highlight w:val="none"/>
          <w:shd w:val="clear" w:color="auto" w:fill="FFFFFF"/>
          <w:lang w:val="en-US" w:eastAsia="zh-CN"/>
        </w:rPr>
        <w:t>1</w:t>
      </w:r>
      <w:r>
        <w:rPr>
          <w:rFonts w:hint="default" w:ascii="Times New Roman" w:hAnsi="Times New Roman" w:eastAsia="仿宋_GB2312" w:cs="Times New Roman"/>
          <w:b/>
          <w:bCs/>
          <w:color w:val="auto"/>
          <w:kern w:val="0"/>
          <w:sz w:val="32"/>
          <w:szCs w:val="32"/>
          <w:highlight w:val="none"/>
          <w:shd w:val="clear" w:color="auto" w:fill="FFFFFF"/>
          <w:lang w:val="en-US" w:eastAsia="zh-CN"/>
        </w:rPr>
        <w:t>.</w:t>
      </w:r>
      <w:r>
        <w:rPr>
          <w:rFonts w:hint="default" w:ascii="Times New Roman" w:hAnsi="Times New Roman" w:eastAsia="仿宋_GB2312" w:cs="Times New Roman"/>
          <w:b/>
          <w:bCs/>
          <w:color w:val="auto"/>
          <w:kern w:val="0"/>
          <w:sz w:val="32"/>
          <w:szCs w:val="32"/>
          <w:highlight w:val="none"/>
          <w:shd w:val="clear" w:color="auto" w:fill="FFFFFF"/>
          <w:lang w:val="zh-CN"/>
        </w:rPr>
        <w:t>绩效自评公开。</w:t>
      </w:r>
      <w:r>
        <w:rPr>
          <w:rFonts w:hint="default" w:ascii="Times New Roman" w:hAnsi="Times New Roman" w:eastAsia="仿宋_GB2312" w:cs="Times New Roman"/>
          <w:color w:val="auto"/>
          <w:kern w:val="0"/>
          <w:sz w:val="32"/>
          <w:szCs w:val="32"/>
          <w:highlight w:val="none"/>
          <w:shd w:val="clear" w:color="auto" w:fill="FFFFFF"/>
          <w:lang w:val="zh-CN"/>
        </w:rPr>
        <w:t>按照财政通知要求，我委</w:t>
      </w:r>
      <w:r>
        <w:rPr>
          <w:rFonts w:hint="default" w:ascii="Times New Roman" w:hAnsi="Times New Roman" w:eastAsia="仿宋_GB2312" w:cs="Times New Roman"/>
          <w:color w:val="auto"/>
          <w:kern w:val="0"/>
          <w:sz w:val="32"/>
          <w:szCs w:val="32"/>
          <w:highlight w:val="none"/>
          <w:shd w:val="clear" w:color="auto" w:fill="FFFFFF"/>
          <w:lang w:val="en-US" w:eastAsia="zh-CN"/>
        </w:rPr>
        <w:t>2020年整体绩效目标和2020年部门预算向在委门户网站上予以公开，部门整体绩效自评情况和项目绩效自评情况也同2019年部门决算进行了公开。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contextualSpacing/>
        <w:jc w:val="left"/>
        <w:textAlignment w:val="auto"/>
        <w:outlineLvl w:val="9"/>
        <w:rPr>
          <w:rFonts w:hint="default" w:ascii="Times New Roman" w:hAnsi="Times New Roman" w:eastAsia="仿宋_GB2312" w:cs="Times New Roman"/>
          <w:color w:val="auto"/>
          <w:kern w:val="0"/>
          <w:sz w:val="32"/>
          <w:szCs w:val="32"/>
          <w:highlight w:val="none"/>
          <w:shd w:val="clear" w:color="auto" w:fill="FFFFFF"/>
          <w:lang w:val="en-US" w:eastAsia="zh-CN"/>
        </w:rPr>
      </w:pPr>
      <w:r>
        <w:rPr>
          <w:rFonts w:hint="default" w:ascii="Times New Roman" w:hAnsi="Times New Roman" w:eastAsia="仿宋_GB2312" w:cs="Times New Roman"/>
          <w:color w:val="auto"/>
          <w:kern w:val="0"/>
          <w:sz w:val="32"/>
          <w:szCs w:val="32"/>
          <w:highlight w:val="none"/>
          <w:shd w:val="clear" w:color="auto" w:fill="FFFFFF"/>
          <w:lang w:val="en-US" w:eastAsia="zh-CN"/>
        </w:rPr>
        <w:t>该项分值2分，自评得分2分。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contextualSpacing/>
        <w:jc w:val="left"/>
        <w:textAlignment w:val="auto"/>
        <w:outlineLvl w:val="9"/>
        <w:rPr>
          <w:rFonts w:hint="default" w:ascii="Times New Roman" w:hAnsi="Times New Roman" w:eastAsia="仿宋_GB2312" w:cs="Times New Roman"/>
          <w:color w:val="auto"/>
          <w:kern w:val="0"/>
          <w:sz w:val="32"/>
          <w:szCs w:val="32"/>
          <w:highlight w:val="none"/>
          <w:shd w:val="clear" w:color="auto" w:fill="FFFFFF"/>
          <w:lang w:val="en-US" w:eastAsia="zh-CN"/>
        </w:rPr>
      </w:pPr>
      <w:r>
        <w:rPr>
          <w:rFonts w:hint="default" w:ascii="Times New Roman" w:hAnsi="Times New Roman" w:eastAsia="仿宋_GB2312" w:cs="Times New Roman"/>
          <w:b/>
          <w:bCs/>
          <w:color w:val="auto"/>
          <w:kern w:val="0"/>
          <w:sz w:val="32"/>
          <w:szCs w:val="32"/>
          <w:highlight w:val="none"/>
          <w:shd w:val="clear" w:color="auto" w:fill="FFFFFF"/>
          <w:lang w:val="en-US" w:eastAsia="zh-CN"/>
        </w:rPr>
        <w:t xml:space="preserve">    </w:t>
      </w:r>
      <w:r>
        <w:rPr>
          <w:rFonts w:hint="default" w:ascii="Times New Roman" w:hAnsi="Times New Roman" w:eastAsia="仿宋_GB2312" w:cs="Times New Roman"/>
          <w:color w:val="auto"/>
          <w:kern w:val="0"/>
          <w:sz w:val="32"/>
          <w:szCs w:val="32"/>
          <w:highlight w:val="none"/>
          <w:shd w:val="clear" w:color="auto" w:fill="FFFFFF"/>
          <w:lang w:val="en-US" w:eastAsia="zh-CN"/>
        </w:rPr>
        <w:t>2.</w:t>
      </w:r>
      <w:r>
        <w:rPr>
          <w:rFonts w:hint="default" w:ascii="Times New Roman" w:hAnsi="Times New Roman" w:eastAsia="仿宋_GB2312" w:cs="Times New Roman"/>
          <w:b/>
          <w:bCs/>
          <w:color w:val="auto"/>
          <w:kern w:val="0"/>
          <w:sz w:val="32"/>
          <w:szCs w:val="32"/>
          <w:highlight w:val="none"/>
          <w:shd w:val="clear" w:color="auto" w:fill="FFFFFF"/>
          <w:lang w:val="zh-CN"/>
        </w:rPr>
        <w:t>评价结果整改</w:t>
      </w:r>
      <w:r>
        <w:rPr>
          <w:rFonts w:hint="default" w:ascii="Times New Roman" w:hAnsi="Times New Roman" w:eastAsia="仿宋_GB2312" w:cs="Times New Roman"/>
          <w:color w:val="auto"/>
          <w:kern w:val="0"/>
          <w:sz w:val="32"/>
          <w:szCs w:val="32"/>
          <w:highlight w:val="none"/>
          <w:shd w:val="clear" w:color="auto" w:fill="FFFFFF"/>
          <w:lang w:val="zh-CN"/>
        </w:rPr>
        <w:t>。我委高度重视绩效目标核查、绩效监控等工作成果的运用，及时发现预算编制、项目推进、绩效目标设置、资金支付等方面存在的问题，积极制定措施及时解决，所有发现问题都得到了有效整改，同时，</w:t>
      </w:r>
      <w:r>
        <w:rPr>
          <w:rFonts w:hint="default" w:ascii="Times New Roman" w:hAnsi="Times New Roman" w:eastAsia="仿宋_GB2312" w:cs="Times New Roman"/>
          <w:color w:val="auto"/>
          <w:sz w:val="32"/>
          <w:szCs w:val="32"/>
          <w:highlight w:val="none"/>
        </w:rPr>
        <w:t>及时归纳、分析20</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年绩效评价结果，将评价结果作为安排202</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年预算的重要依据。对绩效评价结果较好的项目，继续维持或加大预算；对绩效不高，进一步优化支出结构，提高经费使用效率。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contextualSpacing/>
        <w:jc w:val="left"/>
        <w:textAlignment w:val="auto"/>
        <w:outlineLvl w:val="9"/>
        <w:rPr>
          <w:rFonts w:hint="default" w:ascii="Times New Roman" w:hAnsi="Times New Roman" w:eastAsia="仿宋_GB2312" w:cs="Times New Roman"/>
          <w:color w:val="auto"/>
          <w:kern w:val="0"/>
          <w:sz w:val="32"/>
          <w:szCs w:val="32"/>
          <w:highlight w:val="none"/>
          <w:shd w:val="clear" w:color="auto" w:fill="FFFFFF"/>
          <w:lang w:val="en-US" w:eastAsia="zh-CN"/>
        </w:rPr>
      </w:pPr>
      <w:r>
        <w:rPr>
          <w:rFonts w:hint="default" w:ascii="Times New Roman" w:hAnsi="Times New Roman" w:eastAsia="仿宋_GB2312" w:cs="Times New Roman"/>
          <w:color w:val="auto"/>
          <w:kern w:val="0"/>
          <w:sz w:val="32"/>
          <w:szCs w:val="32"/>
          <w:highlight w:val="none"/>
          <w:shd w:val="clear" w:color="auto" w:fill="FFFFFF"/>
          <w:lang w:val="en-US" w:eastAsia="zh-CN"/>
        </w:rPr>
        <w:t>该项分值4分，自评得分4分。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contextualSpacing/>
        <w:jc w:val="left"/>
        <w:textAlignment w:val="auto"/>
        <w:outlineLvl w:val="9"/>
        <w:rPr>
          <w:rFonts w:hint="default" w:ascii="Times New Roman" w:hAnsi="Times New Roman" w:eastAsia="仿宋_GB2312" w:cs="Times New Roman"/>
          <w:color w:val="auto"/>
          <w:kern w:val="0"/>
          <w:sz w:val="32"/>
          <w:szCs w:val="32"/>
          <w:highlight w:val="none"/>
          <w:shd w:val="clear" w:color="auto" w:fill="FFFFFF"/>
          <w:lang w:val="zh-CN"/>
        </w:rPr>
      </w:pPr>
      <w:r>
        <w:rPr>
          <w:rFonts w:hint="default" w:ascii="Times New Roman" w:hAnsi="Times New Roman" w:eastAsia="仿宋_GB2312" w:cs="Times New Roman"/>
          <w:b/>
          <w:bCs/>
          <w:color w:val="auto"/>
          <w:kern w:val="0"/>
          <w:sz w:val="32"/>
          <w:szCs w:val="32"/>
          <w:highlight w:val="none"/>
          <w:shd w:val="clear" w:color="auto" w:fill="FFFFFF"/>
          <w:lang w:val="en-US" w:eastAsia="zh-CN"/>
        </w:rPr>
        <w:t xml:space="preserve">    </w:t>
      </w:r>
      <w:r>
        <w:rPr>
          <w:rFonts w:hint="default" w:ascii="Times New Roman" w:hAnsi="Times New Roman" w:eastAsia="仿宋_GB2312" w:cs="Times New Roman"/>
          <w:color w:val="auto"/>
          <w:kern w:val="0"/>
          <w:sz w:val="32"/>
          <w:szCs w:val="32"/>
          <w:highlight w:val="none"/>
          <w:shd w:val="clear" w:color="auto" w:fill="FFFFFF"/>
          <w:lang w:val="en-US" w:eastAsia="zh-CN"/>
        </w:rPr>
        <w:t>3</w:t>
      </w:r>
      <w:r>
        <w:rPr>
          <w:rFonts w:hint="default" w:ascii="Times New Roman" w:hAnsi="Times New Roman" w:eastAsia="仿宋_GB2312" w:cs="Times New Roman"/>
          <w:b/>
          <w:bCs/>
          <w:color w:val="auto"/>
          <w:kern w:val="0"/>
          <w:sz w:val="32"/>
          <w:szCs w:val="32"/>
          <w:highlight w:val="none"/>
          <w:shd w:val="clear" w:color="auto" w:fill="FFFFFF"/>
          <w:lang w:val="en-US" w:eastAsia="zh-CN"/>
        </w:rPr>
        <w:t>.</w:t>
      </w:r>
      <w:r>
        <w:rPr>
          <w:rFonts w:hint="default" w:ascii="Times New Roman" w:hAnsi="Times New Roman" w:eastAsia="仿宋_GB2312" w:cs="Times New Roman"/>
          <w:b/>
          <w:bCs/>
          <w:color w:val="auto"/>
          <w:kern w:val="0"/>
          <w:sz w:val="32"/>
          <w:szCs w:val="32"/>
          <w:highlight w:val="none"/>
          <w:shd w:val="clear" w:color="auto" w:fill="FFFFFF"/>
          <w:lang w:val="zh-CN"/>
        </w:rPr>
        <w:t>应用结果反馈。</w:t>
      </w:r>
      <w:r>
        <w:rPr>
          <w:rFonts w:hint="default" w:ascii="Times New Roman" w:hAnsi="Times New Roman" w:eastAsia="仿宋_GB2312" w:cs="Times New Roman"/>
          <w:color w:val="auto"/>
          <w:kern w:val="0"/>
          <w:sz w:val="32"/>
          <w:szCs w:val="32"/>
          <w:highlight w:val="none"/>
          <w:shd w:val="clear" w:color="auto" w:fill="FFFFFF"/>
          <w:lang w:val="zh-CN"/>
        </w:rPr>
        <w:t>根据通知要求，我委在规定时间内向财政部门反馈了应用绩效结果报告。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contextualSpacing/>
        <w:jc w:val="left"/>
        <w:textAlignment w:val="auto"/>
        <w:outlineLvl w:val="9"/>
        <w:rPr>
          <w:rFonts w:hint="default" w:ascii="Times New Roman" w:hAnsi="Times New Roman" w:eastAsia="仿宋_GB2312" w:cs="Times New Roman"/>
          <w:color w:val="auto"/>
          <w:kern w:val="0"/>
          <w:sz w:val="32"/>
          <w:szCs w:val="32"/>
          <w:highlight w:val="none"/>
          <w:shd w:val="clear" w:color="auto" w:fill="FFFFFF"/>
          <w:lang w:val="en-US" w:eastAsia="zh-CN"/>
        </w:rPr>
      </w:pPr>
      <w:r>
        <w:rPr>
          <w:rFonts w:hint="default" w:ascii="Times New Roman" w:hAnsi="Times New Roman" w:eastAsia="仿宋_GB2312" w:cs="Times New Roman"/>
          <w:color w:val="auto"/>
          <w:kern w:val="0"/>
          <w:sz w:val="32"/>
          <w:szCs w:val="32"/>
          <w:highlight w:val="none"/>
          <w:shd w:val="clear" w:color="auto" w:fill="FFFFFF"/>
          <w:lang w:val="en-US" w:eastAsia="zh-CN"/>
        </w:rPr>
        <w:t>该项分值4分，自评得分4分。</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contextualSpacing/>
        <w:jc w:val="left"/>
        <w:textAlignment w:val="auto"/>
        <w:outlineLvl w:val="9"/>
        <w:rPr>
          <w:rFonts w:hint="default" w:ascii="Times New Roman" w:hAnsi="Times New Roman" w:eastAsia="黑体" w:cs="Times New Roman"/>
          <w:color w:val="auto"/>
          <w:kern w:val="0"/>
          <w:sz w:val="32"/>
          <w:szCs w:val="32"/>
          <w:highlight w:val="none"/>
          <w:shd w:val="clear" w:color="auto" w:fill="FFFFFF"/>
        </w:rPr>
      </w:pPr>
      <w:r>
        <w:rPr>
          <w:rFonts w:hint="default" w:ascii="Times New Roman" w:hAnsi="Times New Roman" w:eastAsia="黑体" w:cs="Times New Roman"/>
          <w:color w:val="auto"/>
          <w:kern w:val="0"/>
          <w:sz w:val="32"/>
          <w:szCs w:val="32"/>
          <w:highlight w:val="none"/>
          <w:shd w:val="clear" w:color="auto" w:fill="FFFFFF"/>
        </w:rPr>
        <w:t>四、评价结论及建议</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contextualSpacing/>
        <w:jc w:val="left"/>
        <w:textAlignment w:val="auto"/>
        <w:outlineLvl w:val="9"/>
        <w:rPr>
          <w:rFonts w:hint="default" w:ascii="Times New Roman" w:hAnsi="Times New Roman" w:eastAsia="楷体_GB2312" w:cs="Times New Roman"/>
          <w:b/>
          <w:bCs/>
          <w:color w:val="auto"/>
          <w:kern w:val="0"/>
          <w:sz w:val="32"/>
          <w:szCs w:val="32"/>
          <w:highlight w:val="none"/>
          <w:shd w:val="clear" w:color="auto" w:fill="FFFFFF"/>
          <w:lang w:val="zh-CN"/>
        </w:rPr>
      </w:pPr>
      <w:r>
        <w:rPr>
          <w:rFonts w:hint="default" w:ascii="Times New Roman" w:hAnsi="Times New Roman" w:eastAsia="楷体_GB2312" w:cs="Times New Roman"/>
          <w:b/>
          <w:bCs/>
          <w:color w:val="auto"/>
          <w:kern w:val="0"/>
          <w:sz w:val="32"/>
          <w:szCs w:val="32"/>
          <w:highlight w:val="none"/>
          <w:shd w:val="clear" w:color="auto" w:fill="FFFFFF"/>
          <w:lang w:val="zh-CN"/>
        </w:rPr>
        <w:t>（一）评价结论</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contextualSpacing/>
        <w:jc w:val="left"/>
        <w:textAlignment w:val="auto"/>
        <w:outlineLvl w:val="9"/>
        <w:rPr>
          <w:rFonts w:hint="default" w:ascii="Times New Roman" w:hAnsi="Times New Roman" w:cs="Times New Roman"/>
          <w:color w:val="auto"/>
          <w:kern w:val="0"/>
          <w:sz w:val="32"/>
          <w:szCs w:val="32"/>
          <w:highlight w:val="none"/>
          <w:shd w:val="clear" w:color="auto" w:fill="FFFFFF"/>
          <w:lang w:val="zh-CN"/>
        </w:rPr>
      </w:pPr>
      <w:r>
        <w:rPr>
          <w:rFonts w:hint="default" w:ascii="Times New Roman" w:hAnsi="Times New Roman" w:eastAsia="仿宋_GB2312" w:cs="Times New Roman"/>
          <w:color w:val="auto"/>
          <w:kern w:val="0"/>
          <w:sz w:val="32"/>
          <w:szCs w:val="32"/>
          <w:highlight w:val="none"/>
          <w:shd w:val="clear" w:color="auto" w:fill="FFFFFF"/>
          <w:lang w:val="zh-CN" w:eastAsia="zh-CN"/>
        </w:rPr>
        <w:t>依照《202</w:t>
      </w:r>
      <w:r>
        <w:rPr>
          <w:rFonts w:hint="default" w:ascii="Times New Roman" w:hAnsi="Times New Roman" w:cs="Times New Roman"/>
          <w:color w:val="auto"/>
          <w:kern w:val="0"/>
          <w:sz w:val="32"/>
          <w:szCs w:val="32"/>
          <w:highlight w:val="none"/>
          <w:shd w:val="clear" w:color="auto" w:fill="FFFFFF"/>
          <w:lang w:val="en-US" w:eastAsia="zh-CN"/>
        </w:rPr>
        <w:t>1</w:t>
      </w:r>
      <w:r>
        <w:rPr>
          <w:rFonts w:hint="default" w:ascii="Times New Roman" w:hAnsi="Times New Roman" w:eastAsia="仿宋_GB2312" w:cs="Times New Roman"/>
          <w:color w:val="auto"/>
          <w:kern w:val="0"/>
          <w:sz w:val="32"/>
          <w:szCs w:val="32"/>
          <w:highlight w:val="none"/>
          <w:shd w:val="clear" w:color="auto" w:fill="FFFFFF"/>
          <w:lang w:val="zh-CN" w:eastAsia="zh-CN"/>
        </w:rPr>
        <w:t>年度省级部门整体支出绩效评价指标体系（适用于专项预算大于1亿的部门）》，我委按要求对部门预算管理、绩效结果应用等进行逐项评分，扣除专项预算管理</w:t>
      </w:r>
      <w:r>
        <w:rPr>
          <w:rFonts w:hint="default" w:ascii="Times New Roman" w:hAnsi="Times New Roman" w:eastAsia="仿宋_GB2312" w:cs="Times New Roman"/>
          <w:color w:val="auto"/>
          <w:kern w:val="0"/>
          <w:sz w:val="32"/>
          <w:szCs w:val="32"/>
          <w:highlight w:val="none"/>
          <w:shd w:val="clear" w:color="auto" w:fill="FFFFFF"/>
          <w:lang w:val="en-US" w:eastAsia="zh-CN"/>
        </w:rPr>
        <w:t>50分</w:t>
      </w:r>
      <w:r>
        <w:rPr>
          <w:rFonts w:hint="default" w:ascii="Times New Roman" w:hAnsi="Times New Roman" w:eastAsia="仿宋_GB2312" w:cs="Times New Roman"/>
          <w:color w:val="auto"/>
          <w:kern w:val="0"/>
          <w:sz w:val="32"/>
          <w:szCs w:val="32"/>
          <w:highlight w:val="none"/>
          <w:shd w:val="clear" w:color="auto" w:fill="FFFFFF"/>
          <w:lang w:val="zh-CN" w:eastAsia="zh-CN"/>
        </w:rPr>
        <w:t>及自评时不需要的评分项</w:t>
      </w:r>
      <w:r>
        <w:rPr>
          <w:rFonts w:hint="default" w:ascii="Times New Roman" w:hAnsi="Times New Roman" w:eastAsia="仿宋_GB2312" w:cs="Times New Roman"/>
          <w:color w:val="auto"/>
          <w:kern w:val="0"/>
          <w:sz w:val="32"/>
          <w:szCs w:val="32"/>
          <w:highlight w:val="none"/>
          <w:shd w:val="clear" w:color="auto" w:fill="FFFFFF"/>
          <w:lang w:val="en-US" w:eastAsia="zh-CN"/>
        </w:rPr>
        <w:t>10分</w:t>
      </w:r>
      <w:r>
        <w:rPr>
          <w:rFonts w:hint="default" w:ascii="Times New Roman" w:hAnsi="Times New Roman" w:eastAsia="仿宋_GB2312" w:cs="Times New Roman"/>
          <w:color w:val="auto"/>
          <w:kern w:val="0"/>
          <w:sz w:val="32"/>
          <w:szCs w:val="32"/>
          <w:highlight w:val="none"/>
          <w:shd w:val="clear" w:color="auto" w:fill="FFFFFF"/>
          <w:lang w:val="zh-CN" w:eastAsia="zh-CN"/>
        </w:rPr>
        <w:t>，总分</w:t>
      </w:r>
      <w:r>
        <w:rPr>
          <w:rFonts w:hint="default" w:ascii="Times New Roman" w:hAnsi="Times New Roman" w:eastAsia="仿宋_GB2312" w:cs="Times New Roman"/>
          <w:color w:val="auto"/>
          <w:kern w:val="0"/>
          <w:sz w:val="32"/>
          <w:szCs w:val="32"/>
          <w:highlight w:val="none"/>
          <w:shd w:val="clear" w:color="auto" w:fill="FFFFFF"/>
          <w:lang w:val="en-US" w:eastAsia="zh-CN"/>
        </w:rPr>
        <w:t>40分，共得分</w:t>
      </w:r>
      <w:r>
        <w:rPr>
          <w:rFonts w:hint="default" w:ascii="Times New Roman" w:hAnsi="Times New Roman" w:cs="Times New Roman"/>
          <w:color w:val="auto"/>
          <w:kern w:val="0"/>
          <w:sz w:val="32"/>
          <w:szCs w:val="32"/>
          <w:highlight w:val="none"/>
          <w:shd w:val="clear" w:color="auto" w:fill="FFFFFF"/>
          <w:lang w:val="en-US" w:eastAsia="zh-CN"/>
        </w:rPr>
        <w:t>35.45</w:t>
      </w:r>
      <w:r>
        <w:rPr>
          <w:rFonts w:hint="default" w:ascii="Times New Roman" w:hAnsi="Times New Roman" w:eastAsia="仿宋_GB2312" w:cs="Times New Roman"/>
          <w:color w:val="auto"/>
          <w:kern w:val="0"/>
          <w:sz w:val="32"/>
          <w:szCs w:val="32"/>
          <w:highlight w:val="none"/>
          <w:shd w:val="clear" w:color="auto" w:fill="FFFFFF"/>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Chars="200" w:right="0" w:rightChars="0"/>
        <w:contextualSpacing/>
        <w:jc w:val="left"/>
        <w:textAlignment w:val="auto"/>
        <w:outlineLvl w:val="9"/>
        <w:rPr>
          <w:rFonts w:hint="default" w:ascii="Times New Roman" w:hAnsi="Times New Roman" w:eastAsia="楷体_GB2312" w:cs="Times New Roman"/>
          <w:b/>
          <w:bCs/>
          <w:color w:val="auto"/>
          <w:kern w:val="0"/>
          <w:sz w:val="32"/>
          <w:szCs w:val="32"/>
          <w:highlight w:val="none"/>
          <w:shd w:val="clear" w:color="auto" w:fill="FFFFFF"/>
          <w:lang w:val="zh-CN"/>
        </w:rPr>
      </w:pPr>
      <w:r>
        <w:rPr>
          <w:rFonts w:hint="default" w:ascii="Times New Roman" w:hAnsi="Times New Roman" w:eastAsia="楷体_GB2312" w:cs="Times New Roman"/>
          <w:b/>
          <w:bCs/>
          <w:color w:val="auto"/>
          <w:kern w:val="0"/>
          <w:sz w:val="32"/>
          <w:szCs w:val="32"/>
          <w:highlight w:val="none"/>
          <w:shd w:val="clear" w:color="auto" w:fill="FFFFFF"/>
          <w:lang w:val="zh-CN"/>
        </w:rPr>
        <w:t>（</w:t>
      </w:r>
      <w:r>
        <w:rPr>
          <w:rFonts w:hint="default" w:ascii="Times New Roman" w:hAnsi="Times New Roman" w:eastAsia="楷体_GB2312" w:cs="Times New Roman"/>
          <w:b/>
          <w:bCs/>
          <w:color w:val="auto"/>
          <w:kern w:val="0"/>
          <w:sz w:val="32"/>
          <w:szCs w:val="32"/>
          <w:highlight w:val="none"/>
          <w:shd w:val="clear" w:color="auto" w:fill="FFFFFF"/>
          <w:lang w:val="en-US" w:eastAsia="zh-CN"/>
        </w:rPr>
        <w:t>二</w:t>
      </w:r>
      <w:r>
        <w:rPr>
          <w:rFonts w:hint="default" w:ascii="Times New Roman" w:hAnsi="Times New Roman" w:eastAsia="楷体_GB2312" w:cs="Times New Roman"/>
          <w:b/>
          <w:bCs/>
          <w:color w:val="auto"/>
          <w:kern w:val="0"/>
          <w:sz w:val="32"/>
          <w:szCs w:val="32"/>
          <w:highlight w:val="none"/>
          <w:shd w:val="clear" w:color="auto" w:fill="FFFFFF"/>
          <w:lang w:val="zh-CN"/>
        </w:rPr>
        <w:t>）存在问题</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contextualSpacing/>
        <w:jc w:val="left"/>
        <w:textAlignment w:val="auto"/>
        <w:outlineLvl w:val="9"/>
        <w:rPr>
          <w:rFonts w:hint="default" w:ascii="Times New Roman" w:hAnsi="Times New Roman" w:eastAsia="仿宋_GB2312" w:cs="Times New Roman"/>
          <w:color w:val="auto"/>
          <w:kern w:val="0"/>
          <w:sz w:val="32"/>
          <w:szCs w:val="32"/>
          <w:highlight w:val="none"/>
          <w:shd w:val="clear" w:color="auto" w:fill="FFFFFF"/>
          <w:lang w:val="zh-CN"/>
        </w:rPr>
      </w:pPr>
      <w:r>
        <w:rPr>
          <w:rFonts w:hint="default" w:ascii="Times New Roman" w:hAnsi="Times New Roman" w:eastAsia="仿宋_GB2312" w:cs="Times New Roman"/>
          <w:color w:val="auto"/>
          <w:kern w:val="0"/>
          <w:sz w:val="32"/>
          <w:szCs w:val="32"/>
          <w:highlight w:val="none"/>
          <w:shd w:val="clear" w:color="auto" w:fill="FFFFFF"/>
          <w:lang w:val="zh-CN"/>
        </w:rPr>
        <w:t>一是绩效目标设置要进一步结合我委职能职责和年度总体工作目标，提高各项指标的科学性、合理性，可量化性。二是部门预算执行进度</w:t>
      </w:r>
      <w:r>
        <w:rPr>
          <w:rFonts w:hint="default" w:ascii="Times New Roman" w:hAnsi="Times New Roman" w:cs="Times New Roman"/>
          <w:color w:val="auto"/>
          <w:kern w:val="0"/>
          <w:sz w:val="32"/>
          <w:szCs w:val="32"/>
          <w:highlight w:val="none"/>
          <w:shd w:val="clear" w:color="auto" w:fill="FFFFFF"/>
          <w:lang w:val="en-US" w:eastAsia="zh-CN"/>
        </w:rPr>
        <w:t>不够</w:t>
      </w:r>
      <w:r>
        <w:rPr>
          <w:rFonts w:hint="default" w:ascii="Times New Roman" w:hAnsi="Times New Roman" w:eastAsia="仿宋_GB2312" w:cs="Times New Roman"/>
          <w:color w:val="auto"/>
          <w:kern w:val="0"/>
          <w:sz w:val="32"/>
          <w:szCs w:val="32"/>
          <w:highlight w:val="none"/>
          <w:shd w:val="clear" w:color="auto" w:fill="FFFFFF"/>
          <w:lang w:val="zh-CN"/>
        </w:rPr>
        <w:t>。三是预算执行中期评估调整需进一步优化。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Chars="200" w:right="0" w:rightChars="0"/>
        <w:contextualSpacing/>
        <w:jc w:val="left"/>
        <w:textAlignment w:val="auto"/>
        <w:outlineLvl w:val="9"/>
        <w:rPr>
          <w:rFonts w:hint="default" w:ascii="Times New Roman" w:hAnsi="Times New Roman" w:eastAsia="楷体_GB2312" w:cs="Times New Roman"/>
          <w:b/>
          <w:bCs/>
          <w:color w:val="auto"/>
          <w:kern w:val="0"/>
          <w:sz w:val="32"/>
          <w:szCs w:val="32"/>
          <w:highlight w:val="none"/>
          <w:shd w:val="clear" w:color="auto" w:fill="FFFFFF"/>
          <w:lang w:val="zh-CN"/>
        </w:rPr>
      </w:pPr>
      <w:r>
        <w:rPr>
          <w:rFonts w:hint="default" w:ascii="Times New Roman" w:hAnsi="Times New Roman" w:eastAsia="楷体_GB2312" w:cs="Times New Roman"/>
          <w:b/>
          <w:bCs/>
          <w:color w:val="auto"/>
          <w:kern w:val="0"/>
          <w:sz w:val="32"/>
          <w:szCs w:val="32"/>
          <w:highlight w:val="none"/>
          <w:shd w:val="clear" w:color="auto" w:fill="FFFFFF"/>
          <w:lang w:val="zh-CN"/>
        </w:rPr>
        <w:t>（</w:t>
      </w:r>
      <w:r>
        <w:rPr>
          <w:rFonts w:hint="default" w:ascii="Times New Roman" w:hAnsi="Times New Roman" w:eastAsia="楷体_GB2312" w:cs="Times New Roman"/>
          <w:b/>
          <w:bCs/>
          <w:color w:val="auto"/>
          <w:kern w:val="0"/>
          <w:sz w:val="32"/>
          <w:szCs w:val="32"/>
          <w:highlight w:val="none"/>
          <w:shd w:val="clear" w:color="auto" w:fill="FFFFFF"/>
          <w:lang w:val="en-US" w:eastAsia="zh-CN"/>
        </w:rPr>
        <w:t>三</w:t>
      </w:r>
      <w:r>
        <w:rPr>
          <w:rFonts w:hint="default" w:ascii="Times New Roman" w:hAnsi="Times New Roman" w:eastAsia="楷体_GB2312" w:cs="Times New Roman"/>
          <w:b/>
          <w:bCs/>
          <w:color w:val="auto"/>
          <w:kern w:val="0"/>
          <w:sz w:val="32"/>
          <w:szCs w:val="32"/>
          <w:highlight w:val="none"/>
          <w:shd w:val="clear" w:color="auto" w:fill="FFFFFF"/>
          <w:lang w:val="zh-CN"/>
        </w:rPr>
        <w:t>）改进建议</w:t>
      </w:r>
    </w:p>
    <w:p>
      <w:pPr>
        <w:keepNext w:val="0"/>
        <w:keepLines w:val="0"/>
        <w:pageBreakBefore w:val="0"/>
        <w:kinsoku/>
        <w:wordWrap/>
        <w:overflowPunct/>
        <w:topLinePunct w:val="0"/>
        <w:autoSpaceDE/>
        <w:autoSpaceDN/>
        <w:bidi w:val="0"/>
        <w:spacing w:line="540" w:lineRule="exact"/>
        <w:ind w:left="0" w:leftChars="0" w:right="0" w:rightChars="0" w:firstLine="630"/>
        <w:textAlignment w:val="auto"/>
        <w:outlineLvl w:val="9"/>
        <w:rPr>
          <w:rFonts w:hint="default" w:ascii="Times New Roman" w:hAnsi="Times New Roman" w:eastAsia="仿宋_GB2312" w:cs="Times New Roman"/>
          <w:color w:val="auto"/>
          <w:kern w:val="0"/>
          <w:sz w:val="32"/>
          <w:szCs w:val="32"/>
          <w:highlight w:val="none"/>
          <w:shd w:val="clear" w:color="auto" w:fill="FFFFFF"/>
          <w:lang w:val="zh-CN"/>
        </w:rPr>
      </w:pPr>
      <w:r>
        <w:rPr>
          <w:rFonts w:hint="default" w:ascii="Times New Roman" w:hAnsi="Times New Roman" w:eastAsia="仿宋_GB2312" w:cs="Times New Roman"/>
          <w:color w:val="auto"/>
          <w:sz w:val="32"/>
          <w:szCs w:val="32"/>
          <w:highlight w:val="none"/>
        </w:rPr>
        <w:t>一是加强部门绩效管理方面的培训力度，包括直属单位在内全覆盖参加培训，</w:t>
      </w:r>
      <w:r>
        <w:rPr>
          <w:rFonts w:hint="default" w:ascii="Times New Roman" w:hAnsi="Times New Roman" w:eastAsia="仿宋_GB2312" w:cs="Times New Roman"/>
          <w:color w:val="auto"/>
          <w:sz w:val="32"/>
          <w:szCs w:val="32"/>
          <w:highlight w:val="none"/>
          <w:lang w:val="en-US" w:eastAsia="zh-CN"/>
        </w:rPr>
        <w:t>切实</w:t>
      </w:r>
      <w:r>
        <w:rPr>
          <w:rFonts w:hint="default" w:ascii="Times New Roman" w:hAnsi="Times New Roman" w:eastAsia="仿宋_GB2312" w:cs="Times New Roman"/>
          <w:color w:val="auto"/>
          <w:sz w:val="32"/>
          <w:szCs w:val="32"/>
          <w:highlight w:val="none"/>
        </w:rPr>
        <w:t>提高</w:t>
      </w:r>
      <w:r>
        <w:rPr>
          <w:rFonts w:hint="default" w:ascii="Times New Roman" w:hAnsi="Times New Roman" w:eastAsia="仿宋_GB2312" w:cs="Times New Roman"/>
          <w:color w:val="auto"/>
          <w:sz w:val="32"/>
          <w:szCs w:val="32"/>
          <w:highlight w:val="none"/>
          <w:lang w:val="en-US" w:eastAsia="zh-CN"/>
        </w:rPr>
        <w:t>经办</w:t>
      </w:r>
      <w:r>
        <w:rPr>
          <w:rFonts w:hint="default" w:ascii="Times New Roman" w:hAnsi="Times New Roman" w:eastAsia="仿宋_GB2312" w:cs="Times New Roman"/>
          <w:color w:val="auto"/>
          <w:sz w:val="32"/>
          <w:szCs w:val="32"/>
          <w:highlight w:val="none"/>
        </w:rPr>
        <w:t>人员业务素质，增强工作能力。二是加强绩效管理宣传培训。积极宣传</w:t>
      </w:r>
      <w:r>
        <w:rPr>
          <w:rFonts w:hint="default" w:ascii="Times New Roman" w:hAnsi="Times New Roman" w:eastAsia="仿宋_GB2312" w:cs="Times New Roman"/>
          <w:color w:val="auto"/>
          <w:sz w:val="32"/>
          <w:szCs w:val="32"/>
          <w:highlight w:val="none"/>
          <w:lang w:val="en-US" w:eastAsia="zh-CN"/>
        </w:rPr>
        <w:t>普及相关政策规定</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树牢绩效管理意识理念，</w:t>
      </w:r>
      <w:r>
        <w:rPr>
          <w:rFonts w:hint="default" w:ascii="Times New Roman" w:hAnsi="Times New Roman" w:eastAsia="仿宋_GB2312" w:cs="Times New Roman"/>
          <w:color w:val="auto"/>
          <w:sz w:val="32"/>
          <w:szCs w:val="32"/>
          <w:highlight w:val="none"/>
        </w:rPr>
        <w:t>为</w:t>
      </w:r>
      <w:r>
        <w:rPr>
          <w:rFonts w:hint="default" w:ascii="Times New Roman" w:hAnsi="Times New Roman" w:eastAsia="仿宋_GB2312" w:cs="Times New Roman"/>
          <w:color w:val="auto"/>
          <w:sz w:val="32"/>
          <w:szCs w:val="32"/>
          <w:highlight w:val="none"/>
          <w:lang w:val="en-US" w:eastAsia="zh-CN"/>
        </w:rPr>
        <w:t>落实</w:t>
      </w:r>
      <w:r>
        <w:rPr>
          <w:rFonts w:hint="default" w:ascii="Times New Roman" w:hAnsi="Times New Roman" w:eastAsia="仿宋_GB2312" w:cs="Times New Roman"/>
          <w:color w:val="auto"/>
          <w:sz w:val="32"/>
          <w:szCs w:val="32"/>
          <w:highlight w:val="none"/>
        </w:rPr>
        <w:t>绩效管理</w:t>
      </w:r>
      <w:r>
        <w:rPr>
          <w:rFonts w:hint="default" w:ascii="Times New Roman" w:hAnsi="Times New Roman" w:eastAsia="仿宋_GB2312" w:cs="Times New Roman"/>
          <w:color w:val="auto"/>
          <w:sz w:val="32"/>
          <w:szCs w:val="32"/>
          <w:highlight w:val="none"/>
          <w:lang w:val="en-US" w:eastAsia="zh-CN"/>
        </w:rPr>
        <w:t>夯实认识基础、营造良好</w:t>
      </w:r>
      <w:r>
        <w:rPr>
          <w:rFonts w:hint="default" w:ascii="Times New Roman" w:hAnsi="Times New Roman" w:eastAsia="仿宋_GB2312" w:cs="Times New Roman"/>
          <w:color w:val="auto"/>
          <w:sz w:val="32"/>
          <w:szCs w:val="32"/>
          <w:highlight w:val="none"/>
        </w:rPr>
        <w:t>舆论环境。</w:t>
      </w:r>
      <w:r>
        <w:rPr>
          <w:rFonts w:hint="default" w:ascii="Times New Roman" w:hAnsi="Times New Roman" w:eastAsia="仿宋_GB2312" w:cs="Times New Roman"/>
          <w:color w:val="auto"/>
          <w:sz w:val="32"/>
          <w:szCs w:val="32"/>
          <w:highlight w:val="none"/>
          <w:lang w:val="en-US" w:eastAsia="zh-CN"/>
        </w:rPr>
        <w:t>三是进一步强化预算执行，督促各业务处室和直属单位，严格按照工作计划推动预算执行。</w:t>
      </w:r>
    </w:p>
    <w:p>
      <w:pPr>
        <w:pageBreakBefore w:val="0"/>
        <w:kinsoku/>
        <w:wordWrap/>
        <w:overflowPunct/>
        <w:topLinePunct w:val="0"/>
        <w:bidi w:val="0"/>
        <w:spacing w:line="540" w:lineRule="exact"/>
        <w:ind w:firstLine="640" w:firstLineChars="200"/>
        <w:rPr>
          <w:rFonts w:hint="default" w:ascii="Times New Roman" w:hAnsi="Times New Roman" w:eastAsia="仿宋_GB2312" w:cs="Times New Roman"/>
          <w:color w:val="auto"/>
          <w:sz w:val="32"/>
          <w:szCs w:val="32"/>
          <w:highlight w:val="none"/>
        </w:rPr>
      </w:pPr>
    </w:p>
    <w:p>
      <w:pPr>
        <w:pageBreakBefore w:val="0"/>
        <w:kinsoku/>
        <w:wordWrap/>
        <w:overflowPunct/>
        <w:topLinePunct w:val="0"/>
        <w:bidi w:val="0"/>
        <w:spacing w:line="54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附件2</w:t>
      </w:r>
    </w:p>
    <w:p>
      <w:pPr>
        <w:pageBreakBefore w:val="0"/>
        <w:kinsoku/>
        <w:wordWrap/>
        <w:overflowPunct/>
        <w:topLinePunct w:val="0"/>
        <w:bidi w:val="0"/>
        <w:spacing w:line="540" w:lineRule="exact"/>
        <w:ind w:firstLine="640" w:firstLineChars="200"/>
        <w:rPr>
          <w:rFonts w:hint="default" w:ascii="Times New Roman" w:hAnsi="Times New Roman" w:eastAsia="仿宋_GB2312" w:cs="Times New Roman"/>
          <w:color w:val="auto"/>
          <w:sz w:val="32"/>
          <w:szCs w:val="32"/>
          <w:highlight w:val="none"/>
        </w:rPr>
      </w:pPr>
    </w:p>
    <w:p>
      <w:pPr>
        <w:pageBreakBefore w:val="0"/>
        <w:kinsoku/>
        <w:wordWrap/>
        <w:overflowPunct/>
        <w:topLinePunct w:val="0"/>
        <w:bidi w:val="0"/>
        <w:spacing w:line="540" w:lineRule="exact"/>
        <w:jc w:val="center"/>
        <w:rPr>
          <w:rFonts w:hint="default" w:ascii="Times New Roman" w:hAnsi="Times New Roman" w:eastAsia="方正小标宋简体" w:cs="Times New Roman"/>
          <w:color w:val="auto"/>
          <w:kern w:val="2"/>
          <w:sz w:val="40"/>
          <w:szCs w:val="40"/>
          <w:highlight w:val="none"/>
          <w:lang w:val="en-US" w:eastAsia="zh-CN"/>
        </w:rPr>
      </w:pPr>
      <w:r>
        <w:rPr>
          <w:rFonts w:hint="default" w:ascii="Times New Roman" w:hAnsi="Times New Roman" w:eastAsia="方正小标宋简体" w:cs="Times New Roman"/>
          <w:color w:val="auto"/>
          <w:kern w:val="0"/>
          <w:sz w:val="40"/>
          <w:szCs w:val="44"/>
          <w:highlight w:val="none"/>
          <w:lang w:val="zh-CN"/>
        </w:rPr>
        <w:t>202</w:t>
      </w:r>
      <w:r>
        <w:rPr>
          <w:rFonts w:hint="default" w:ascii="Times New Roman" w:hAnsi="Times New Roman" w:eastAsia="方正小标宋简体" w:cs="Times New Roman"/>
          <w:color w:val="auto"/>
          <w:kern w:val="0"/>
          <w:sz w:val="40"/>
          <w:szCs w:val="44"/>
          <w:highlight w:val="none"/>
          <w:lang w:val="en-US" w:eastAsia="zh-CN"/>
        </w:rPr>
        <w:t>0</w:t>
      </w:r>
      <w:r>
        <w:rPr>
          <w:rFonts w:hint="default" w:ascii="Times New Roman" w:hAnsi="Times New Roman" w:eastAsia="方正小标宋简体" w:cs="Times New Roman"/>
          <w:color w:val="auto"/>
          <w:kern w:val="0"/>
          <w:sz w:val="40"/>
          <w:szCs w:val="44"/>
          <w:highlight w:val="none"/>
          <w:lang w:val="zh-CN"/>
        </w:rPr>
        <w:t>年</w:t>
      </w:r>
      <w:r>
        <w:rPr>
          <w:rFonts w:hint="default" w:ascii="Times New Roman" w:hAnsi="Times New Roman" w:eastAsia="方正小标宋简体" w:cs="Times New Roman"/>
          <w:color w:val="auto"/>
          <w:kern w:val="2"/>
          <w:sz w:val="40"/>
          <w:szCs w:val="40"/>
          <w:highlight w:val="none"/>
          <w:lang w:val="en-US" w:eastAsia="zh-CN"/>
        </w:rPr>
        <w:t>省预算内基本建设投资</w:t>
      </w:r>
    </w:p>
    <w:p>
      <w:pPr>
        <w:pageBreakBefore w:val="0"/>
        <w:kinsoku/>
        <w:wordWrap/>
        <w:overflowPunct/>
        <w:topLinePunct w:val="0"/>
        <w:bidi w:val="0"/>
        <w:spacing w:line="540" w:lineRule="exact"/>
        <w:jc w:val="center"/>
        <w:rPr>
          <w:rFonts w:hint="default" w:ascii="Times New Roman" w:hAnsi="Times New Roman" w:eastAsia="方正小标宋简体" w:cs="Times New Roman"/>
          <w:color w:val="auto"/>
          <w:kern w:val="0"/>
          <w:sz w:val="40"/>
          <w:szCs w:val="44"/>
          <w:highlight w:val="none"/>
          <w:lang w:val="zh-CN"/>
        </w:rPr>
      </w:pPr>
      <w:r>
        <w:rPr>
          <w:rFonts w:hint="default" w:ascii="Times New Roman" w:hAnsi="Times New Roman" w:eastAsia="方正小标宋简体" w:cs="Times New Roman"/>
          <w:color w:val="auto"/>
          <w:kern w:val="0"/>
          <w:sz w:val="40"/>
          <w:szCs w:val="44"/>
          <w:highlight w:val="none"/>
          <w:lang w:val="zh-CN"/>
        </w:rPr>
        <w:t>支出绩效自评报告</w:t>
      </w:r>
    </w:p>
    <w:p>
      <w:pPr>
        <w:keepNext w:val="0"/>
        <w:keepLines w:val="0"/>
        <w:pageBreakBefore w:val="0"/>
        <w:widowControl w:val="0"/>
        <w:kinsoku/>
        <w:wordWrap/>
        <w:overflowPunct/>
        <w:topLinePunct w:val="0"/>
        <w:autoSpaceDE/>
        <w:autoSpaceDN/>
        <w:bidi w:val="0"/>
        <w:spacing w:line="540" w:lineRule="exact"/>
        <w:textAlignment w:val="auto"/>
        <w:rPr>
          <w:rFonts w:hint="default" w:ascii="Times New Roman" w:hAnsi="Times New Roman" w:cs="Times New Roman"/>
          <w:color w:val="auto"/>
          <w:highlight w:val="none"/>
          <w:lang w:val="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textAlignment w:val="auto"/>
        <w:rPr>
          <w:rFonts w:hint="default" w:ascii="Times New Roman" w:hAnsi="Times New Roman" w:eastAsia="黑体" w:cs="Times New Roman"/>
          <w:color w:val="auto"/>
          <w:sz w:val="32"/>
          <w:szCs w:val="32"/>
          <w:highlight w:val="none"/>
          <w:lang w:val="en-US" w:eastAsia="zh-CN"/>
        </w:rPr>
      </w:pPr>
      <w:r>
        <w:rPr>
          <w:rFonts w:hint="eastAsia" w:eastAsia="黑体" w:cs="Times New Roman"/>
          <w:color w:val="auto"/>
          <w:sz w:val="32"/>
          <w:szCs w:val="32"/>
          <w:highlight w:val="none"/>
          <w:lang w:val="en-US" w:eastAsia="zh-CN"/>
        </w:rPr>
        <w:t xml:space="preserve">    </w:t>
      </w:r>
      <w:r>
        <w:rPr>
          <w:rFonts w:hint="default" w:ascii="Times New Roman" w:hAnsi="Times New Roman" w:eastAsia="黑体" w:cs="Times New Roman"/>
          <w:color w:val="auto"/>
          <w:sz w:val="32"/>
          <w:szCs w:val="32"/>
          <w:highlight w:val="none"/>
          <w:lang w:val="en-US" w:eastAsia="zh-CN"/>
        </w:rPr>
        <w:t>一、绩效自评思路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textAlignment w:val="auto"/>
        <w:rPr>
          <w:rFonts w:hint="default" w:ascii="Times New Roman" w:hAnsi="Times New Roman" w:eastAsia="楷体_GB2312" w:cs="Times New Roman"/>
          <w:b/>
          <w:color w:val="auto"/>
          <w:sz w:val="32"/>
          <w:szCs w:val="32"/>
          <w:highlight w:val="none"/>
          <w:lang w:val="zh-CN"/>
        </w:rPr>
      </w:pPr>
      <w:r>
        <w:rPr>
          <w:rFonts w:hint="default" w:ascii="Times New Roman" w:hAnsi="Times New Roman" w:eastAsia="楷体_GB2312" w:cs="Times New Roman"/>
          <w:b/>
          <w:color w:val="auto"/>
          <w:sz w:val="32"/>
          <w:szCs w:val="32"/>
          <w:highlight w:val="none"/>
          <w:lang w:val="en-US" w:eastAsia="zh-CN"/>
        </w:rPr>
        <w:t xml:space="preserve">    （一</w:t>
      </w:r>
      <w:r>
        <w:rPr>
          <w:rFonts w:hint="default" w:ascii="Times New Roman" w:hAnsi="Times New Roman" w:eastAsia="楷体_GB2312" w:cs="Times New Roman"/>
          <w:b/>
          <w:color w:val="auto"/>
          <w:sz w:val="32"/>
          <w:szCs w:val="32"/>
          <w:highlight w:val="none"/>
          <w:lang w:val="zh-CN"/>
        </w:rPr>
        <w:t>）绩效目标。</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72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深入贯彻习近平总书记关于奋力夺取疫情防控和实现经济社会发展目标双胜利的重要讲话精神，全面落实省委、省政府决策部署，全力做好“六稳”工作，充分发挥政府投资效益，进一步发挥</w:t>
      </w:r>
      <w:r>
        <w:rPr>
          <w:rFonts w:hint="default" w:ascii="Times New Roman" w:hAnsi="Times New Roman" w:eastAsia="仿宋_GB2312" w:cs="Times New Roman"/>
          <w:color w:val="auto"/>
          <w:sz w:val="32"/>
          <w:szCs w:val="32"/>
          <w:highlight w:val="none"/>
          <w:lang w:eastAsia="zh-CN"/>
        </w:rPr>
        <w:t>省预算内基本建设投资</w:t>
      </w:r>
      <w:r>
        <w:rPr>
          <w:rFonts w:hint="default" w:ascii="Times New Roman" w:hAnsi="Times New Roman" w:eastAsia="仿宋_GB2312" w:cs="Times New Roman"/>
          <w:color w:val="auto"/>
          <w:sz w:val="32"/>
          <w:szCs w:val="32"/>
          <w:highlight w:val="none"/>
          <w:lang w:val="en-US" w:eastAsia="zh-CN"/>
        </w:rPr>
        <w:t>对全省经济社会发展的</w:t>
      </w:r>
      <w:r>
        <w:rPr>
          <w:rFonts w:hint="default" w:ascii="Times New Roman" w:hAnsi="Times New Roman" w:eastAsia="仿宋_GB2312" w:cs="Times New Roman"/>
          <w:color w:val="auto"/>
          <w:kern w:val="2"/>
          <w:sz w:val="32"/>
          <w:szCs w:val="32"/>
          <w:highlight w:val="none"/>
          <w:lang w:val="en-US" w:eastAsia="zh-CN" w:bidi="ar-SA"/>
        </w:rPr>
        <w:t>引导带动作用，助力实现全省高质量发展。</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720"/>
        <w:textAlignment w:val="auto"/>
        <w:rPr>
          <w:rFonts w:hint="default" w:ascii="Times New Roman" w:hAnsi="Times New Roman" w:eastAsia="楷体_GB2312" w:cs="Times New Roman"/>
          <w:b/>
          <w:color w:val="auto"/>
          <w:sz w:val="32"/>
          <w:szCs w:val="32"/>
          <w:highlight w:val="none"/>
          <w:lang w:val="en-US" w:eastAsia="zh-CN"/>
        </w:rPr>
      </w:pPr>
      <w:r>
        <w:rPr>
          <w:rFonts w:hint="default" w:ascii="Times New Roman" w:hAnsi="Times New Roman" w:eastAsia="楷体_GB2312" w:cs="Times New Roman"/>
          <w:b/>
          <w:color w:val="auto"/>
          <w:sz w:val="32"/>
          <w:szCs w:val="32"/>
          <w:highlight w:val="none"/>
          <w:lang w:val="en-US" w:eastAsia="zh-CN"/>
        </w:rPr>
        <w:t>（二）相关职能职责</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720"/>
        <w:textAlignment w:val="auto"/>
        <w:rPr>
          <w:rFonts w:hint="default" w:ascii="Times New Roman" w:hAnsi="Times New Roman" w:cs="Times New Roman"/>
          <w:color w:val="auto"/>
          <w:sz w:val="32"/>
          <w:szCs w:val="32"/>
          <w:highlight w:val="none"/>
          <w:lang w:val="zh-CN" w:eastAsia="zh-CN"/>
        </w:rPr>
      </w:pPr>
      <w:r>
        <w:rPr>
          <w:rFonts w:hint="default" w:ascii="Times New Roman" w:hAnsi="Times New Roman" w:eastAsia="仿宋_GB2312" w:cs="Times New Roman"/>
          <w:color w:val="auto"/>
          <w:sz w:val="32"/>
          <w:szCs w:val="32"/>
          <w:highlight w:val="none"/>
          <w:lang w:val="en-US" w:eastAsia="zh-CN"/>
        </w:rPr>
        <w:t>省发展改革委作为省预算基本建设投资的主管部门，负责省预算内资金安排下达及监管，</w:t>
      </w:r>
      <w:r>
        <w:rPr>
          <w:rFonts w:hint="default" w:ascii="Times New Roman" w:hAnsi="Times New Roman" w:eastAsia="仿宋_GB2312" w:cs="Times New Roman"/>
          <w:color w:val="auto"/>
          <w:spacing w:val="-6"/>
          <w:sz w:val="32"/>
          <w:szCs w:val="32"/>
          <w:highlight w:val="none"/>
          <w:u w:val="none" w:color="auto"/>
          <w:lang w:eastAsia="zh-CN"/>
        </w:rPr>
        <w:t>地方</w:t>
      </w:r>
      <w:r>
        <w:rPr>
          <w:rFonts w:hint="default" w:ascii="Times New Roman" w:hAnsi="Times New Roman" w:eastAsia="仿宋_GB2312" w:cs="Times New Roman"/>
          <w:color w:val="auto"/>
          <w:spacing w:val="-6"/>
          <w:sz w:val="32"/>
          <w:szCs w:val="32"/>
          <w:highlight w:val="none"/>
          <w:u w:val="none" w:color="auto"/>
        </w:rPr>
        <w:t>发展改革部门</w:t>
      </w:r>
      <w:r>
        <w:rPr>
          <w:rFonts w:hint="default" w:ascii="Times New Roman" w:hAnsi="Times New Roman" w:eastAsia="仿宋_GB2312" w:cs="Times New Roman"/>
          <w:color w:val="auto"/>
          <w:sz w:val="32"/>
          <w:szCs w:val="32"/>
          <w:highlight w:val="none"/>
          <w:u w:val="none" w:color="auto"/>
          <w:lang w:eastAsia="zh-CN"/>
        </w:rPr>
        <w:t>、省级</w:t>
      </w:r>
      <w:r>
        <w:rPr>
          <w:rFonts w:hint="default" w:ascii="Times New Roman" w:hAnsi="Times New Roman" w:eastAsia="仿宋_GB2312" w:cs="Times New Roman"/>
          <w:color w:val="auto"/>
          <w:sz w:val="32"/>
          <w:szCs w:val="32"/>
          <w:highlight w:val="none"/>
          <w:u w:val="none" w:color="auto"/>
        </w:rPr>
        <w:t>项目主管</w:t>
      </w:r>
      <w:r>
        <w:rPr>
          <w:rFonts w:hint="default" w:ascii="Times New Roman" w:hAnsi="Times New Roman" w:eastAsia="仿宋_GB2312" w:cs="Times New Roman"/>
          <w:color w:val="auto"/>
          <w:sz w:val="32"/>
          <w:szCs w:val="32"/>
          <w:highlight w:val="none"/>
          <w:u w:val="none" w:color="auto"/>
          <w:lang w:eastAsia="zh-CN"/>
        </w:rPr>
        <w:t>部门以及项目日常监管直接责任单位、监管责任人</w:t>
      </w:r>
      <w:r>
        <w:rPr>
          <w:rFonts w:hint="default" w:ascii="Times New Roman" w:hAnsi="Times New Roman" w:eastAsia="仿宋_GB2312" w:cs="Times New Roman"/>
          <w:color w:val="auto"/>
          <w:sz w:val="32"/>
          <w:szCs w:val="32"/>
          <w:highlight w:val="none"/>
          <w:lang w:val="en-US" w:eastAsia="zh-CN"/>
        </w:rPr>
        <w:t>主要负责对项目前期申报、落地实施、工程建设管理、计划执行进度、资金使用与拨付等重点环节进行监督检查，是预算绩效管理的责任主体，</w:t>
      </w:r>
      <w:r>
        <w:rPr>
          <w:rFonts w:hint="default" w:ascii="Times New Roman" w:hAnsi="Times New Roman" w:eastAsia="仿宋_GB2312" w:cs="Times New Roman"/>
          <w:color w:val="auto"/>
          <w:sz w:val="32"/>
          <w:szCs w:val="32"/>
          <w:highlight w:val="none"/>
          <w:lang w:val="zh-CN" w:eastAsia="zh-CN"/>
        </w:rPr>
        <w:t>对绩效目标实现程度进行监督管理，保证政府投资资金的合理使用和项目顺利建设实施。</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textAlignment w:val="auto"/>
        <w:rPr>
          <w:rFonts w:hint="default" w:ascii="Times New Roman" w:hAnsi="Times New Roman" w:eastAsia="楷体_GB2312" w:cs="Times New Roman"/>
          <w:b/>
          <w:color w:val="auto"/>
          <w:sz w:val="32"/>
          <w:szCs w:val="32"/>
          <w:highlight w:val="none"/>
          <w:lang w:val="zh-CN"/>
        </w:rPr>
      </w:pPr>
      <w:r>
        <w:rPr>
          <w:rFonts w:hint="default" w:ascii="Times New Roman" w:hAnsi="Times New Roman" w:eastAsia="楷体_GB2312" w:cs="Times New Roman"/>
          <w:b/>
          <w:color w:val="auto"/>
          <w:sz w:val="32"/>
          <w:szCs w:val="32"/>
          <w:highlight w:val="none"/>
          <w:lang w:val="en-US" w:eastAsia="zh-CN"/>
        </w:rPr>
        <w:t xml:space="preserve">   </w:t>
      </w:r>
      <w:r>
        <w:rPr>
          <w:rFonts w:hint="default" w:ascii="Times New Roman" w:hAnsi="Times New Roman" w:eastAsia="楷体_GB2312" w:cs="Times New Roman"/>
          <w:b/>
          <w:color w:val="auto"/>
          <w:sz w:val="32"/>
          <w:szCs w:val="32"/>
          <w:highlight w:val="none"/>
          <w:lang w:val="zh-CN"/>
        </w:rPr>
        <w:t>（</w:t>
      </w:r>
      <w:r>
        <w:rPr>
          <w:rFonts w:hint="default" w:ascii="Times New Roman" w:hAnsi="Times New Roman" w:eastAsia="楷体_GB2312" w:cs="Times New Roman"/>
          <w:b/>
          <w:color w:val="auto"/>
          <w:sz w:val="32"/>
          <w:szCs w:val="32"/>
          <w:highlight w:val="none"/>
          <w:lang w:val="en-US" w:eastAsia="zh-CN"/>
        </w:rPr>
        <w:t>三</w:t>
      </w:r>
      <w:r>
        <w:rPr>
          <w:rFonts w:hint="default" w:ascii="Times New Roman" w:hAnsi="Times New Roman" w:eastAsia="楷体_GB2312" w:cs="Times New Roman"/>
          <w:b/>
          <w:color w:val="auto"/>
          <w:sz w:val="32"/>
          <w:szCs w:val="32"/>
          <w:highlight w:val="none"/>
          <w:lang w:val="zh-CN"/>
        </w:rPr>
        <w:t>）自评步骤及方法。</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lang w:val="zh-CN"/>
        </w:rPr>
      </w:pPr>
      <w:r>
        <w:rPr>
          <w:rFonts w:hint="default" w:ascii="Times New Roman" w:hAnsi="Times New Roman" w:eastAsia="仿宋_GB2312" w:cs="Times New Roman"/>
          <w:color w:val="auto"/>
          <w:sz w:val="32"/>
          <w:szCs w:val="32"/>
          <w:highlight w:val="none"/>
          <w:shd w:val="clear" w:color="auto" w:fill="FFFFFF"/>
        </w:rPr>
        <w:t>成立项目绩效自评工作组，</w:t>
      </w:r>
      <w:r>
        <w:rPr>
          <w:rFonts w:hint="default" w:ascii="Times New Roman" w:hAnsi="Times New Roman" w:eastAsia="仿宋_GB2312" w:cs="Times New Roman"/>
          <w:color w:val="auto"/>
          <w:kern w:val="0"/>
          <w:sz w:val="32"/>
          <w:szCs w:val="32"/>
          <w:highlight w:val="none"/>
        </w:rPr>
        <w:t>按照前期准备、实施评价、报告撰写三个阶段，</w:t>
      </w:r>
      <w:r>
        <w:rPr>
          <w:rFonts w:hint="default" w:ascii="Times New Roman" w:hAnsi="Times New Roman" w:eastAsia="仿宋_GB2312" w:cs="Times New Roman"/>
          <w:color w:val="auto"/>
          <w:kern w:val="0"/>
          <w:sz w:val="32"/>
          <w:szCs w:val="32"/>
          <w:highlight w:val="none"/>
          <w:lang w:val="en-US" w:eastAsia="zh-CN"/>
        </w:rPr>
        <w:t>会同行业主管部门、相关市（州）组织项目单位通过自查、实地查看、“项目一张网”在线监测等方式开展</w:t>
      </w:r>
      <w:r>
        <w:rPr>
          <w:rFonts w:hint="default" w:ascii="Times New Roman" w:hAnsi="Times New Roman" w:eastAsia="仿宋_GB2312" w:cs="Times New Roman"/>
          <w:color w:val="auto"/>
          <w:sz w:val="32"/>
          <w:szCs w:val="32"/>
          <w:highlight w:val="none"/>
          <w:lang w:val="en-US" w:eastAsia="zh-CN"/>
        </w:rPr>
        <w:t>绩效自评工作。</w:t>
      </w:r>
      <w:r>
        <w:rPr>
          <w:rFonts w:hint="default" w:ascii="Times New Roman" w:hAnsi="Times New Roman" w:eastAsia="仿宋_GB2312" w:cs="Times New Roman"/>
          <w:color w:val="auto"/>
          <w:sz w:val="32"/>
          <w:szCs w:val="32"/>
          <w:highlight w:val="none"/>
          <w:shd w:val="clear" w:color="auto" w:fill="FFFFFF"/>
        </w:rPr>
        <w:t>对照资料清单，收集基础资料，</w:t>
      </w:r>
      <w:r>
        <w:rPr>
          <w:rFonts w:hint="default" w:ascii="Times New Roman" w:hAnsi="Times New Roman" w:eastAsia="仿宋_GB2312" w:cs="Times New Roman"/>
          <w:color w:val="auto"/>
          <w:kern w:val="0"/>
          <w:sz w:val="32"/>
          <w:szCs w:val="32"/>
          <w:highlight w:val="none"/>
        </w:rPr>
        <w:t>在收集项目文件资料、细化评价指标及评价标准的基础上，实地查看项目建设情况，</w:t>
      </w:r>
      <w:r>
        <w:rPr>
          <w:rFonts w:hint="default" w:ascii="Times New Roman" w:hAnsi="Times New Roman" w:eastAsia="仿宋_GB2312" w:cs="Times New Roman"/>
          <w:color w:val="auto"/>
          <w:sz w:val="32"/>
          <w:szCs w:val="32"/>
          <w:highlight w:val="none"/>
          <w:lang w:val="zh-CN"/>
        </w:rPr>
        <w:t>查看项目合同、项目管理资料、核实资金使用情况，</w:t>
      </w:r>
      <w:r>
        <w:rPr>
          <w:rFonts w:hint="default" w:ascii="Times New Roman" w:hAnsi="Times New Roman" w:eastAsia="仿宋_GB2312" w:cs="Times New Roman"/>
          <w:color w:val="auto"/>
          <w:kern w:val="0"/>
          <w:sz w:val="32"/>
          <w:szCs w:val="32"/>
          <w:highlight w:val="none"/>
        </w:rPr>
        <w:t>收集相关数据资料，</w:t>
      </w:r>
      <w:r>
        <w:rPr>
          <w:rFonts w:hint="default" w:ascii="Times New Roman" w:hAnsi="Times New Roman" w:eastAsia="仿宋_GB2312" w:cs="Times New Roman"/>
          <w:color w:val="auto"/>
          <w:sz w:val="32"/>
          <w:szCs w:val="32"/>
          <w:highlight w:val="none"/>
          <w:lang w:val="zh-CN"/>
        </w:rPr>
        <w:t>对使用单位进行调查询问等方式</w:t>
      </w:r>
      <w:r>
        <w:rPr>
          <w:rFonts w:hint="default" w:ascii="Times New Roman" w:hAnsi="Times New Roman" w:eastAsia="仿宋_GB2312" w:cs="Times New Roman"/>
          <w:color w:val="auto"/>
          <w:kern w:val="0"/>
          <w:sz w:val="32"/>
          <w:szCs w:val="32"/>
          <w:highlight w:val="none"/>
        </w:rPr>
        <w:t>，定量和定性分析形成自评结论。</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textAlignment w:val="auto"/>
        <w:rPr>
          <w:rFonts w:hint="default" w:ascii="Times New Roman" w:hAnsi="Times New Roman" w:eastAsia="宋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 xml:space="preserve">    二、资金使用及项目管理情况</w:t>
      </w:r>
    </w:p>
    <w:p>
      <w:pPr>
        <w:pStyle w:val="15"/>
        <w:keepNext w:val="0"/>
        <w:keepLines w:val="0"/>
        <w:pageBreakBefore w:val="0"/>
        <w:widowControl w:val="0"/>
        <w:kinsoku/>
        <w:wordWrap/>
        <w:overflowPunct/>
        <w:topLinePunct w:val="0"/>
        <w:autoSpaceDE/>
        <w:autoSpaceDN/>
        <w:bidi w:val="0"/>
        <w:spacing w:line="540" w:lineRule="exact"/>
        <w:ind w:left="0" w:leftChars="0" w:right="0" w:rightChars="0"/>
        <w:textAlignment w:val="auto"/>
        <w:rPr>
          <w:rFonts w:hint="default" w:ascii="Times New Roman" w:hAnsi="Times New Roman" w:eastAsia="楷体_GB2312" w:cs="Times New Roman"/>
          <w:b/>
          <w:color w:val="auto"/>
          <w:kern w:val="2"/>
          <w:sz w:val="32"/>
          <w:szCs w:val="32"/>
          <w:highlight w:val="none"/>
          <w:lang w:val="zh-CN" w:eastAsia="zh-CN" w:bidi="ar-SA"/>
        </w:rPr>
      </w:pPr>
      <w:r>
        <w:rPr>
          <w:rFonts w:hint="default" w:ascii="Times New Roman" w:hAnsi="Times New Roman" w:eastAsia="楷体_GB2312" w:cs="Times New Roman"/>
          <w:b/>
          <w:color w:val="auto"/>
          <w:kern w:val="2"/>
          <w:sz w:val="32"/>
          <w:szCs w:val="32"/>
          <w:highlight w:val="none"/>
          <w:lang w:val="en-US" w:eastAsia="zh-CN" w:bidi="ar-SA"/>
        </w:rPr>
        <w:t xml:space="preserve">   </w:t>
      </w:r>
      <w:r>
        <w:rPr>
          <w:rFonts w:hint="default" w:ascii="Times New Roman" w:hAnsi="Times New Roman" w:eastAsia="楷体_GB2312" w:cs="Times New Roman"/>
          <w:b/>
          <w:color w:val="auto"/>
          <w:kern w:val="2"/>
          <w:sz w:val="32"/>
          <w:szCs w:val="32"/>
          <w:highlight w:val="none"/>
          <w:lang w:val="zh-CN" w:eastAsia="zh-CN" w:bidi="ar-SA"/>
        </w:rPr>
        <w:t>（</w:t>
      </w:r>
      <w:r>
        <w:rPr>
          <w:rFonts w:hint="default" w:ascii="Times New Roman" w:hAnsi="Times New Roman" w:eastAsia="楷体_GB2312" w:cs="Times New Roman"/>
          <w:b/>
          <w:color w:val="auto"/>
          <w:kern w:val="2"/>
          <w:sz w:val="32"/>
          <w:szCs w:val="32"/>
          <w:highlight w:val="none"/>
          <w:lang w:val="en-US" w:eastAsia="zh-CN" w:bidi="ar-SA"/>
        </w:rPr>
        <w:t>一</w:t>
      </w:r>
      <w:r>
        <w:rPr>
          <w:rFonts w:hint="default" w:ascii="Times New Roman" w:hAnsi="Times New Roman" w:eastAsia="楷体_GB2312" w:cs="Times New Roman"/>
          <w:b/>
          <w:color w:val="auto"/>
          <w:kern w:val="2"/>
          <w:sz w:val="32"/>
          <w:szCs w:val="32"/>
          <w:highlight w:val="none"/>
          <w:lang w:val="zh-CN" w:eastAsia="zh-CN" w:bidi="ar-SA"/>
        </w:rPr>
        <w:t>）资金计划、到位及使用情况</w:t>
      </w:r>
    </w:p>
    <w:p>
      <w:pPr>
        <w:pStyle w:val="53"/>
        <w:keepNext w:val="0"/>
        <w:keepLines w:val="0"/>
        <w:pageBreakBefore w:val="0"/>
        <w:widowControl w:val="0"/>
        <w:kinsoku/>
        <w:wordWrap/>
        <w:overflowPunct/>
        <w:topLinePunct w:val="0"/>
        <w:autoSpaceDE/>
        <w:autoSpaceDN/>
        <w:bidi w:val="0"/>
        <w:spacing w:line="540" w:lineRule="exact"/>
        <w:ind w:left="0" w:leftChars="0" w:right="0" w:rightChars="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kern w:val="0"/>
          <w:sz w:val="32"/>
          <w:szCs w:val="32"/>
          <w:highlight w:val="none"/>
          <w:lang w:val="en-US" w:eastAsia="zh-CN"/>
        </w:rPr>
        <w:t xml:space="preserve">  </w:t>
      </w:r>
      <w:r>
        <w:rPr>
          <w:rFonts w:hint="default" w:ascii="Times New Roman" w:hAnsi="Times New Roman" w:eastAsia="仿宋_GB2312" w:cs="Times New Roman"/>
          <w:color w:val="auto"/>
          <w:kern w:val="0"/>
          <w:sz w:val="32"/>
          <w:szCs w:val="32"/>
          <w:highlight w:val="none"/>
          <w:lang w:val="en-US" w:eastAsia="zh-CN"/>
        </w:rPr>
        <w:t xml:space="preserve">  </w:t>
      </w:r>
      <w:r>
        <w:rPr>
          <w:rFonts w:hint="default" w:ascii="Times New Roman" w:hAnsi="Times New Roman" w:eastAsia="仿宋_GB2312" w:cs="Times New Roman"/>
          <w:color w:val="auto"/>
          <w:kern w:val="0"/>
          <w:sz w:val="32"/>
          <w:szCs w:val="32"/>
          <w:highlight w:val="none"/>
        </w:rPr>
        <w:t>2020年省预算内投资实际可安排</w:t>
      </w:r>
      <w:r>
        <w:rPr>
          <w:rFonts w:hint="default" w:ascii="Times New Roman" w:hAnsi="Times New Roman" w:eastAsia="仿宋_GB2312" w:cs="Times New Roman"/>
          <w:color w:val="auto"/>
          <w:kern w:val="0"/>
          <w:sz w:val="32"/>
          <w:szCs w:val="32"/>
          <w:highlight w:val="none"/>
          <w:lang w:val="en-US" w:eastAsia="zh-CN"/>
        </w:rPr>
        <w:t>资金</w:t>
      </w:r>
      <w:r>
        <w:rPr>
          <w:rFonts w:hint="default" w:ascii="Times New Roman" w:hAnsi="Times New Roman" w:eastAsia="仿宋_GB2312" w:cs="Times New Roman"/>
          <w:color w:val="auto"/>
          <w:kern w:val="0"/>
          <w:sz w:val="32"/>
          <w:szCs w:val="32"/>
          <w:highlight w:val="none"/>
        </w:rPr>
        <w:t>56亿元</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主要安排五大领域，具体情况</w:t>
      </w:r>
      <w:r>
        <w:rPr>
          <w:rFonts w:hint="default" w:ascii="Times New Roman" w:hAnsi="Times New Roman" w:eastAsia="仿宋_GB2312" w:cs="Times New Roman"/>
          <w:color w:val="auto"/>
          <w:kern w:val="0"/>
          <w:sz w:val="32"/>
          <w:szCs w:val="32"/>
          <w:highlight w:val="none"/>
        </w:rPr>
        <w:t>为：</w:t>
      </w:r>
    </w:p>
    <w:p>
      <w:pPr>
        <w:pStyle w:val="54"/>
        <w:keepNext w:val="0"/>
        <w:keepLines w:val="0"/>
        <w:pageBreakBefore w:val="0"/>
        <w:widowControl w:val="0"/>
        <w:kinsoku/>
        <w:wordWrap/>
        <w:overflowPunct/>
        <w:topLinePunct w:val="0"/>
        <w:autoSpaceDE/>
        <w:autoSpaceDN/>
        <w:bidi w:val="0"/>
        <w:spacing w:line="540" w:lineRule="exact"/>
        <w:ind w:left="0" w:leftChars="0" w:right="0" w:rightChars="0"/>
        <w:textAlignment w:val="auto"/>
        <w:rPr>
          <w:rFonts w:hint="default" w:ascii="Times New Roman" w:hAnsi="Times New Roman" w:cs="Times New Roman"/>
          <w:color w:val="auto"/>
          <w:kern w:val="0"/>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 xml:space="preserve">    1.</w:t>
      </w:r>
      <w:r>
        <w:rPr>
          <w:rFonts w:hint="default" w:ascii="Times New Roman" w:hAnsi="Times New Roman" w:eastAsia="楷体_GB2312" w:cs="Times New Roman"/>
          <w:b/>
          <w:bCs/>
          <w:color w:val="auto"/>
          <w:sz w:val="32"/>
          <w:szCs w:val="32"/>
          <w:highlight w:val="none"/>
        </w:rPr>
        <w:t>重大基础设施</w:t>
      </w:r>
      <w:r>
        <w:rPr>
          <w:rFonts w:hint="default" w:ascii="Times New Roman" w:hAnsi="Times New Roman" w:eastAsia="楷体_GB2312" w:cs="Times New Roman"/>
          <w:b/>
          <w:bCs/>
          <w:color w:val="auto"/>
          <w:sz w:val="32"/>
          <w:szCs w:val="32"/>
          <w:highlight w:val="none"/>
          <w:lang w:eastAsia="zh-CN"/>
        </w:rPr>
        <w:t>2</w:t>
      </w:r>
      <w:r>
        <w:rPr>
          <w:rFonts w:hint="default" w:ascii="Times New Roman" w:hAnsi="Times New Roman" w:eastAsia="楷体_GB2312" w:cs="Times New Roman"/>
          <w:b/>
          <w:bCs/>
          <w:color w:val="auto"/>
          <w:sz w:val="32"/>
          <w:szCs w:val="32"/>
          <w:highlight w:val="none"/>
          <w:lang w:val="en-US" w:eastAsia="zh-CN"/>
        </w:rPr>
        <w:t>0.02</w:t>
      </w:r>
      <w:r>
        <w:rPr>
          <w:rFonts w:hint="default" w:ascii="Times New Roman" w:hAnsi="Times New Roman" w:eastAsia="楷体_GB2312" w:cs="Times New Roman"/>
          <w:b/>
          <w:bCs/>
          <w:color w:val="auto"/>
          <w:sz w:val="32"/>
          <w:szCs w:val="32"/>
          <w:highlight w:val="none"/>
        </w:rPr>
        <w:t>亿元，占</w:t>
      </w:r>
      <w:r>
        <w:rPr>
          <w:rFonts w:hint="default" w:ascii="Times New Roman" w:hAnsi="Times New Roman" w:eastAsia="楷体_GB2312" w:cs="Times New Roman"/>
          <w:b/>
          <w:bCs/>
          <w:color w:val="auto"/>
          <w:sz w:val="32"/>
          <w:szCs w:val="32"/>
          <w:highlight w:val="none"/>
          <w:lang w:val="en-US" w:eastAsia="zh-CN"/>
        </w:rPr>
        <w:t>可安排资金</w:t>
      </w:r>
      <w:r>
        <w:rPr>
          <w:rFonts w:hint="default" w:ascii="Times New Roman" w:hAnsi="Times New Roman" w:eastAsia="楷体_GB2312" w:cs="Times New Roman"/>
          <w:b/>
          <w:bCs/>
          <w:color w:val="auto"/>
          <w:sz w:val="32"/>
          <w:szCs w:val="32"/>
          <w:highlight w:val="none"/>
        </w:rPr>
        <w:t>的3</w:t>
      </w:r>
      <w:r>
        <w:rPr>
          <w:rFonts w:hint="default" w:ascii="Times New Roman" w:hAnsi="Times New Roman" w:eastAsia="楷体_GB2312" w:cs="Times New Roman"/>
          <w:b/>
          <w:bCs/>
          <w:color w:val="auto"/>
          <w:sz w:val="32"/>
          <w:szCs w:val="32"/>
          <w:highlight w:val="none"/>
          <w:lang w:eastAsia="zh-CN"/>
        </w:rPr>
        <w:t>5</w:t>
      </w:r>
      <w:r>
        <w:rPr>
          <w:rFonts w:hint="default" w:ascii="Times New Roman" w:hAnsi="Times New Roman" w:eastAsia="楷体_GB2312" w:cs="Times New Roman"/>
          <w:b/>
          <w:bCs/>
          <w:color w:val="auto"/>
          <w:sz w:val="32"/>
          <w:szCs w:val="32"/>
          <w:highlight w:val="none"/>
          <w:lang w:val="en-US" w:eastAsia="zh-CN"/>
        </w:rPr>
        <w:t>.8</w:t>
      </w:r>
      <w:r>
        <w:rPr>
          <w:rFonts w:hint="default" w:ascii="Times New Roman" w:hAnsi="Times New Roman" w:eastAsia="楷体_GB2312" w:cs="Times New Roman"/>
          <w:b/>
          <w:bCs/>
          <w:color w:val="auto"/>
          <w:sz w:val="32"/>
          <w:szCs w:val="32"/>
          <w:highlight w:val="none"/>
        </w:rPr>
        <w:t>%</w:t>
      </w:r>
      <w:r>
        <w:rPr>
          <w:rFonts w:hint="default" w:ascii="Times New Roman" w:hAnsi="Times New Roman" w:eastAsia="楷体_GB2312" w:cs="Times New Roman"/>
          <w:b/>
          <w:bCs/>
          <w:color w:val="auto"/>
          <w:sz w:val="32"/>
          <w:szCs w:val="32"/>
          <w:highlight w:val="none"/>
          <w:lang w:eastAsia="zh-CN"/>
        </w:rPr>
        <w:t>。</w:t>
      </w:r>
      <w:r>
        <w:rPr>
          <w:rFonts w:hint="default" w:ascii="Times New Roman" w:hAnsi="Times New Roman" w:cs="Times New Roman"/>
          <w:b w:val="0"/>
          <w:bCs w:val="0"/>
          <w:color w:val="auto"/>
          <w:kern w:val="0"/>
          <w:sz w:val="32"/>
          <w:szCs w:val="32"/>
          <w:highlight w:val="none"/>
          <w:lang w:val="en-US" w:eastAsia="zh-CN"/>
        </w:rPr>
        <w:t>主要安排</w:t>
      </w:r>
      <w:r>
        <w:rPr>
          <w:rFonts w:hint="default" w:ascii="Times New Roman" w:hAnsi="Times New Roman" w:cs="Times New Roman"/>
          <w:b w:val="0"/>
          <w:bCs w:val="0"/>
          <w:color w:val="auto"/>
          <w:sz w:val="32"/>
          <w:szCs w:val="32"/>
          <w:highlight w:val="none"/>
        </w:rPr>
        <w:t>铁路建设专项资金、乐西高速公路马边至昭觉段、</w:t>
      </w:r>
      <w:r>
        <w:rPr>
          <w:rFonts w:hint="default" w:ascii="Times New Roman" w:hAnsi="Times New Roman" w:cs="Times New Roman"/>
          <w:b w:val="0"/>
          <w:bCs w:val="0"/>
          <w:color w:val="auto"/>
          <w:kern w:val="0"/>
          <w:sz w:val="32"/>
          <w:szCs w:val="32"/>
          <w:highlight w:val="none"/>
        </w:rPr>
        <w:t>进藏公路整治工程中央投资配套</w:t>
      </w:r>
      <w:r>
        <w:rPr>
          <w:rFonts w:hint="default" w:ascii="Times New Roman" w:hAnsi="Times New Roman" w:cs="Times New Roman"/>
          <w:b w:val="0"/>
          <w:bCs w:val="0"/>
          <w:color w:val="auto"/>
          <w:sz w:val="32"/>
          <w:szCs w:val="32"/>
          <w:highlight w:val="none"/>
        </w:rPr>
        <w:t>、成都天府国际机场口岸检查检疫及配套</w:t>
      </w:r>
      <w:r>
        <w:rPr>
          <w:rFonts w:hint="default" w:ascii="Times New Roman" w:hAnsi="Times New Roman" w:cs="Times New Roman"/>
          <w:color w:val="auto"/>
          <w:sz w:val="32"/>
          <w:szCs w:val="32"/>
          <w:highlight w:val="none"/>
        </w:rPr>
        <w:t>设施、森林航空消防基础设施建设</w:t>
      </w:r>
      <w:r>
        <w:rPr>
          <w:rFonts w:hint="default" w:ascii="Times New Roman" w:hAnsi="Times New Roman" w:cs="Times New Roman"/>
          <w:color w:val="auto"/>
          <w:sz w:val="32"/>
          <w:szCs w:val="32"/>
          <w:highlight w:val="none"/>
          <w:lang w:val="en-US" w:eastAsia="zh-CN"/>
        </w:rPr>
        <w:t>；</w:t>
      </w:r>
      <w:r>
        <w:rPr>
          <w:rFonts w:hint="default" w:ascii="Times New Roman" w:hAnsi="Times New Roman" w:cs="Times New Roman"/>
          <w:color w:val="auto"/>
          <w:kern w:val="0"/>
          <w:sz w:val="32"/>
          <w:szCs w:val="32"/>
          <w:highlight w:val="none"/>
        </w:rPr>
        <w:t>大中型水利中央投资配套、</w:t>
      </w:r>
      <w:r>
        <w:rPr>
          <w:rFonts w:hint="default" w:ascii="Times New Roman" w:hAnsi="Times New Roman" w:cs="Times New Roman"/>
          <w:color w:val="auto"/>
          <w:sz w:val="32"/>
          <w:szCs w:val="32"/>
          <w:highlight w:val="none"/>
        </w:rPr>
        <w:t>天府农业博览园、省气象灾害监测预警体系建设、</w:t>
      </w:r>
      <w:r>
        <w:rPr>
          <w:rFonts w:hint="default" w:ascii="Times New Roman" w:hAnsi="Times New Roman" w:cs="Times New Roman"/>
          <w:color w:val="auto"/>
          <w:kern w:val="0"/>
          <w:sz w:val="32"/>
          <w:szCs w:val="32"/>
          <w:highlight w:val="none"/>
        </w:rPr>
        <w:t>省种质资源中心库</w:t>
      </w:r>
      <w:r>
        <w:rPr>
          <w:rFonts w:hint="default" w:ascii="Times New Roman" w:hAnsi="Times New Roman" w:cs="Times New Roman"/>
          <w:color w:val="auto"/>
          <w:kern w:val="0"/>
          <w:sz w:val="32"/>
          <w:szCs w:val="32"/>
          <w:highlight w:val="none"/>
          <w:lang w:eastAsia="zh-CN"/>
        </w:rPr>
        <w:t>、</w:t>
      </w:r>
      <w:r>
        <w:rPr>
          <w:rFonts w:hint="default" w:ascii="Times New Roman" w:hAnsi="Times New Roman" w:cs="Times New Roman"/>
          <w:color w:val="auto"/>
          <w:kern w:val="0"/>
          <w:sz w:val="32"/>
          <w:szCs w:val="32"/>
          <w:highlight w:val="none"/>
        </w:rPr>
        <w:t>森林草原防灭火基础设施</w:t>
      </w:r>
      <w:r>
        <w:rPr>
          <w:rFonts w:hint="default" w:ascii="Times New Roman" w:hAnsi="Times New Roman" w:cs="Times New Roman"/>
          <w:color w:val="auto"/>
          <w:kern w:val="0"/>
          <w:sz w:val="32"/>
          <w:szCs w:val="32"/>
          <w:highlight w:val="none"/>
          <w:lang w:eastAsia="zh-CN"/>
        </w:rPr>
        <w:t>；</w:t>
      </w:r>
      <w:r>
        <w:rPr>
          <w:rFonts w:hint="default" w:ascii="Times New Roman" w:hAnsi="Times New Roman" w:cs="Times New Roman"/>
          <w:color w:val="auto"/>
          <w:kern w:val="0"/>
          <w:sz w:val="32"/>
          <w:szCs w:val="32"/>
          <w:highlight w:val="none"/>
        </w:rPr>
        <w:t>省级煤矿安全改造中央投资配套、省煤田地质局页岩气创新中心基地</w:t>
      </w:r>
      <w:r>
        <w:rPr>
          <w:rFonts w:hint="default" w:ascii="Times New Roman" w:hAnsi="Times New Roman" w:cs="Times New Roman"/>
          <w:color w:val="auto"/>
          <w:kern w:val="0"/>
          <w:sz w:val="32"/>
          <w:szCs w:val="32"/>
          <w:highlight w:val="none"/>
          <w:lang w:eastAsia="zh-CN"/>
        </w:rPr>
        <w:t>；</w:t>
      </w:r>
      <w:r>
        <w:rPr>
          <w:rFonts w:hint="default" w:ascii="Times New Roman" w:hAnsi="Times New Roman" w:cs="Times New Roman"/>
          <w:color w:val="auto"/>
          <w:kern w:val="0"/>
          <w:sz w:val="32"/>
          <w:szCs w:val="32"/>
          <w:highlight w:val="none"/>
        </w:rPr>
        <w:t>国家重大科研装置项目专用道路工程配套基础设施建设</w:t>
      </w:r>
      <w:r>
        <w:rPr>
          <w:rFonts w:hint="default" w:ascii="Times New Roman" w:hAnsi="Times New Roman" w:cs="Times New Roman"/>
          <w:color w:val="auto"/>
          <w:kern w:val="0"/>
          <w:sz w:val="32"/>
          <w:szCs w:val="32"/>
          <w:highlight w:val="none"/>
          <w:lang w:eastAsia="zh-CN"/>
        </w:rPr>
        <w:t>、</w:t>
      </w:r>
      <w:r>
        <w:rPr>
          <w:rFonts w:hint="default" w:ascii="Times New Roman" w:hAnsi="Times New Roman" w:cs="Times New Roman"/>
          <w:color w:val="auto"/>
          <w:kern w:val="0"/>
          <w:sz w:val="32"/>
          <w:szCs w:val="32"/>
          <w:highlight w:val="none"/>
        </w:rPr>
        <w:t>县城排水设施建设</w:t>
      </w:r>
      <w:r>
        <w:rPr>
          <w:rFonts w:hint="default" w:ascii="Times New Roman" w:hAnsi="Times New Roman" w:cs="Times New Roman"/>
          <w:color w:val="auto"/>
          <w:kern w:val="0"/>
          <w:sz w:val="32"/>
          <w:szCs w:val="32"/>
          <w:highlight w:val="none"/>
          <w:lang w:val="en-US" w:eastAsia="zh-CN"/>
        </w:rPr>
        <w:t>中央投资配套等</w:t>
      </w:r>
      <w:r>
        <w:rPr>
          <w:rFonts w:hint="default" w:ascii="Times New Roman" w:hAnsi="Times New Roman" w:cs="Times New Roman"/>
          <w:color w:val="auto"/>
          <w:kern w:val="0"/>
          <w:sz w:val="32"/>
          <w:szCs w:val="32"/>
          <w:highlight w:val="none"/>
          <w:lang w:eastAsia="zh-CN"/>
        </w:rPr>
        <w:t>。</w:t>
      </w:r>
    </w:p>
    <w:p>
      <w:pPr>
        <w:pStyle w:val="51"/>
        <w:keepNext w:val="0"/>
        <w:keepLines w:val="0"/>
        <w:pageBreakBefore w:val="0"/>
        <w:widowControl w:val="0"/>
        <w:kinsoku/>
        <w:wordWrap/>
        <w:overflowPunct/>
        <w:topLinePunct w:val="0"/>
        <w:autoSpaceDE/>
        <w:autoSpaceDN/>
        <w:bidi w:val="0"/>
        <w:spacing w:line="540" w:lineRule="exact"/>
        <w:ind w:left="0" w:leftChars="0" w:right="0" w:rightChars="0"/>
        <w:textAlignment w:val="auto"/>
        <w:rPr>
          <w:rFonts w:hint="default" w:ascii="Times New Roman" w:hAnsi="Times New Roman" w:cs="Times New Roman"/>
          <w:color w:val="auto"/>
          <w:kern w:val="0"/>
          <w:sz w:val="32"/>
          <w:szCs w:val="32"/>
          <w:highlight w:val="none"/>
        </w:rPr>
      </w:pPr>
      <w:r>
        <w:rPr>
          <w:rFonts w:hint="default" w:ascii="Times New Roman" w:hAnsi="Times New Roman" w:eastAsia="楷体_GB2312" w:cs="Times New Roman"/>
          <w:b/>
          <w:bCs/>
          <w:color w:val="auto"/>
          <w:sz w:val="32"/>
          <w:szCs w:val="32"/>
          <w:highlight w:val="none"/>
          <w:lang w:val="en-US" w:eastAsia="zh-CN"/>
        </w:rPr>
        <w:t xml:space="preserve">    2.</w:t>
      </w:r>
      <w:r>
        <w:rPr>
          <w:rFonts w:hint="default" w:ascii="Times New Roman" w:hAnsi="Times New Roman" w:eastAsia="楷体_GB2312" w:cs="Times New Roman"/>
          <w:b/>
          <w:bCs/>
          <w:color w:val="auto"/>
          <w:sz w:val="32"/>
          <w:szCs w:val="32"/>
          <w:highlight w:val="none"/>
        </w:rPr>
        <w:t>社会事业和民生工程</w:t>
      </w:r>
      <w:r>
        <w:rPr>
          <w:rFonts w:hint="default" w:ascii="Times New Roman" w:hAnsi="Times New Roman" w:eastAsia="楷体_GB2312" w:cs="Times New Roman"/>
          <w:b/>
          <w:bCs/>
          <w:color w:val="auto"/>
          <w:sz w:val="32"/>
          <w:szCs w:val="32"/>
          <w:highlight w:val="none"/>
          <w:lang w:eastAsia="zh-CN"/>
        </w:rPr>
        <w:t>2</w:t>
      </w:r>
      <w:r>
        <w:rPr>
          <w:rFonts w:hint="default" w:ascii="Times New Roman" w:hAnsi="Times New Roman" w:eastAsia="楷体_GB2312" w:cs="Times New Roman"/>
          <w:b/>
          <w:bCs/>
          <w:color w:val="auto"/>
          <w:sz w:val="32"/>
          <w:szCs w:val="32"/>
          <w:highlight w:val="none"/>
          <w:lang w:val="en-US" w:eastAsia="zh-CN"/>
        </w:rPr>
        <w:t>8.33</w:t>
      </w:r>
      <w:r>
        <w:rPr>
          <w:rFonts w:hint="default" w:ascii="Times New Roman" w:hAnsi="Times New Roman" w:eastAsia="楷体_GB2312" w:cs="Times New Roman"/>
          <w:b/>
          <w:bCs/>
          <w:color w:val="auto"/>
          <w:sz w:val="32"/>
          <w:szCs w:val="32"/>
          <w:highlight w:val="none"/>
        </w:rPr>
        <w:t>亿元，占</w:t>
      </w:r>
      <w:r>
        <w:rPr>
          <w:rFonts w:hint="default" w:ascii="Times New Roman" w:hAnsi="Times New Roman" w:eastAsia="楷体_GB2312" w:cs="Times New Roman"/>
          <w:b/>
          <w:bCs/>
          <w:color w:val="auto"/>
          <w:sz w:val="32"/>
          <w:szCs w:val="32"/>
          <w:highlight w:val="none"/>
          <w:lang w:val="en-US" w:eastAsia="zh-CN"/>
        </w:rPr>
        <w:t>可安排资金</w:t>
      </w:r>
      <w:r>
        <w:rPr>
          <w:rFonts w:hint="default" w:ascii="Times New Roman" w:hAnsi="Times New Roman" w:eastAsia="楷体_GB2312" w:cs="Times New Roman"/>
          <w:b/>
          <w:bCs/>
          <w:color w:val="auto"/>
          <w:sz w:val="32"/>
          <w:szCs w:val="32"/>
          <w:highlight w:val="none"/>
        </w:rPr>
        <w:t>的</w:t>
      </w:r>
      <w:r>
        <w:rPr>
          <w:rFonts w:hint="default" w:ascii="Times New Roman" w:hAnsi="Times New Roman" w:eastAsia="楷体_GB2312" w:cs="Times New Roman"/>
          <w:b/>
          <w:bCs/>
          <w:color w:val="auto"/>
          <w:sz w:val="32"/>
          <w:szCs w:val="32"/>
          <w:highlight w:val="none"/>
          <w:lang w:val="en-US" w:eastAsia="zh-CN"/>
        </w:rPr>
        <w:t>50.6</w:t>
      </w:r>
      <w:r>
        <w:rPr>
          <w:rFonts w:hint="default" w:ascii="Times New Roman" w:hAnsi="Times New Roman" w:eastAsia="楷体_GB2312" w:cs="Times New Roman"/>
          <w:b/>
          <w:bCs/>
          <w:color w:val="auto"/>
          <w:sz w:val="32"/>
          <w:szCs w:val="32"/>
          <w:highlight w:val="none"/>
        </w:rPr>
        <w:t>%</w:t>
      </w:r>
      <w:r>
        <w:rPr>
          <w:rFonts w:hint="default" w:ascii="Times New Roman" w:hAnsi="Times New Roman" w:eastAsia="楷体_GB2312" w:cs="Times New Roman"/>
          <w:b/>
          <w:bCs/>
          <w:color w:val="auto"/>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主要安排</w:t>
      </w:r>
      <w:r>
        <w:rPr>
          <w:rFonts w:hint="default" w:ascii="Times New Roman" w:hAnsi="Times New Roman" w:eastAsia="仿宋_GB2312" w:cs="Times New Roman"/>
          <w:color w:val="auto"/>
          <w:sz w:val="32"/>
          <w:szCs w:val="32"/>
          <w:highlight w:val="none"/>
        </w:rPr>
        <w:t>省社科院研究生学院教学新区资金缺口、</w:t>
      </w:r>
      <w:r>
        <w:rPr>
          <w:rFonts w:hint="default" w:ascii="Times New Roman" w:hAnsi="Times New Roman" w:eastAsia="仿宋_GB2312" w:cs="Times New Roman"/>
          <w:color w:val="auto"/>
          <w:kern w:val="0"/>
          <w:sz w:val="32"/>
          <w:szCs w:val="32"/>
          <w:highlight w:val="none"/>
        </w:rPr>
        <w:t>基本公共教育服务保障工程中央投资配套、</w:t>
      </w:r>
      <w:r>
        <w:rPr>
          <w:rFonts w:hint="default" w:ascii="Times New Roman" w:hAnsi="Times New Roman" w:eastAsia="仿宋_GB2312" w:cs="Times New Roman"/>
          <w:color w:val="auto"/>
          <w:sz w:val="32"/>
          <w:szCs w:val="32"/>
          <w:highlight w:val="none"/>
        </w:rPr>
        <w:t>大运会省属场馆设施建设</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省公共卫生综合临床中心、</w:t>
      </w:r>
      <w:r>
        <w:rPr>
          <w:rFonts w:hint="default" w:ascii="Times New Roman" w:hAnsi="Times New Roman" w:eastAsia="仿宋_GB2312" w:cs="Times New Roman"/>
          <w:bCs/>
          <w:color w:val="auto"/>
          <w:sz w:val="32"/>
          <w:szCs w:val="32"/>
          <w:highlight w:val="none"/>
        </w:rPr>
        <w:t>新型冠状病毒医疗救治部省级定点医院实施改造负压病房及配置负压救护车，</w:t>
      </w:r>
      <w:r>
        <w:rPr>
          <w:rFonts w:hint="default" w:ascii="Times New Roman" w:hAnsi="Times New Roman" w:eastAsia="仿宋_GB2312" w:cs="Times New Roman"/>
          <w:color w:val="auto"/>
          <w:kern w:val="0"/>
          <w:sz w:val="32"/>
          <w:szCs w:val="32"/>
          <w:highlight w:val="none"/>
        </w:rPr>
        <w:t>省妇幼保健院天府院区一期、省残疾人辅助器具资源中心等省级医疗卫生重点项目，民族地区卫生发展十年行动计划、大小凉山彝区健康脱贫攻坚专项中央投资配套</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bCs w:val="0"/>
          <w:color w:val="auto"/>
          <w:kern w:val="0"/>
          <w:sz w:val="32"/>
          <w:szCs w:val="32"/>
          <w:highlight w:val="none"/>
        </w:rPr>
        <w:t>700个省重点项目复工开工疫情防控专项补助</w:t>
      </w:r>
      <w:r>
        <w:rPr>
          <w:rFonts w:hint="default" w:ascii="Times New Roman" w:hAnsi="Times New Roman" w:eastAsia="仿宋_GB2312" w:cs="Times New Roman"/>
          <w:bCs w:val="0"/>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rPr>
        <w:t>四川广播电视台四川新闻演播室系统改造、四川美术馆升级改造工程</w:t>
      </w:r>
      <w:r>
        <w:rPr>
          <w:rFonts w:hint="default" w:ascii="Times New Roman" w:hAnsi="Times New Roman" w:eastAsia="仿宋_GB2312" w:cs="Times New Roman"/>
          <w:color w:val="auto"/>
          <w:sz w:val="32"/>
          <w:szCs w:val="32"/>
          <w:highlight w:val="none"/>
        </w:rPr>
        <w:t>、川陕革命根据地红军烈士陵园及周边环境整体提升配套工程、足球场地设施建设、</w:t>
      </w:r>
      <w:r>
        <w:rPr>
          <w:rFonts w:hint="default" w:ascii="Times New Roman" w:hAnsi="Times New Roman" w:eastAsia="仿宋_GB2312" w:cs="Times New Roman"/>
          <w:color w:val="auto"/>
          <w:kern w:val="0"/>
          <w:sz w:val="32"/>
          <w:szCs w:val="32"/>
          <w:highlight w:val="none"/>
        </w:rPr>
        <w:t>县级综合档案馆中央投资配套</w:t>
      </w:r>
      <w:r>
        <w:rPr>
          <w:rFonts w:hint="default" w:ascii="Times New Roman" w:hAnsi="Times New Roman" w:eastAsia="仿宋_GB2312" w:cs="Times New Roman"/>
          <w:b/>
          <w:bCs/>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省直机关公务员周转（租赁）住房，</w:t>
      </w:r>
      <w:r>
        <w:rPr>
          <w:rFonts w:hint="default" w:ascii="Times New Roman" w:hAnsi="Times New Roman" w:eastAsia="仿宋_GB2312" w:cs="Times New Roman"/>
          <w:color w:val="auto"/>
          <w:sz w:val="32"/>
          <w:szCs w:val="32"/>
          <w:highlight w:val="none"/>
        </w:rPr>
        <w:t>金审工程（三期）、省政府应急指挥中心、省自然资源基础信息平台等省级电子政务项目</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color w:val="auto"/>
          <w:sz w:val="32"/>
          <w:szCs w:val="32"/>
          <w:highlight w:val="none"/>
        </w:rPr>
        <w:t>四川综合应急救援基地建设</w:t>
      </w:r>
      <w:r>
        <w:rPr>
          <w:rFonts w:hint="default" w:ascii="Times New Roman" w:hAnsi="Times New Roman" w:eastAsia="仿宋_GB2312" w:cs="Times New Roman"/>
          <w:b/>
          <w:bCs/>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金沙江白格堰塞湖</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长宁地震</w:t>
      </w:r>
      <w:r>
        <w:rPr>
          <w:rFonts w:hint="default" w:ascii="Times New Roman" w:hAnsi="Times New Roman" w:eastAsia="仿宋_GB2312" w:cs="Times New Roman"/>
          <w:color w:val="auto"/>
          <w:kern w:val="0"/>
          <w:sz w:val="32"/>
          <w:szCs w:val="32"/>
          <w:highlight w:val="none"/>
          <w:lang w:val="en-US" w:eastAsia="zh-CN"/>
        </w:rPr>
        <w:t>和</w:t>
      </w:r>
      <w:r>
        <w:rPr>
          <w:rFonts w:hint="default" w:ascii="Times New Roman" w:hAnsi="Times New Roman" w:eastAsia="仿宋_GB2312" w:cs="Times New Roman"/>
          <w:color w:val="auto"/>
          <w:kern w:val="0"/>
          <w:sz w:val="32"/>
          <w:szCs w:val="32"/>
          <w:highlight w:val="none"/>
        </w:rPr>
        <w:t>暴雨洪涝灾害灾后重建，公共实训基地建设中央投资配套</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妇女居家灵活就业示范基地建设</w:t>
      </w:r>
      <w:r>
        <w:rPr>
          <w:rFonts w:hint="default"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b w:val="0"/>
          <w:color w:val="auto"/>
          <w:kern w:val="0"/>
          <w:sz w:val="32"/>
          <w:szCs w:val="32"/>
          <w:highlight w:val="none"/>
        </w:rPr>
        <w:t>以工代赈脱贫攻坚</w:t>
      </w:r>
      <w:r>
        <w:rPr>
          <w:rFonts w:hint="default" w:ascii="Times New Roman" w:hAnsi="Times New Roman" w:eastAsia="仿宋_GB2312" w:cs="Times New Roman"/>
          <w:b w:val="0"/>
          <w:color w:val="auto"/>
          <w:kern w:val="0"/>
          <w:sz w:val="32"/>
          <w:szCs w:val="32"/>
          <w:highlight w:val="none"/>
          <w:lang w:val="en-US" w:eastAsia="zh-CN"/>
        </w:rPr>
        <w:t>等</w:t>
      </w:r>
      <w:r>
        <w:rPr>
          <w:rFonts w:hint="default" w:ascii="Times New Roman" w:hAnsi="Times New Roman" w:eastAsia="仿宋_GB2312" w:cs="Times New Roman"/>
          <w:color w:val="auto"/>
          <w:kern w:val="0"/>
          <w:sz w:val="32"/>
          <w:szCs w:val="32"/>
          <w:highlight w:val="none"/>
        </w:rPr>
        <w:t>。</w:t>
      </w:r>
    </w:p>
    <w:p>
      <w:pPr>
        <w:pStyle w:val="54"/>
        <w:keepNext w:val="0"/>
        <w:keepLines w:val="0"/>
        <w:pageBreakBefore w:val="0"/>
        <w:widowControl w:val="0"/>
        <w:kinsoku/>
        <w:wordWrap/>
        <w:overflowPunct/>
        <w:topLinePunct w:val="0"/>
        <w:autoSpaceDE/>
        <w:autoSpaceDN/>
        <w:bidi w:val="0"/>
        <w:spacing w:line="540" w:lineRule="exact"/>
        <w:ind w:left="0" w:leftChars="0" w:right="0" w:rightChars="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楷体_GB2312" w:cs="Times New Roman"/>
          <w:b/>
          <w:bCs/>
          <w:color w:val="auto"/>
          <w:sz w:val="32"/>
          <w:szCs w:val="32"/>
          <w:highlight w:val="none"/>
          <w:lang w:val="en-US" w:eastAsia="zh-CN"/>
        </w:rPr>
        <w:t xml:space="preserve">    3.重大产业、开发区和</w:t>
      </w:r>
      <w:r>
        <w:rPr>
          <w:rFonts w:hint="default" w:ascii="Times New Roman" w:hAnsi="Times New Roman" w:eastAsia="楷体_GB2312" w:cs="Times New Roman"/>
          <w:b/>
          <w:bCs/>
          <w:color w:val="auto"/>
          <w:sz w:val="32"/>
          <w:szCs w:val="32"/>
          <w:highlight w:val="none"/>
        </w:rPr>
        <w:t>创新平台建设</w:t>
      </w:r>
      <w:r>
        <w:rPr>
          <w:rFonts w:hint="default" w:ascii="Times New Roman" w:hAnsi="Times New Roman" w:eastAsia="楷体_GB2312" w:cs="Times New Roman"/>
          <w:b/>
          <w:bCs/>
          <w:color w:val="auto"/>
          <w:sz w:val="32"/>
          <w:szCs w:val="32"/>
          <w:highlight w:val="none"/>
          <w:lang w:eastAsia="zh-CN"/>
        </w:rPr>
        <w:t>3</w:t>
      </w:r>
      <w:r>
        <w:rPr>
          <w:rFonts w:hint="default" w:ascii="Times New Roman" w:hAnsi="Times New Roman" w:eastAsia="楷体_GB2312" w:cs="Times New Roman"/>
          <w:b/>
          <w:bCs/>
          <w:color w:val="auto"/>
          <w:sz w:val="32"/>
          <w:szCs w:val="32"/>
          <w:highlight w:val="none"/>
          <w:lang w:val="en-US" w:eastAsia="zh-CN"/>
        </w:rPr>
        <w:t>.07</w:t>
      </w:r>
      <w:r>
        <w:rPr>
          <w:rFonts w:hint="default" w:ascii="Times New Roman" w:hAnsi="Times New Roman" w:eastAsia="楷体_GB2312" w:cs="Times New Roman"/>
          <w:b/>
          <w:bCs/>
          <w:color w:val="auto"/>
          <w:sz w:val="32"/>
          <w:szCs w:val="32"/>
          <w:highlight w:val="none"/>
        </w:rPr>
        <w:t>亿元，占</w:t>
      </w:r>
      <w:r>
        <w:rPr>
          <w:rFonts w:hint="default" w:ascii="Times New Roman" w:hAnsi="Times New Roman" w:eastAsia="楷体_GB2312" w:cs="Times New Roman"/>
          <w:b/>
          <w:bCs/>
          <w:color w:val="auto"/>
          <w:sz w:val="32"/>
          <w:szCs w:val="32"/>
          <w:highlight w:val="none"/>
          <w:lang w:val="en-US" w:eastAsia="zh-CN"/>
        </w:rPr>
        <w:t>可安排资金</w:t>
      </w:r>
      <w:r>
        <w:rPr>
          <w:rFonts w:hint="default" w:ascii="Times New Roman" w:hAnsi="Times New Roman" w:eastAsia="楷体_GB2312" w:cs="Times New Roman"/>
          <w:b/>
          <w:bCs/>
          <w:color w:val="auto"/>
          <w:sz w:val="32"/>
          <w:szCs w:val="32"/>
          <w:highlight w:val="none"/>
        </w:rPr>
        <w:t>的</w:t>
      </w:r>
      <w:r>
        <w:rPr>
          <w:rFonts w:hint="default" w:ascii="Times New Roman" w:hAnsi="Times New Roman" w:eastAsia="楷体_GB2312" w:cs="Times New Roman"/>
          <w:b/>
          <w:bCs/>
          <w:color w:val="auto"/>
          <w:sz w:val="32"/>
          <w:szCs w:val="32"/>
          <w:highlight w:val="none"/>
          <w:lang w:eastAsia="zh-CN"/>
        </w:rPr>
        <w:t>5</w:t>
      </w:r>
      <w:r>
        <w:rPr>
          <w:rFonts w:hint="default" w:ascii="Times New Roman" w:hAnsi="Times New Roman" w:eastAsia="楷体_GB2312" w:cs="Times New Roman"/>
          <w:b/>
          <w:bCs/>
          <w:color w:val="auto"/>
          <w:sz w:val="32"/>
          <w:szCs w:val="32"/>
          <w:highlight w:val="none"/>
          <w:lang w:val="en-US" w:eastAsia="zh-CN"/>
        </w:rPr>
        <w:t>.5</w:t>
      </w:r>
      <w:r>
        <w:rPr>
          <w:rFonts w:hint="default" w:ascii="Times New Roman" w:hAnsi="Times New Roman" w:eastAsia="楷体_GB2312" w:cs="Times New Roman"/>
          <w:b/>
          <w:bCs/>
          <w:color w:val="auto"/>
          <w:sz w:val="32"/>
          <w:szCs w:val="32"/>
          <w:highlight w:val="none"/>
        </w:rPr>
        <w:t>%</w:t>
      </w:r>
      <w:r>
        <w:rPr>
          <w:rFonts w:hint="default" w:ascii="Times New Roman" w:hAnsi="Times New Roman" w:eastAsia="楷体_GB2312" w:cs="Times New Roman"/>
          <w:b/>
          <w:bCs/>
          <w:color w:val="auto"/>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主要</w:t>
      </w:r>
      <w:r>
        <w:rPr>
          <w:rFonts w:hint="default" w:ascii="Times New Roman" w:hAnsi="Times New Roman" w:eastAsia="仿宋_GB2312" w:cs="Times New Roman"/>
          <w:color w:val="auto"/>
          <w:kern w:val="0"/>
          <w:sz w:val="32"/>
          <w:szCs w:val="32"/>
          <w:highlight w:val="none"/>
        </w:rPr>
        <w:t>安排</w:t>
      </w:r>
      <w:r>
        <w:rPr>
          <w:rFonts w:hint="default" w:ascii="Times New Roman" w:hAnsi="Times New Roman" w:eastAsia="仿宋_GB2312" w:cs="Times New Roman"/>
          <w:bCs/>
          <w:color w:val="auto"/>
          <w:sz w:val="32"/>
          <w:szCs w:val="32"/>
          <w:highlight w:val="none"/>
        </w:rPr>
        <w:t>四川大学华西医院建设精准诊断研发平台和疾病流行病学大数据研究平台，</w:t>
      </w:r>
      <w:r>
        <w:rPr>
          <w:rFonts w:hint="default" w:ascii="Times New Roman" w:hAnsi="Times New Roman" w:eastAsia="仿宋_GB2312" w:cs="Times New Roman"/>
          <w:color w:val="auto"/>
          <w:kern w:val="0"/>
          <w:sz w:val="32"/>
          <w:szCs w:val="32"/>
          <w:highlight w:val="none"/>
        </w:rPr>
        <w:t>转化医学、高海拔宇宙线观测站、子午工程二期三个国家重大科技基础设施，完善空间定位基准现代化建设</w:t>
      </w:r>
      <w:r>
        <w:rPr>
          <w:rFonts w:hint="default" w:ascii="Times New Roman" w:hAnsi="Times New Roman" w:eastAsia="仿宋_GB2312" w:cs="Times New Roman"/>
          <w:color w:val="auto"/>
          <w:kern w:val="0"/>
          <w:sz w:val="32"/>
          <w:szCs w:val="32"/>
          <w:highlight w:val="none"/>
          <w:lang w:val="en-US" w:eastAsia="zh-CN"/>
        </w:rPr>
        <w:t>和</w:t>
      </w:r>
      <w:r>
        <w:rPr>
          <w:rFonts w:hint="default" w:ascii="Times New Roman" w:hAnsi="Times New Roman" w:eastAsia="仿宋_GB2312" w:cs="Times New Roman"/>
          <w:color w:val="auto"/>
          <w:kern w:val="0"/>
          <w:sz w:val="32"/>
          <w:szCs w:val="32"/>
          <w:highlight w:val="none"/>
        </w:rPr>
        <w:t>四川省1﹕1万无图区域测图工程</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产业园区基础设施项目发展引导资金</w:t>
      </w:r>
      <w:r>
        <w:rPr>
          <w:rFonts w:hint="default" w:ascii="Times New Roman" w:hAnsi="Times New Roman" w:eastAsia="仿宋_GB2312" w:cs="Times New Roman"/>
          <w:color w:val="auto"/>
          <w:kern w:val="0"/>
          <w:sz w:val="32"/>
          <w:szCs w:val="32"/>
          <w:highlight w:val="none"/>
          <w:lang w:val="en-US" w:eastAsia="zh-CN"/>
        </w:rPr>
        <w:t>等</w:t>
      </w:r>
      <w:r>
        <w:rPr>
          <w:rFonts w:hint="default" w:ascii="Times New Roman" w:hAnsi="Times New Roman" w:eastAsia="仿宋_GB2312" w:cs="Times New Roman"/>
          <w:color w:val="auto"/>
          <w:kern w:val="0"/>
          <w:sz w:val="32"/>
          <w:szCs w:val="32"/>
          <w:highlight w:val="none"/>
        </w:rPr>
        <w:t>。</w:t>
      </w:r>
    </w:p>
    <w:p>
      <w:pPr>
        <w:pStyle w:val="20"/>
        <w:keepNext w:val="0"/>
        <w:keepLines w:val="0"/>
        <w:pageBreakBefore w:val="0"/>
        <w:widowControl w:val="0"/>
        <w:numPr>
          <w:ilvl w:val="0"/>
          <w:numId w:val="0"/>
        </w:numPr>
        <w:kinsoku/>
        <w:wordWrap/>
        <w:overflowPunct/>
        <w:topLinePunct w:val="0"/>
        <w:autoSpaceDE/>
        <w:autoSpaceDN/>
        <w:bidi w:val="0"/>
        <w:spacing w:line="540" w:lineRule="exact"/>
        <w:ind w:right="0" w:rightChars="0"/>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楷体_GB2312" w:cs="Times New Roman"/>
          <w:b/>
          <w:bCs/>
          <w:color w:val="auto"/>
          <w:sz w:val="32"/>
          <w:szCs w:val="32"/>
          <w:highlight w:val="none"/>
          <w:lang w:val="en-US" w:eastAsia="zh-CN"/>
        </w:rPr>
        <w:t xml:space="preserve">    4.</w:t>
      </w:r>
      <w:r>
        <w:rPr>
          <w:rFonts w:hint="default" w:ascii="Times New Roman" w:hAnsi="Times New Roman" w:eastAsia="楷体_GB2312" w:cs="Times New Roman"/>
          <w:b/>
          <w:bCs/>
          <w:color w:val="auto"/>
          <w:sz w:val="32"/>
          <w:szCs w:val="32"/>
          <w:highlight w:val="none"/>
        </w:rPr>
        <w:t>节能环保与生态建设</w:t>
      </w:r>
      <w:r>
        <w:rPr>
          <w:rFonts w:hint="default" w:ascii="Times New Roman" w:hAnsi="Times New Roman" w:eastAsia="楷体_GB2312" w:cs="Times New Roman"/>
          <w:b/>
          <w:bCs/>
          <w:color w:val="auto"/>
          <w:sz w:val="32"/>
          <w:szCs w:val="32"/>
          <w:highlight w:val="none"/>
          <w:lang w:eastAsia="zh-CN"/>
        </w:rPr>
        <w:t>2</w:t>
      </w:r>
      <w:r>
        <w:rPr>
          <w:rFonts w:hint="default" w:ascii="Times New Roman" w:hAnsi="Times New Roman" w:eastAsia="楷体_GB2312" w:cs="Times New Roman"/>
          <w:b/>
          <w:bCs/>
          <w:color w:val="auto"/>
          <w:sz w:val="32"/>
          <w:szCs w:val="32"/>
          <w:highlight w:val="none"/>
          <w:lang w:val="en-US" w:eastAsia="zh-CN"/>
        </w:rPr>
        <w:t>.19亿</w:t>
      </w:r>
      <w:r>
        <w:rPr>
          <w:rFonts w:hint="default" w:ascii="Times New Roman" w:hAnsi="Times New Roman" w:eastAsia="楷体_GB2312" w:cs="Times New Roman"/>
          <w:b/>
          <w:bCs/>
          <w:color w:val="auto"/>
          <w:sz w:val="32"/>
          <w:szCs w:val="32"/>
          <w:highlight w:val="none"/>
        </w:rPr>
        <w:t>元，占</w:t>
      </w:r>
      <w:r>
        <w:rPr>
          <w:rFonts w:hint="default" w:ascii="Times New Roman" w:hAnsi="Times New Roman" w:eastAsia="楷体_GB2312" w:cs="Times New Roman"/>
          <w:b/>
          <w:bCs/>
          <w:color w:val="auto"/>
          <w:sz w:val="32"/>
          <w:szCs w:val="32"/>
          <w:highlight w:val="none"/>
          <w:lang w:val="en-US" w:eastAsia="zh-CN"/>
        </w:rPr>
        <w:t>可安排资金</w:t>
      </w:r>
      <w:r>
        <w:rPr>
          <w:rFonts w:hint="default" w:ascii="Times New Roman" w:hAnsi="Times New Roman" w:eastAsia="楷体_GB2312" w:cs="Times New Roman"/>
          <w:b/>
          <w:bCs/>
          <w:color w:val="auto"/>
          <w:sz w:val="32"/>
          <w:szCs w:val="32"/>
          <w:highlight w:val="none"/>
        </w:rPr>
        <w:t>的</w:t>
      </w:r>
      <w:r>
        <w:rPr>
          <w:rFonts w:hint="default" w:ascii="Times New Roman" w:hAnsi="Times New Roman" w:eastAsia="楷体_GB2312" w:cs="Times New Roman"/>
          <w:b/>
          <w:bCs/>
          <w:color w:val="auto"/>
          <w:sz w:val="32"/>
          <w:szCs w:val="32"/>
          <w:highlight w:val="none"/>
          <w:lang w:eastAsia="zh-CN"/>
        </w:rPr>
        <w:t>3</w:t>
      </w:r>
      <w:r>
        <w:rPr>
          <w:rFonts w:hint="default" w:ascii="Times New Roman" w:hAnsi="Times New Roman" w:eastAsia="楷体_GB2312" w:cs="Times New Roman"/>
          <w:b/>
          <w:bCs/>
          <w:color w:val="auto"/>
          <w:sz w:val="32"/>
          <w:szCs w:val="32"/>
          <w:highlight w:val="none"/>
          <w:lang w:val="en-US" w:eastAsia="zh-CN"/>
        </w:rPr>
        <w:t>.9</w:t>
      </w:r>
      <w:r>
        <w:rPr>
          <w:rFonts w:hint="default" w:ascii="Times New Roman" w:hAnsi="Times New Roman" w:eastAsia="楷体_GB2312" w:cs="Times New Roman"/>
          <w:b/>
          <w:bCs/>
          <w:color w:val="auto"/>
          <w:sz w:val="32"/>
          <w:szCs w:val="32"/>
          <w:highlight w:val="none"/>
        </w:rPr>
        <w:t>%</w:t>
      </w:r>
      <w:r>
        <w:rPr>
          <w:rFonts w:hint="default" w:ascii="Times New Roman" w:hAnsi="Times New Roman" w:eastAsia="楷体_GB2312" w:cs="Times New Roman"/>
          <w:b/>
          <w:bCs/>
          <w:color w:val="auto"/>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主要</w:t>
      </w:r>
      <w:r>
        <w:rPr>
          <w:rFonts w:hint="default" w:ascii="Times New Roman" w:hAnsi="Times New Roman" w:eastAsia="仿宋_GB2312" w:cs="Times New Roman"/>
          <w:color w:val="auto"/>
          <w:kern w:val="0"/>
          <w:sz w:val="32"/>
          <w:szCs w:val="32"/>
          <w:highlight w:val="none"/>
        </w:rPr>
        <w:t>安排甘孜州理塘海子山湿地保护与修复工程中央投资配套</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园区循环化改造引导</w:t>
      </w:r>
      <w:r>
        <w:rPr>
          <w:rFonts w:hint="default"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b w:val="0"/>
          <w:bCs w:val="0"/>
          <w:color w:val="auto"/>
          <w:kern w:val="0"/>
          <w:sz w:val="32"/>
          <w:szCs w:val="32"/>
          <w:highlight w:val="none"/>
        </w:rPr>
        <w:t>资源综合循环利用</w:t>
      </w:r>
      <w:r>
        <w:rPr>
          <w:rFonts w:hint="default" w:ascii="Times New Roman" w:hAnsi="Times New Roman" w:eastAsia="仿宋_GB2312" w:cs="Times New Roman"/>
          <w:b w:val="0"/>
          <w:bCs w:val="0"/>
          <w:color w:val="auto"/>
          <w:kern w:val="0"/>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rPr>
        <w:t>节能环保与生态建设</w:t>
      </w:r>
      <w:r>
        <w:rPr>
          <w:rFonts w:hint="default" w:ascii="Times New Roman" w:hAnsi="Times New Roman" w:eastAsia="仿宋_GB2312" w:cs="Times New Roman"/>
          <w:b w:val="0"/>
          <w:bCs w:val="0"/>
          <w:color w:val="auto"/>
          <w:kern w:val="0"/>
          <w:sz w:val="32"/>
          <w:szCs w:val="32"/>
          <w:highlight w:val="none"/>
          <w:lang w:val="en-US" w:eastAsia="zh-CN"/>
        </w:rPr>
        <w:t>等</w:t>
      </w:r>
      <w:r>
        <w:rPr>
          <w:rFonts w:hint="default" w:ascii="Times New Roman" w:hAnsi="Times New Roman" w:eastAsia="仿宋_GB2312" w:cs="Times New Roman"/>
          <w:color w:val="auto"/>
          <w:kern w:val="0"/>
          <w:sz w:val="32"/>
          <w:szCs w:val="32"/>
          <w:highlight w:val="none"/>
        </w:rPr>
        <w:t>。</w:t>
      </w:r>
    </w:p>
    <w:p>
      <w:pPr>
        <w:pStyle w:val="54"/>
        <w:keepNext w:val="0"/>
        <w:keepLines w:val="0"/>
        <w:pageBreakBefore w:val="0"/>
        <w:widowControl w:val="0"/>
        <w:kinsoku/>
        <w:wordWrap/>
        <w:overflowPunct/>
        <w:topLinePunct w:val="0"/>
        <w:autoSpaceDE/>
        <w:autoSpaceDN/>
        <w:bidi w:val="0"/>
        <w:spacing w:line="540" w:lineRule="exact"/>
        <w:ind w:left="0" w:leftChars="0" w:right="0" w:rightChars="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楷体_GB2312" w:cs="Times New Roman"/>
          <w:b/>
          <w:bCs/>
          <w:color w:val="auto"/>
          <w:sz w:val="32"/>
          <w:szCs w:val="32"/>
          <w:highlight w:val="none"/>
          <w:lang w:val="en-US" w:eastAsia="zh-CN"/>
        </w:rPr>
        <w:t xml:space="preserve">    5.</w:t>
      </w:r>
      <w:r>
        <w:rPr>
          <w:rFonts w:hint="default" w:ascii="Times New Roman" w:hAnsi="Times New Roman" w:eastAsia="楷体_GB2312" w:cs="Times New Roman"/>
          <w:b/>
          <w:bCs/>
          <w:color w:val="auto"/>
          <w:sz w:val="32"/>
          <w:szCs w:val="32"/>
          <w:highlight w:val="none"/>
        </w:rPr>
        <w:t>其他方面</w:t>
      </w:r>
      <w:r>
        <w:rPr>
          <w:rFonts w:hint="default" w:ascii="Times New Roman" w:hAnsi="Times New Roman" w:eastAsia="楷体_GB2312" w:cs="Times New Roman"/>
          <w:b/>
          <w:bCs/>
          <w:color w:val="auto"/>
          <w:sz w:val="32"/>
          <w:szCs w:val="32"/>
          <w:highlight w:val="none"/>
          <w:lang w:val="en-US" w:eastAsia="zh-CN"/>
        </w:rPr>
        <w:t>2.38</w:t>
      </w:r>
      <w:r>
        <w:rPr>
          <w:rFonts w:hint="default" w:ascii="Times New Roman" w:hAnsi="Times New Roman" w:eastAsia="楷体_GB2312" w:cs="Times New Roman"/>
          <w:b/>
          <w:bCs/>
          <w:color w:val="auto"/>
          <w:sz w:val="32"/>
          <w:szCs w:val="32"/>
          <w:highlight w:val="none"/>
        </w:rPr>
        <w:t>亿元，占</w:t>
      </w:r>
      <w:r>
        <w:rPr>
          <w:rFonts w:hint="default" w:ascii="Times New Roman" w:hAnsi="Times New Roman" w:eastAsia="楷体_GB2312" w:cs="Times New Roman"/>
          <w:b/>
          <w:bCs/>
          <w:color w:val="auto"/>
          <w:sz w:val="32"/>
          <w:szCs w:val="32"/>
          <w:highlight w:val="none"/>
          <w:lang w:val="en-US" w:eastAsia="zh-CN"/>
        </w:rPr>
        <w:t>可安排资金</w:t>
      </w:r>
      <w:r>
        <w:rPr>
          <w:rFonts w:hint="default" w:ascii="Times New Roman" w:hAnsi="Times New Roman" w:eastAsia="楷体_GB2312" w:cs="Times New Roman"/>
          <w:b/>
          <w:bCs/>
          <w:color w:val="auto"/>
          <w:sz w:val="32"/>
          <w:szCs w:val="32"/>
          <w:highlight w:val="none"/>
        </w:rPr>
        <w:t>的</w:t>
      </w:r>
      <w:r>
        <w:rPr>
          <w:rFonts w:hint="default" w:ascii="Times New Roman" w:hAnsi="Times New Roman" w:eastAsia="楷体_GB2312" w:cs="Times New Roman"/>
          <w:b/>
          <w:bCs/>
          <w:color w:val="auto"/>
          <w:sz w:val="32"/>
          <w:szCs w:val="32"/>
          <w:highlight w:val="none"/>
          <w:lang w:val="en-US" w:eastAsia="zh-CN"/>
        </w:rPr>
        <w:t>4.2</w:t>
      </w:r>
      <w:r>
        <w:rPr>
          <w:rFonts w:hint="default" w:ascii="Times New Roman" w:hAnsi="Times New Roman" w:eastAsia="楷体_GB2312" w:cs="Times New Roman"/>
          <w:b/>
          <w:bCs/>
          <w:color w:val="auto"/>
          <w:sz w:val="32"/>
          <w:szCs w:val="32"/>
          <w:highlight w:val="none"/>
        </w:rPr>
        <w:t>%</w:t>
      </w:r>
      <w:r>
        <w:rPr>
          <w:rFonts w:hint="default" w:ascii="Times New Roman" w:hAnsi="Times New Roman" w:eastAsia="楷体_GB2312" w:cs="Times New Roman"/>
          <w:b/>
          <w:bCs/>
          <w:color w:val="auto"/>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主要安排</w:t>
      </w:r>
      <w:r>
        <w:rPr>
          <w:rFonts w:hint="default" w:ascii="Times New Roman" w:hAnsi="Times New Roman" w:eastAsia="仿宋_GB2312" w:cs="Times New Roman"/>
          <w:color w:val="auto"/>
          <w:kern w:val="0"/>
          <w:sz w:val="32"/>
          <w:szCs w:val="32"/>
          <w:highlight w:val="none"/>
        </w:rPr>
        <w:t>省级部门办公业务用房维修改造</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重点项目前期工作</w:t>
      </w:r>
      <w:r>
        <w:rPr>
          <w:rFonts w:hint="default" w:ascii="Times New Roman" w:hAnsi="Times New Roman" w:eastAsia="仿宋_GB2312" w:cs="Times New Roman"/>
          <w:b w:val="0"/>
          <w:color w:val="auto"/>
          <w:kern w:val="0"/>
          <w:sz w:val="32"/>
          <w:szCs w:val="32"/>
          <w:highlight w:val="none"/>
          <w:lang w:eastAsia="zh-CN"/>
        </w:rPr>
        <w:t>，</w:t>
      </w:r>
      <w:r>
        <w:rPr>
          <w:rFonts w:hint="default" w:ascii="Times New Roman" w:hAnsi="Times New Roman" w:eastAsia="仿宋_GB2312" w:cs="Times New Roman"/>
          <w:color w:val="auto"/>
          <w:sz w:val="32"/>
          <w:szCs w:val="32"/>
          <w:highlight w:val="none"/>
        </w:rPr>
        <w:t>委托</w:t>
      </w:r>
      <w:r>
        <w:rPr>
          <w:rFonts w:hint="default" w:ascii="Times New Roman" w:hAnsi="Times New Roman" w:eastAsia="仿宋_GB2312" w:cs="Times New Roman"/>
          <w:color w:val="auto"/>
          <w:sz w:val="32"/>
          <w:szCs w:val="32"/>
          <w:highlight w:val="none"/>
          <w:lang w:val="en-US" w:eastAsia="zh-CN"/>
        </w:rPr>
        <w:t>开展</w:t>
      </w:r>
      <w:r>
        <w:rPr>
          <w:rFonts w:hint="default" w:ascii="Times New Roman" w:hAnsi="Times New Roman" w:eastAsia="仿宋_GB2312" w:cs="Times New Roman"/>
          <w:color w:val="auto"/>
          <w:sz w:val="32"/>
          <w:szCs w:val="32"/>
          <w:highlight w:val="none"/>
        </w:rPr>
        <w:t>项目核准评审评估等购买服务</w:t>
      </w: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rPr>
        <w:t>省预算内基本建设投资均及时安排下达到位，资金总体使用情况良好，</w:t>
      </w:r>
      <w:r>
        <w:rPr>
          <w:rFonts w:hint="default" w:ascii="Times New Roman" w:hAnsi="Times New Roman" w:eastAsia="仿宋_GB2312" w:cs="Times New Roman"/>
          <w:color w:val="auto"/>
          <w:sz w:val="32"/>
          <w:szCs w:val="32"/>
          <w:highlight w:val="none"/>
          <w:lang w:val="en-US" w:eastAsia="zh-CN"/>
        </w:rPr>
        <w:t>项目形象进度较好</w:t>
      </w:r>
      <w:r>
        <w:rPr>
          <w:rFonts w:hint="default" w:ascii="Times New Roman" w:hAnsi="Times New Roman" w:eastAsia="仿宋_GB2312" w:cs="Times New Roman"/>
          <w:color w:val="auto"/>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textAlignment w:val="auto"/>
        <w:rPr>
          <w:rFonts w:hint="default" w:ascii="Times New Roman" w:hAnsi="Times New Roman" w:eastAsia="楷体_GB2312" w:cs="Times New Roman"/>
          <w:b/>
          <w:color w:val="auto"/>
          <w:sz w:val="32"/>
          <w:szCs w:val="32"/>
          <w:highlight w:val="none"/>
          <w:lang w:val="zh-CN"/>
        </w:rPr>
      </w:pPr>
      <w:r>
        <w:rPr>
          <w:rFonts w:hint="default" w:ascii="Times New Roman" w:hAnsi="Times New Roman" w:eastAsia="楷体_GB2312" w:cs="Times New Roman"/>
          <w:b/>
          <w:color w:val="auto"/>
          <w:sz w:val="32"/>
          <w:szCs w:val="32"/>
          <w:highlight w:val="none"/>
          <w:lang w:val="en-US" w:eastAsia="zh-CN"/>
        </w:rPr>
        <w:t xml:space="preserve">   </w:t>
      </w:r>
      <w:r>
        <w:rPr>
          <w:rFonts w:hint="default" w:ascii="Times New Roman" w:hAnsi="Times New Roman" w:eastAsia="楷体_GB2312" w:cs="Times New Roman"/>
          <w:b/>
          <w:color w:val="auto"/>
          <w:sz w:val="32"/>
          <w:szCs w:val="32"/>
          <w:highlight w:val="none"/>
          <w:lang w:val="zh-CN"/>
        </w:rPr>
        <w:t>（</w:t>
      </w:r>
      <w:r>
        <w:rPr>
          <w:rFonts w:hint="default" w:ascii="Times New Roman" w:hAnsi="Times New Roman" w:eastAsia="楷体_GB2312" w:cs="Times New Roman"/>
          <w:b/>
          <w:color w:val="auto"/>
          <w:sz w:val="32"/>
          <w:szCs w:val="32"/>
          <w:highlight w:val="none"/>
          <w:lang w:val="en-US" w:eastAsia="zh-CN"/>
        </w:rPr>
        <w:t>二</w:t>
      </w:r>
      <w:r>
        <w:rPr>
          <w:rFonts w:hint="default" w:ascii="Times New Roman" w:hAnsi="Times New Roman" w:eastAsia="楷体_GB2312" w:cs="Times New Roman"/>
          <w:b/>
          <w:color w:val="auto"/>
          <w:sz w:val="32"/>
          <w:szCs w:val="32"/>
          <w:highlight w:val="none"/>
          <w:lang w:val="zh-CN"/>
        </w:rPr>
        <w:t>）项目财务管理情况。</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outlineLvl w:val="0"/>
        <w:rPr>
          <w:rFonts w:hint="default" w:ascii="Times New Roman" w:hAnsi="Times New Roman" w:cs="Times New Roman"/>
          <w:color w:val="auto"/>
          <w:sz w:val="32"/>
          <w:szCs w:val="32"/>
          <w:highlight w:val="none"/>
          <w:lang w:val="zh-CN"/>
        </w:rPr>
      </w:pPr>
      <w:bookmarkStart w:id="106" w:name="_Toc25138"/>
      <w:r>
        <w:rPr>
          <w:rFonts w:hint="default" w:ascii="Times New Roman" w:hAnsi="Times New Roman" w:eastAsia="仿宋_GB2312" w:cs="Times New Roman"/>
          <w:color w:val="auto"/>
          <w:sz w:val="32"/>
          <w:szCs w:val="32"/>
          <w:highlight w:val="none"/>
          <w:lang w:val="en-US" w:eastAsia="zh-CN"/>
        </w:rPr>
        <w:t>按照</w:t>
      </w:r>
      <w:r>
        <w:rPr>
          <w:rFonts w:hint="default" w:ascii="Times New Roman" w:hAnsi="Times New Roman" w:eastAsia="仿宋_GB2312" w:cs="Times New Roman"/>
          <w:color w:val="auto"/>
          <w:sz w:val="32"/>
          <w:szCs w:val="32"/>
          <w:highlight w:val="none"/>
        </w:rPr>
        <w:t>专款专用原则，组织项目实施单位</w:t>
      </w:r>
      <w:r>
        <w:rPr>
          <w:rFonts w:hint="default" w:ascii="Times New Roman" w:hAnsi="Times New Roman" w:eastAsia="仿宋_GB2312" w:cs="Times New Roman"/>
          <w:color w:val="auto"/>
          <w:sz w:val="32"/>
          <w:szCs w:val="32"/>
          <w:highlight w:val="none"/>
          <w:lang w:val="en-US" w:eastAsia="zh-CN"/>
        </w:rPr>
        <w:t>相关</w:t>
      </w:r>
      <w:r>
        <w:rPr>
          <w:rFonts w:hint="default" w:ascii="Times New Roman" w:hAnsi="Times New Roman" w:eastAsia="仿宋_GB2312" w:cs="Times New Roman"/>
          <w:color w:val="auto"/>
          <w:sz w:val="32"/>
          <w:szCs w:val="32"/>
          <w:highlight w:val="none"/>
        </w:rPr>
        <w:t>人员进行资金管理及财务管理等相关的培训，项目实施单位</w:t>
      </w:r>
      <w:r>
        <w:rPr>
          <w:rFonts w:hint="default" w:ascii="Times New Roman" w:hAnsi="Times New Roman" w:eastAsia="仿宋_GB2312" w:cs="Times New Roman"/>
          <w:color w:val="auto"/>
          <w:sz w:val="32"/>
          <w:szCs w:val="32"/>
          <w:highlight w:val="none"/>
          <w:lang w:val="zh-CN" w:bidi="ar"/>
        </w:rPr>
        <w:t>严格执行财务管理制度，</w:t>
      </w:r>
      <w:r>
        <w:rPr>
          <w:rFonts w:hint="default" w:ascii="Times New Roman" w:hAnsi="Times New Roman" w:eastAsia="仿宋_GB2312" w:cs="Times New Roman"/>
          <w:color w:val="auto"/>
          <w:sz w:val="32"/>
          <w:szCs w:val="32"/>
          <w:highlight w:val="none"/>
          <w:lang w:val="zh-CN"/>
        </w:rPr>
        <w:t>项目合同签订、资金拨付严格按照财务管理制度进行管理。保证专款专用，资金发放复查由财务人员按照财务制度进行资金的审核、支付和核算，所有支出均以转账方式进行，在具体支付时，具备了资金发票、合同、验收清单等相关材料，手续完善，不存在虚假会计凭证的情况，会计严格执行财务管理制度，财务处理及时，</w:t>
      </w:r>
      <w:r>
        <w:rPr>
          <w:rFonts w:hint="default" w:ascii="Times New Roman" w:hAnsi="Times New Roman" w:eastAsia="仿宋_GB2312" w:cs="Times New Roman"/>
          <w:color w:val="auto"/>
          <w:sz w:val="32"/>
          <w:szCs w:val="32"/>
          <w:highlight w:val="none"/>
        </w:rPr>
        <w:t>会计</w:t>
      </w:r>
      <w:r>
        <w:rPr>
          <w:rFonts w:hint="default" w:ascii="Times New Roman" w:hAnsi="Times New Roman" w:eastAsia="仿宋_GB2312" w:cs="Times New Roman"/>
          <w:color w:val="auto"/>
          <w:sz w:val="32"/>
          <w:szCs w:val="32"/>
          <w:highlight w:val="none"/>
          <w:lang w:val="zh-CN"/>
        </w:rPr>
        <w:t>核算规范。</w:t>
      </w:r>
      <w:bookmarkEnd w:id="106"/>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textAlignment w:val="auto"/>
        <w:rPr>
          <w:rFonts w:hint="default" w:ascii="Times New Roman" w:hAnsi="Times New Roman" w:eastAsia="楷体_GB2312" w:cs="Times New Roman"/>
          <w:b/>
          <w:color w:val="auto"/>
          <w:kern w:val="2"/>
          <w:sz w:val="32"/>
          <w:szCs w:val="32"/>
          <w:highlight w:val="none"/>
          <w:lang w:val="en-US" w:eastAsia="zh-CN" w:bidi="ar-SA"/>
        </w:rPr>
      </w:pPr>
      <w:r>
        <w:rPr>
          <w:rFonts w:hint="default" w:ascii="Times New Roman" w:hAnsi="Times New Roman" w:eastAsia="楷体_GB2312" w:cs="Times New Roman"/>
          <w:b/>
          <w:color w:val="auto"/>
          <w:kern w:val="2"/>
          <w:sz w:val="32"/>
          <w:szCs w:val="32"/>
          <w:highlight w:val="none"/>
          <w:lang w:val="en-US" w:eastAsia="zh-CN" w:bidi="ar-SA"/>
        </w:rPr>
        <w:t xml:space="preserve">    （三）项目监管情况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kern w:val="2"/>
          <w:sz w:val="32"/>
          <w:szCs w:val="32"/>
          <w:highlight w:val="none"/>
          <w:lang w:val="en-US" w:eastAsia="zh-CN" w:bidi="ar-SA"/>
        </w:rPr>
        <w:t>各地各部门</w:t>
      </w:r>
      <w:r>
        <w:rPr>
          <w:rFonts w:hint="default" w:ascii="Times New Roman" w:hAnsi="Times New Roman" w:eastAsia="仿宋_GB2312" w:cs="Times New Roman"/>
          <w:color w:val="auto"/>
          <w:kern w:val="2"/>
          <w:sz w:val="32"/>
          <w:szCs w:val="32"/>
          <w:highlight w:val="none"/>
          <w:lang w:val="zh-CN" w:eastAsia="zh-CN" w:bidi="ar-SA"/>
        </w:rPr>
        <w:t>明确各自职能职责，积极开展项目前期工作,实施过程中，严格按照项目规定，按批复内容组织项目建设，同时严格落实投资计划执行和项目实施日常监管直接责任，并做到日常监管直接责任单位中的监管责任人随时掌握项目建设情况。各相关实施单位严格执行相关法律法规及项目管理制度，严格按照法律法规实施招投标、政府采购、项目公示制等相关规定。</w:t>
      </w:r>
      <w:r>
        <w:rPr>
          <w:rFonts w:hint="default" w:ascii="Times New Roman" w:hAnsi="Times New Roman" w:eastAsia="仿宋_GB2312" w:cs="Times New Roman"/>
          <w:color w:val="auto"/>
          <w:sz w:val="32"/>
          <w:szCs w:val="32"/>
          <w:highlight w:val="none"/>
          <w:lang w:val="en-US" w:eastAsia="zh-CN"/>
        </w:rPr>
        <w:t>项目未达到国家规定的公开招标的规模标准，按国家相关法规公开公平公正确定承包队伍。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安排的重大项目承担单位成立相应的项目管理机构，负责具体组织实施和管理项目建设，细化管理，确定质量、进度、安全生产责任人，确定质量目标、工期目标、安全目标，落实相关管理人员的岗位职责。认真做好年度项目建设工作的组织与实施，及时报告建设进度、安全生产、质量管理、工作建议以及存在问题等情况，协调解决问题，确保项目顺利实施，并于每月10日前通过四川省投资项目管理平台（即“项目一张网”）在线调度。</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720"/>
        <w:textAlignment w:val="auto"/>
        <w:rPr>
          <w:rFonts w:hint="default" w:ascii="Times New Roman" w:hAnsi="Times New Roman" w:cs="Times New Roman"/>
          <w:color w:val="auto"/>
          <w:sz w:val="32"/>
          <w:szCs w:val="32"/>
          <w:highlight w:val="none"/>
          <w:lang w:val="zh-CN"/>
        </w:rPr>
      </w:pPr>
      <w:r>
        <w:rPr>
          <w:rFonts w:hint="default" w:ascii="Times New Roman" w:hAnsi="Times New Roman" w:eastAsia="黑体" w:cs="Times New Roman"/>
          <w:color w:val="auto"/>
          <w:sz w:val="32"/>
          <w:szCs w:val="32"/>
          <w:highlight w:val="none"/>
          <w:lang w:val="en-US" w:eastAsia="zh-CN"/>
        </w:rPr>
        <w:t>三</w:t>
      </w:r>
      <w:r>
        <w:rPr>
          <w:rFonts w:hint="default" w:ascii="Times New Roman" w:hAnsi="Times New Roman" w:eastAsia="黑体" w:cs="Times New Roman"/>
          <w:color w:val="auto"/>
          <w:sz w:val="32"/>
          <w:szCs w:val="32"/>
          <w:highlight w:val="none"/>
        </w:rPr>
        <w:t>、绩效</w:t>
      </w:r>
      <w:r>
        <w:rPr>
          <w:rFonts w:hint="default" w:ascii="Times New Roman" w:hAnsi="Times New Roman" w:eastAsia="黑体" w:cs="Times New Roman"/>
          <w:color w:val="auto"/>
          <w:sz w:val="32"/>
          <w:szCs w:val="32"/>
          <w:highlight w:val="none"/>
          <w:lang w:val="en-US" w:eastAsia="zh-CN"/>
        </w:rPr>
        <w:t>自评</w:t>
      </w:r>
      <w:r>
        <w:rPr>
          <w:rFonts w:hint="default" w:ascii="Times New Roman" w:hAnsi="Times New Roman" w:eastAsia="黑体" w:cs="Times New Roman"/>
          <w:color w:val="auto"/>
          <w:sz w:val="32"/>
          <w:szCs w:val="32"/>
          <w:highlight w:val="none"/>
        </w:rPr>
        <w:t>情况</w:t>
      </w:r>
      <w:r>
        <w:rPr>
          <w:rFonts w:hint="default" w:ascii="Times New Roman" w:hAnsi="Times New Roman" w:cs="Times New Roman"/>
          <w:color w:val="auto"/>
          <w:sz w:val="32"/>
          <w:szCs w:val="32"/>
          <w:highlight w:val="none"/>
          <w:lang w:val="zh-CN"/>
        </w:rPr>
        <w:tab/>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720"/>
        <w:textAlignment w:val="auto"/>
        <w:rPr>
          <w:rFonts w:hint="default" w:ascii="Times New Roman" w:hAnsi="Times New Roman" w:eastAsia="楷体_GB2312" w:cs="Times New Roman"/>
          <w:b/>
          <w:color w:val="auto"/>
          <w:sz w:val="32"/>
          <w:szCs w:val="32"/>
          <w:highlight w:val="none"/>
          <w:lang w:val="zh-CN"/>
        </w:rPr>
      </w:pPr>
      <w:r>
        <w:rPr>
          <w:rFonts w:hint="default" w:ascii="Times New Roman" w:hAnsi="Times New Roman" w:eastAsia="楷体_GB2312" w:cs="Times New Roman"/>
          <w:b/>
          <w:color w:val="auto"/>
          <w:sz w:val="32"/>
          <w:szCs w:val="32"/>
          <w:highlight w:val="none"/>
          <w:lang w:val="zh-CN"/>
        </w:rPr>
        <w:t>（一）项目</w:t>
      </w:r>
      <w:r>
        <w:rPr>
          <w:rFonts w:hint="default" w:ascii="Times New Roman" w:hAnsi="Times New Roman" w:eastAsia="楷体_GB2312" w:cs="Times New Roman"/>
          <w:b/>
          <w:color w:val="auto"/>
          <w:sz w:val="32"/>
          <w:szCs w:val="32"/>
          <w:highlight w:val="none"/>
          <w:lang w:val="en-US" w:eastAsia="zh-CN"/>
        </w:rPr>
        <w:t>实施顺利</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总体看，2020年省预算内基本建设投资项目按规划计划顺利实施，完成预期建设任务，项目如期开工，在建项目正加快建设进度，实施进度良好，资金到位率100%。部分重大项目以及关系社会民生的项目基本完工并投入运行使用，如成都天府机场口岸检查检验及配套设备设施项目（现场部分）已建成并于6月27日正式投运，甘孜和阿坝8个野外停机坪项目均已完成建设任务，长宁地震灾后重建项目已全面完工，甘孜金沙江白格堰塞湖年度计划项目全面完工、灾后重建任务基本完成，义务教育学校、教育基础薄弱县普通高中学校和高校基础能力建设教育项目已完工20个，省级医疗卫生项目已完工5个、5家新冠肺炎医疗救治部省级定点医院紧急负压病房改造及负压救护车购置项目按照紧急采购方式已完成建设任务，大小凉山彝区县级医疗机构项目已完工3个，民族地区卫生发展十年行动计划项目已完工2个，6个大运会省属场馆改造项目已全部完工，77个社会足球场项目中已完工项目75个，省残疾人辅助器具资源中心</w:t>
      </w:r>
      <w:r>
        <w:rPr>
          <w:rFonts w:hint="default" w:ascii="Times New Roman" w:hAnsi="Times New Roman" w:eastAsia="仿宋_GB2312" w:cs="Times New Roman"/>
          <w:color w:val="auto"/>
          <w:sz w:val="32"/>
          <w:szCs w:val="32"/>
          <w:highlight w:val="none"/>
          <w:lang w:val="zh-CN" w:eastAsia="zh-CN"/>
        </w:rPr>
        <w:t>主体</w:t>
      </w:r>
      <w:r>
        <w:rPr>
          <w:rFonts w:hint="default" w:ascii="Times New Roman" w:hAnsi="Times New Roman" w:eastAsia="仿宋_GB2312" w:cs="Times New Roman"/>
          <w:color w:val="auto"/>
          <w:sz w:val="32"/>
          <w:szCs w:val="32"/>
          <w:highlight w:val="none"/>
          <w:lang w:val="en-US" w:eastAsia="zh-CN"/>
        </w:rPr>
        <w:t>工程</w:t>
      </w:r>
      <w:r>
        <w:rPr>
          <w:rFonts w:hint="default" w:ascii="Times New Roman" w:hAnsi="Times New Roman" w:eastAsia="仿宋_GB2312" w:cs="Times New Roman"/>
          <w:color w:val="auto"/>
          <w:sz w:val="32"/>
          <w:szCs w:val="32"/>
          <w:highlight w:val="none"/>
          <w:lang w:val="zh-CN" w:eastAsia="zh-CN"/>
        </w:rPr>
        <w:t>已完成</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zh-CN" w:eastAsia="zh-CN"/>
        </w:rPr>
        <w:t>川陕革命根据地烈士陵园及周边环境整体提升项目</w:t>
      </w:r>
      <w:r>
        <w:rPr>
          <w:rFonts w:hint="default" w:ascii="Times New Roman" w:hAnsi="Times New Roman" w:eastAsia="仿宋_GB2312" w:cs="Times New Roman"/>
          <w:color w:val="auto"/>
          <w:sz w:val="32"/>
          <w:szCs w:val="32"/>
          <w:highlight w:val="none"/>
          <w:lang w:val="en-US" w:eastAsia="zh-CN"/>
        </w:rPr>
        <w:t>已完工3个，</w:t>
      </w:r>
      <w:r>
        <w:rPr>
          <w:rFonts w:hint="default" w:ascii="Times New Roman" w:hAnsi="Times New Roman" w:eastAsia="仿宋_GB2312" w:cs="Times New Roman"/>
          <w:color w:val="auto"/>
          <w:sz w:val="32"/>
          <w:szCs w:val="32"/>
          <w:highlight w:val="none"/>
          <w:lang w:val="zh-CN" w:eastAsia="zh-CN"/>
        </w:rPr>
        <w:t>妇女居家灵活就业示范基地项目已完工</w:t>
      </w:r>
      <w:r>
        <w:rPr>
          <w:rFonts w:hint="default" w:ascii="Times New Roman" w:hAnsi="Times New Roman" w:eastAsia="仿宋_GB2312" w:cs="Times New Roman"/>
          <w:color w:val="auto"/>
          <w:sz w:val="32"/>
          <w:szCs w:val="32"/>
          <w:highlight w:val="none"/>
          <w:lang w:val="en-US" w:eastAsia="zh-CN"/>
        </w:rPr>
        <w:t>5个，子午工程二期圆环阵太阳风射电成像望远镜地方配套建设的观测基地与科研基地已完工，28个</w:t>
      </w:r>
      <w:r>
        <w:rPr>
          <w:rFonts w:hint="default" w:ascii="Times New Roman" w:hAnsi="Times New Roman" w:eastAsia="仿宋_GB2312" w:cs="Times New Roman"/>
          <w:color w:val="auto"/>
          <w:sz w:val="32"/>
          <w:szCs w:val="32"/>
          <w:highlight w:val="none"/>
          <w:lang w:val="zh-CN" w:eastAsia="zh-CN"/>
        </w:rPr>
        <w:t>煤矿安全改造</w:t>
      </w:r>
      <w:r>
        <w:rPr>
          <w:rFonts w:hint="default" w:ascii="Times New Roman" w:hAnsi="Times New Roman" w:eastAsia="仿宋_GB2312" w:cs="Times New Roman"/>
          <w:color w:val="auto"/>
          <w:sz w:val="32"/>
          <w:szCs w:val="32"/>
          <w:highlight w:val="none"/>
          <w:lang w:val="en-US" w:eastAsia="zh-CN"/>
        </w:rPr>
        <w:t>项目中已完工项目25个，资源节约环境保护和应对气候变化项目已完工4个。</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720"/>
        <w:textAlignment w:val="auto"/>
        <w:rPr>
          <w:rFonts w:hint="default" w:ascii="Times New Roman" w:hAnsi="Times New Roman" w:eastAsia="楷体_GB2312" w:cs="Times New Roman"/>
          <w:b/>
          <w:color w:val="auto"/>
          <w:sz w:val="32"/>
          <w:szCs w:val="32"/>
          <w:highlight w:val="none"/>
          <w:lang w:val="zh-CN"/>
        </w:rPr>
      </w:pPr>
      <w:r>
        <w:rPr>
          <w:rFonts w:hint="default" w:ascii="Times New Roman" w:hAnsi="Times New Roman" w:eastAsia="楷体_GB2312" w:cs="Times New Roman"/>
          <w:b/>
          <w:color w:val="auto"/>
          <w:sz w:val="32"/>
          <w:szCs w:val="32"/>
          <w:highlight w:val="none"/>
          <w:lang w:val="zh-CN"/>
        </w:rPr>
        <w:t>（二）</w:t>
      </w:r>
      <w:r>
        <w:rPr>
          <w:rFonts w:hint="default" w:ascii="Times New Roman" w:hAnsi="Times New Roman" w:eastAsia="楷体_GB2312" w:cs="Times New Roman"/>
          <w:b/>
          <w:color w:val="auto"/>
          <w:sz w:val="32"/>
          <w:szCs w:val="32"/>
          <w:highlight w:val="none"/>
          <w:lang w:val="en-US" w:eastAsia="zh-CN"/>
        </w:rPr>
        <w:t>效益充分发挥</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auto"/>
          <w:sz w:val="32"/>
          <w:szCs w:val="32"/>
          <w:highlight w:val="none"/>
          <w:lang w:val="zh-CN" w:eastAsia="zh-CN"/>
        </w:rPr>
      </w:pPr>
      <w:r>
        <w:rPr>
          <w:rFonts w:hint="default" w:ascii="Times New Roman" w:hAnsi="Times New Roman" w:eastAsia="仿宋_GB2312" w:cs="Times New Roman"/>
          <w:color w:val="auto"/>
          <w:sz w:val="32"/>
          <w:szCs w:val="32"/>
          <w:highlight w:val="none"/>
          <w:lang w:val="zh-CN" w:eastAsia="zh-CN"/>
        </w:rPr>
        <w:t>省预算内基本建设投资</w:t>
      </w:r>
      <w:r>
        <w:rPr>
          <w:rFonts w:hint="default" w:ascii="Times New Roman" w:hAnsi="Times New Roman" w:eastAsia="仿宋_GB2312" w:cs="Times New Roman"/>
          <w:color w:val="auto"/>
          <w:sz w:val="32"/>
          <w:szCs w:val="32"/>
          <w:highlight w:val="none"/>
          <w:lang w:val="en-US" w:eastAsia="zh-CN"/>
        </w:rPr>
        <w:t>主要安排省委、省政府确定支持的、关乎社会民生福祉的重大项目</w:t>
      </w:r>
      <w:r>
        <w:rPr>
          <w:rFonts w:hint="default" w:ascii="Times New Roman" w:hAnsi="Times New Roman" w:eastAsia="仿宋_GB2312" w:cs="Times New Roman"/>
          <w:color w:val="auto"/>
          <w:sz w:val="32"/>
          <w:szCs w:val="32"/>
          <w:highlight w:val="none"/>
          <w:lang w:val="zh-CN" w:eastAsia="zh-CN"/>
        </w:rPr>
        <w:t>，有力推动了全省重点项目建设，有效发挥了省预算内资金效益，为全省投资稳定增长、经济平稳发展、</w:t>
      </w:r>
      <w:r>
        <w:rPr>
          <w:rFonts w:hint="default" w:ascii="Times New Roman" w:hAnsi="Times New Roman" w:eastAsia="仿宋_GB2312" w:cs="Times New Roman"/>
          <w:color w:val="auto"/>
          <w:sz w:val="32"/>
          <w:szCs w:val="32"/>
          <w:highlight w:val="none"/>
          <w:lang w:val="en-US" w:eastAsia="zh-CN"/>
        </w:rPr>
        <w:t>公共服务水平提升、科技成果转化</w:t>
      </w:r>
      <w:r>
        <w:rPr>
          <w:rFonts w:hint="default" w:ascii="Times New Roman" w:hAnsi="Times New Roman" w:eastAsia="仿宋_GB2312" w:cs="Times New Roman"/>
          <w:color w:val="auto"/>
          <w:sz w:val="32"/>
          <w:szCs w:val="32"/>
          <w:highlight w:val="none"/>
          <w:lang w:val="zh-CN" w:eastAsia="zh-CN"/>
        </w:rPr>
        <w:t>起到了积极作用。</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Style w:val="55"/>
          <w:rFonts w:hint="default" w:ascii="Times New Roman" w:hAnsi="Times New Roman" w:eastAsia="仿宋_GB2312" w:cs="Times New Roman"/>
          <w:color w:val="auto"/>
          <w:kern w:val="0"/>
          <w:sz w:val="32"/>
          <w:szCs w:val="32"/>
          <w:highlight w:val="none"/>
          <w:lang w:val="en-US" w:eastAsia="zh-CN" w:bidi="ar"/>
        </w:rPr>
      </w:pPr>
      <w:r>
        <w:rPr>
          <w:rStyle w:val="55"/>
          <w:rFonts w:hint="default" w:ascii="Times New Roman" w:hAnsi="Times New Roman" w:eastAsia="仿宋_GB2312" w:cs="Times New Roman"/>
          <w:b/>
          <w:bCs/>
          <w:color w:val="auto"/>
          <w:kern w:val="0"/>
          <w:sz w:val="32"/>
          <w:szCs w:val="32"/>
          <w:highlight w:val="none"/>
          <w:lang w:val="zh-CN" w:eastAsia="zh-CN" w:bidi="ar"/>
        </w:rPr>
        <w:t>——经济效益</w:t>
      </w:r>
      <w:r>
        <w:rPr>
          <w:rStyle w:val="55"/>
          <w:rFonts w:hint="default" w:ascii="Times New Roman" w:hAnsi="Times New Roman" w:eastAsia="仿宋_GB2312" w:cs="Times New Roman"/>
          <w:b/>
          <w:bCs/>
          <w:color w:val="auto"/>
          <w:kern w:val="0"/>
          <w:sz w:val="32"/>
          <w:szCs w:val="32"/>
          <w:highlight w:val="none"/>
          <w:lang w:val="en-US" w:eastAsia="zh-CN" w:bidi="ar"/>
        </w:rPr>
        <w:t>方面</w:t>
      </w:r>
      <w:r>
        <w:rPr>
          <w:rStyle w:val="55"/>
          <w:rFonts w:hint="default" w:ascii="Times New Roman" w:hAnsi="Times New Roman" w:eastAsia="仿宋_GB2312" w:cs="Times New Roman"/>
          <w:b/>
          <w:bCs/>
          <w:color w:val="auto"/>
          <w:kern w:val="0"/>
          <w:sz w:val="32"/>
          <w:szCs w:val="32"/>
          <w:highlight w:val="none"/>
          <w:lang w:val="zh-CN" w:eastAsia="zh-CN" w:bidi="ar"/>
        </w:rPr>
        <w:t>。</w:t>
      </w:r>
      <w:r>
        <w:rPr>
          <w:rStyle w:val="55"/>
          <w:rFonts w:hint="default" w:ascii="Times New Roman" w:hAnsi="Times New Roman" w:eastAsia="仿宋_GB2312" w:cs="Times New Roman"/>
          <w:color w:val="auto"/>
          <w:kern w:val="0"/>
          <w:sz w:val="32"/>
          <w:szCs w:val="32"/>
          <w:highlight w:val="none"/>
          <w:lang w:val="en-US" w:eastAsia="zh-CN" w:bidi="ar"/>
        </w:rPr>
        <w:t>通过省预算内基本建设投资引导，有效带动地方政府和社会资本投资，2020年省预算内投资实际可安排资金56亿元，带动项目总投资超过3.3万亿元，促投资、稳增长成效明显。如</w:t>
      </w:r>
      <w:r>
        <w:rPr>
          <w:rStyle w:val="55"/>
          <w:rFonts w:hint="default" w:ascii="Times New Roman" w:hAnsi="Times New Roman" w:eastAsia="仿宋_GB2312" w:cs="Times New Roman"/>
          <w:color w:val="auto"/>
          <w:kern w:val="0"/>
          <w:sz w:val="32"/>
          <w:szCs w:val="32"/>
          <w:highlight w:val="none"/>
          <w:lang w:val="zh-CN" w:eastAsia="zh-CN" w:bidi="ar"/>
        </w:rPr>
        <w:t>煤矿安全改造</w:t>
      </w:r>
      <w:r>
        <w:rPr>
          <w:rStyle w:val="55"/>
          <w:rFonts w:hint="default" w:ascii="Times New Roman" w:hAnsi="Times New Roman" w:eastAsia="仿宋_GB2312" w:cs="Times New Roman"/>
          <w:color w:val="auto"/>
          <w:kern w:val="0"/>
          <w:sz w:val="32"/>
          <w:szCs w:val="32"/>
          <w:highlight w:val="none"/>
          <w:lang w:val="en-US" w:eastAsia="zh-CN" w:bidi="ar"/>
        </w:rPr>
        <w:t>项目使</w:t>
      </w:r>
      <w:r>
        <w:rPr>
          <w:rStyle w:val="55"/>
          <w:rFonts w:hint="default" w:ascii="Times New Roman" w:hAnsi="Times New Roman" w:eastAsia="仿宋_GB2312" w:cs="Times New Roman"/>
          <w:color w:val="auto"/>
          <w:kern w:val="0"/>
          <w:sz w:val="32"/>
          <w:szCs w:val="32"/>
          <w:highlight w:val="none"/>
          <w:lang w:val="zh-CN" w:eastAsia="zh-CN" w:bidi="ar"/>
        </w:rPr>
        <w:t>煤炭生产工效持续提高，稳定生产和保供能力进一步</w:t>
      </w:r>
      <w:r>
        <w:rPr>
          <w:rStyle w:val="55"/>
          <w:rFonts w:hint="default" w:ascii="Times New Roman" w:hAnsi="Times New Roman" w:eastAsia="仿宋_GB2312" w:cs="Times New Roman"/>
          <w:color w:val="auto"/>
          <w:kern w:val="0"/>
          <w:sz w:val="32"/>
          <w:szCs w:val="32"/>
          <w:highlight w:val="none"/>
          <w:lang w:val="en-US" w:eastAsia="zh-CN" w:bidi="ar"/>
        </w:rPr>
        <w:t>加强</w:t>
      </w:r>
      <w:r>
        <w:rPr>
          <w:rStyle w:val="55"/>
          <w:rFonts w:hint="default" w:ascii="Times New Roman" w:hAnsi="Times New Roman" w:eastAsia="仿宋_GB2312" w:cs="Times New Roman"/>
          <w:color w:val="auto"/>
          <w:kern w:val="0"/>
          <w:sz w:val="32"/>
          <w:szCs w:val="32"/>
          <w:highlight w:val="none"/>
          <w:lang w:val="zh-CN" w:eastAsia="zh-CN" w:bidi="ar"/>
        </w:rPr>
        <w:t>，全力保障火电、建材、冶金等用煤稳定供应；</w:t>
      </w:r>
      <w:r>
        <w:rPr>
          <w:rStyle w:val="55"/>
          <w:rFonts w:hint="default" w:ascii="Times New Roman" w:hAnsi="Times New Roman" w:eastAsia="仿宋_GB2312" w:cs="Times New Roman"/>
          <w:color w:val="auto"/>
          <w:kern w:val="0"/>
          <w:sz w:val="32"/>
          <w:szCs w:val="32"/>
          <w:highlight w:val="none"/>
          <w:lang w:val="en-US" w:eastAsia="zh-CN" w:bidi="ar"/>
        </w:rPr>
        <w:t>灾后重建项目使受灾地区生产生活条件和经济社会发展得以快速恢复；</w:t>
      </w:r>
      <w:r>
        <w:rPr>
          <w:rFonts w:hint="default" w:ascii="Times New Roman" w:hAnsi="Times New Roman" w:eastAsia="仿宋_GB2312" w:cs="Times New Roman"/>
          <w:color w:val="auto"/>
          <w:sz w:val="32"/>
          <w:szCs w:val="32"/>
          <w:highlight w:val="none"/>
          <w:lang w:val="en-US" w:eastAsia="zh-CN"/>
        </w:rPr>
        <w:t>转化医学、高海拔宇宙线观测站和空间环境地基综合监测等重大科技基础设施项目建设过程中，已产生20个创新生物技术产品或方案转让企业，项目建成后，可有效促进生物医药、宇宙射线、空间科学等相关产业发展，带动相关领域行业发展；</w:t>
      </w:r>
      <w:r>
        <w:rPr>
          <w:rStyle w:val="55"/>
          <w:rFonts w:hint="default" w:ascii="Times New Roman" w:hAnsi="Times New Roman" w:eastAsia="仿宋_GB2312" w:cs="Times New Roman"/>
          <w:color w:val="auto"/>
          <w:kern w:val="0"/>
          <w:sz w:val="32"/>
          <w:szCs w:val="32"/>
          <w:highlight w:val="none"/>
          <w:lang w:val="en-US" w:eastAsia="zh-CN" w:bidi="ar"/>
        </w:rPr>
        <w:t>省预算内重点项目前期工作经费对促进项目前期工作开展、推动项目顺利进入施工阶段发挥了积极作用；疫情防控补助资金有效提振了各地抓项目促投资信心，有力保障了重点项目复工复产，3月底较早实现省重点项目全面复工开工，6月总体追回受疫情影响的进度，全省抓复工复产工作得到中办和国办高度评价。</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Style w:val="55"/>
          <w:rFonts w:hint="default" w:ascii="Times New Roman" w:hAnsi="Times New Roman" w:eastAsia="仿宋_GB2312" w:cs="Times New Roman"/>
          <w:color w:val="auto"/>
          <w:kern w:val="0"/>
          <w:sz w:val="32"/>
          <w:szCs w:val="32"/>
          <w:highlight w:val="none"/>
          <w:lang w:val="en-US" w:eastAsia="zh-CN" w:bidi="ar"/>
        </w:rPr>
      </w:pPr>
      <w:r>
        <w:rPr>
          <w:rStyle w:val="55"/>
          <w:rFonts w:hint="default" w:ascii="Times New Roman" w:hAnsi="Times New Roman" w:eastAsia="仿宋_GB2312" w:cs="Times New Roman"/>
          <w:b/>
          <w:bCs/>
          <w:color w:val="auto"/>
          <w:kern w:val="0"/>
          <w:sz w:val="32"/>
          <w:szCs w:val="32"/>
          <w:highlight w:val="none"/>
          <w:lang w:val="zh-CN" w:eastAsia="zh-CN" w:bidi="ar"/>
        </w:rPr>
        <w:t>——社会效益</w:t>
      </w:r>
      <w:r>
        <w:rPr>
          <w:rStyle w:val="55"/>
          <w:rFonts w:hint="default" w:ascii="Times New Roman" w:hAnsi="Times New Roman" w:eastAsia="仿宋_GB2312" w:cs="Times New Roman"/>
          <w:b/>
          <w:bCs/>
          <w:color w:val="auto"/>
          <w:kern w:val="0"/>
          <w:sz w:val="32"/>
          <w:szCs w:val="32"/>
          <w:highlight w:val="none"/>
          <w:lang w:val="en-US" w:eastAsia="zh-CN" w:bidi="ar"/>
        </w:rPr>
        <w:t>方面</w:t>
      </w:r>
      <w:r>
        <w:rPr>
          <w:rStyle w:val="55"/>
          <w:rFonts w:hint="default" w:ascii="Times New Roman" w:hAnsi="Times New Roman" w:eastAsia="仿宋_GB2312" w:cs="Times New Roman"/>
          <w:b/>
          <w:bCs/>
          <w:color w:val="auto"/>
          <w:kern w:val="0"/>
          <w:sz w:val="32"/>
          <w:szCs w:val="32"/>
          <w:highlight w:val="none"/>
          <w:lang w:val="zh-CN" w:eastAsia="zh-CN" w:bidi="ar"/>
        </w:rPr>
        <w:t>。</w:t>
      </w:r>
      <w:r>
        <w:rPr>
          <w:rStyle w:val="55"/>
          <w:rFonts w:hint="default" w:ascii="Times New Roman" w:hAnsi="Times New Roman" w:eastAsia="仿宋_GB2312" w:cs="Times New Roman"/>
          <w:color w:val="auto"/>
          <w:kern w:val="0"/>
          <w:sz w:val="32"/>
          <w:szCs w:val="32"/>
          <w:highlight w:val="none"/>
          <w:lang w:val="en-US" w:eastAsia="zh-CN" w:bidi="ar"/>
        </w:rPr>
        <w:t>一方面，重大基础设施加快实施，补齐发展短板。作为稳增长的重要保障，交通基础设施的大力投入更加完善了我省交通网络，大大缩短了人员出行和货物流通的时间成本。成都至自贡至宜宾高速铁路、渝昆高铁、成都至西宁铁路等建成后将增加省境内约617公里铁路网络，进一步完善国家中长期铁路网规划的四纵四横客运铁路专线的布局结构；乐西高速公路马边至昭觉段全长约170公里，对于巩固脱贫攻坚成果、改善群众交通出行条件发挥积极作用；成都天府机场建成对我省构建“</w:t>
      </w:r>
      <w:r>
        <w:rPr>
          <w:rStyle w:val="55"/>
          <w:rFonts w:hint="default" w:ascii="Times New Roman" w:hAnsi="Times New Roman" w:eastAsia="仿宋_GB2312" w:cs="Times New Roman"/>
          <w:color w:val="auto"/>
          <w:kern w:val="0"/>
          <w:sz w:val="32"/>
          <w:szCs w:val="32"/>
          <w:highlight w:val="none"/>
          <w:lang w:val="zh-CN" w:eastAsia="zh-CN" w:bidi="ar"/>
        </w:rPr>
        <w:t>四向</w:t>
      </w:r>
      <w:r>
        <w:rPr>
          <w:rStyle w:val="55"/>
          <w:rFonts w:hint="default" w:ascii="Times New Roman" w:hAnsi="Times New Roman" w:eastAsia="仿宋_GB2312" w:cs="Times New Roman"/>
          <w:color w:val="auto"/>
          <w:kern w:val="0"/>
          <w:sz w:val="32"/>
          <w:szCs w:val="32"/>
          <w:highlight w:val="none"/>
          <w:lang w:val="en-US" w:eastAsia="zh-CN" w:bidi="ar"/>
        </w:rPr>
        <w:t>拓展、全域开放”立体全面开放态势意义重大；森林航空消防项目切实增强了灭火时效性，提高了航空灭火效率，提升了火灾预防和扑救综合能力。农林水利基础设施助推现代农业快速发展，如龙塘水库及灌区工程建成后，将惠及灌面36.2万亩。能源基础设施重点安排煤矿安全改造项目</w:t>
      </w:r>
      <w:r>
        <w:rPr>
          <w:rStyle w:val="55"/>
          <w:rFonts w:hint="default" w:ascii="Times New Roman" w:hAnsi="Times New Roman" w:eastAsia="仿宋_GB2312" w:cs="Times New Roman"/>
          <w:color w:val="auto"/>
          <w:kern w:val="0"/>
          <w:sz w:val="32"/>
          <w:szCs w:val="32"/>
          <w:highlight w:val="none"/>
          <w:lang w:val="zh-CN" w:eastAsia="zh-CN" w:bidi="ar"/>
        </w:rPr>
        <w:t>实施后，井下安全生产条件明显改善，高危岗位作业更多由智能装备替代，全省矿井安全生产形势持续好转。</w:t>
      </w:r>
      <w:r>
        <w:rPr>
          <w:rStyle w:val="55"/>
          <w:rFonts w:hint="default" w:ascii="Times New Roman" w:hAnsi="Times New Roman" w:eastAsia="仿宋_GB2312" w:cs="Times New Roman"/>
          <w:color w:val="auto"/>
          <w:kern w:val="0"/>
          <w:sz w:val="32"/>
          <w:szCs w:val="32"/>
          <w:highlight w:val="none"/>
          <w:lang w:val="en-US" w:eastAsia="zh-CN" w:bidi="ar"/>
        </w:rPr>
        <w:t>县城排水设施建设项目建成后将有效解决管道淤积、路面积水和县城内涝，完善县城排水系统，提高县城防涝能力，保障人民群众生命财产安全，切实提高居民生活质量。</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Style w:val="55"/>
          <w:rFonts w:hint="default" w:ascii="Times New Roman" w:hAnsi="Times New Roman" w:eastAsia="仿宋_GB2312" w:cs="Times New Roman"/>
          <w:color w:val="auto"/>
          <w:kern w:val="0"/>
          <w:sz w:val="32"/>
          <w:szCs w:val="32"/>
          <w:highlight w:val="none"/>
          <w:lang w:val="en-US" w:eastAsia="zh-CN" w:bidi="ar"/>
        </w:rPr>
      </w:pPr>
      <w:r>
        <w:rPr>
          <w:rStyle w:val="55"/>
          <w:rFonts w:hint="default" w:ascii="Times New Roman" w:hAnsi="Times New Roman" w:eastAsia="仿宋_GB2312" w:cs="Times New Roman"/>
          <w:color w:val="auto"/>
          <w:kern w:val="0"/>
          <w:sz w:val="32"/>
          <w:szCs w:val="32"/>
          <w:highlight w:val="none"/>
          <w:lang w:val="en-US" w:eastAsia="zh-CN" w:bidi="ar"/>
        </w:rPr>
        <w:t>另一方面，聚焦社会事业和民生工程，持续改善民生保障，促进社会和谐稳定。支持</w:t>
      </w:r>
      <w:r>
        <w:rPr>
          <w:rStyle w:val="55"/>
          <w:rFonts w:hint="default" w:ascii="Times New Roman" w:hAnsi="Times New Roman" w:eastAsia="仿宋_GB2312" w:cs="Times New Roman"/>
          <w:color w:val="auto"/>
          <w:kern w:val="0"/>
          <w:sz w:val="32"/>
          <w:szCs w:val="32"/>
          <w:highlight w:val="none"/>
          <w:lang w:val="zh-CN" w:eastAsia="zh-CN" w:bidi="ar"/>
        </w:rPr>
        <w:t>妇女居家灵活就业，提供居家灵活就业平台，带动</w:t>
      </w:r>
      <w:r>
        <w:rPr>
          <w:rStyle w:val="55"/>
          <w:rFonts w:hint="default" w:ascii="Times New Roman" w:hAnsi="Times New Roman" w:eastAsia="仿宋_GB2312" w:cs="Times New Roman"/>
          <w:color w:val="auto"/>
          <w:kern w:val="0"/>
          <w:sz w:val="32"/>
          <w:szCs w:val="32"/>
          <w:highlight w:val="none"/>
          <w:lang w:val="en-US" w:eastAsia="zh-CN" w:bidi="ar"/>
        </w:rPr>
        <w:t>了</w:t>
      </w:r>
      <w:r>
        <w:rPr>
          <w:rStyle w:val="55"/>
          <w:rFonts w:hint="default" w:ascii="Times New Roman" w:hAnsi="Times New Roman" w:eastAsia="仿宋_GB2312" w:cs="Times New Roman"/>
          <w:color w:val="auto"/>
          <w:kern w:val="0"/>
          <w:sz w:val="32"/>
          <w:szCs w:val="32"/>
          <w:highlight w:val="none"/>
          <w:lang w:val="zh-CN" w:eastAsia="zh-CN" w:bidi="ar"/>
        </w:rPr>
        <w:t>更多农村妇女、返乡妇女致富增收。</w:t>
      </w:r>
      <w:r>
        <w:rPr>
          <w:rStyle w:val="55"/>
          <w:rFonts w:hint="default" w:ascii="Times New Roman" w:hAnsi="Times New Roman" w:eastAsia="仿宋_GB2312" w:cs="Times New Roman"/>
          <w:color w:val="auto"/>
          <w:kern w:val="0"/>
          <w:sz w:val="32"/>
          <w:szCs w:val="32"/>
          <w:highlight w:val="none"/>
          <w:lang w:val="en-US" w:eastAsia="zh-CN" w:bidi="ar"/>
        </w:rPr>
        <w:t>教育项目补齐贫困地区教育短板，改善办学条件，增加优质教育资源供给，增强教育供给服务的可及性、普惠性和获得感。</w:t>
      </w:r>
      <w:r>
        <w:rPr>
          <w:rStyle w:val="55"/>
          <w:rFonts w:hint="default" w:ascii="Times New Roman" w:hAnsi="Times New Roman" w:eastAsia="仿宋_GB2312" w:cs="Times New Roman"/>
          <w:color w:val="auto"/>
          <w:kern w:val="0"/>
          <w:sz w:val="32"/>
          <w:szCs w:val="32"/>
          <w:highlight w:val="none"/>
          <w:lang w:val="zh-CN" w:eastAsia="zh-CN" w:bidi="ar"/>
        </w:rPr>
        <w:t>民族地区卫生项目建设对补齐我省藏区、彝区医疗卫生短板、更好推进卫生事业发展具有重要作用。</w:t>
      </w:r>
      <w:r>
        <w:rPr>
          <w:rStyle w:val="55"/>
          <w:rFonts w:hint="default" w:ascii="Times New Roman" w:hAnsi="Times New Roman" w:eastAsia="仿宋_GB2312" w:cs="Times New Roman"/>
          <w:color w:val="auto"/>
          <w:kern w:val="0"/>
          <w:sz w:val="32"/>
          <w:szCs w:val="32"/>
          <w:highlight w:val="none"/>
          <w:lang w:val="en-US" w:eastAsia="zh-CN" w:bidi="ar"/>
        </w:rPr>
        <w:t>精准诊断研发平台已建立完善的传染病疫情的快速应急诊断体系，疾病流行病学大数据研究平台累计完成30余份《新型冠状病毒疫情控制决策建议报告》，两个创新平台项目建设对防控新冠疫情工作作出积极贡献。文化体育旅游项目丰富群众精神生活、推动全民健身、体育强国、推进文化保护传承。如大运会省属场馆改造</w:t>
      </w:r>
      <w:r>
        <w:rPr>
          <w:rStyle w:val="55"/>
          <w:rFonts w:hint="default" w:ascii="Times New Roman" w:hAnsi="Times New Roman" w:eastAsia="仿宋_GB2312" w:cs="Times New Roman"/>
          <w:color w:val="auto"/>
          <w:kern w:val="0"/>
          <w:sz w:val="32"/>
          <w:szCs w:val="32"/>
          <w:highlight w:val="none"/>
          <w:lang w:val="zh-CN" w:eastAsia="zh-CN" w:bidi="ar"/>
        </w:rPr>
        <w:t>有助于改善场地</w:t>
      </w:r>
      <w:r>
        <w:rPr>
          <w:rStyle w:val="55"/>
          <w:rFonts w:hint="default" w:ascii="Times New Roman" w:hAnsi="Times New Roman" w:eastAsia="仿宋_GB2312" w:cs="Times New Roman"/>
          <w:color w:val="auto"/>
          <w:kern w:val="0"/>
          <w:sz w:val="32"/>
          <w:szCs w:val="32"/>
          <w:highlight w:val="none"/>
          <w:lang w:val="en-US" w:eastAsia="zh-CN" w:bidi="ar"/>
        </w:rPr>
        <w:t>条件</w:t>
      </w:r>
      <w:r>
        <w:rPr>
          <w:rStyle w:val="55"/>
          <w:rFonts w:hint="default" w:ascii="Times New Roman" w:hAnsi="Times New Roman" w:eastAsia="仿宋_GB2312" w:cs="Times New Roman"/>
          <w:color w:val="auto"/>
          <w:kern w:val="0"/>
          <w:sz w:val="32"/>
          <w:szCs w:val="32"/>
          <w:highlight w:val="none"/>
          <w:lang w:val="zh-CN" w:eastAsia="zh-CN" w:bidi="ar"/>
        </w:rPr>
        <w:t>，提升办赛水平，健全高校体育设施；社会足球场项目对丰富足球场地设施供给、满足群众健身需求、更好推进足球事业发展具有重要作用；</w:t>
      </w:r>
      <w:r>
        <w:rPr>
          <w:rStyle w:val="55"/>
          <w:rFonts w:hint="default" w:ascii="Times New Roman" w:hAnsi="Times New Roman" w:eastAsia="仿宋_GB2312" w:cs="Times New Roman"/>
          <w:color w:val="auto"/>
          <w:kern w:val="0"/>
          <w:sz w:val="32"/>
          <w:szCs w:val="32"/>
          <w:highlight w:val="none"/>
          <w:lang w:val="en-US" w:eastAsia="zh-CN" w:bidi="ar"/>
        </w:rPr>
        <w:t>川陕革命根据地红军烈士陵园及周边环境整体提升项目对进一步弘扬革命精神、传承红色基因、加强理想信念教育具有重要意义；</w:t>
      </w:r>
      <w:r>
        <w:rPr>
          <w:rStyle w:val="55"/>
          <w:rFonts w:hint="default" w:ascii="Times New Roman" w:hAnsi="Times New Roman" w:eastAsia="仿宋_GB2312" w:cs="Times New Roman"/>
          <w:color w:val="auto"/>
          <w:kern w:val="0"/>
          <w:sz w:val="32"/>
          <w:szCs w:val="32"/>
          <w:highlight w:val="none"/>
          <w:lang w:val="zh-CN" w:eastAsia="zh-CN" w:bidi="ar"/>
        </w:rPr>
        <w:t>四川广播电视台四川新闻演播室系统改造项目</w:t>
      </w:r>
      <w:r>
        <w:rPr>
          <w:rStyle w:val="55"/>
          <w:rFonts w:hint="default" w:ascii="Times New Roman" w:hAnsi="Times New Roman" w:eastAsia="仿宋_GB2312" w:cs="Times New Roman"/>
          <w:color w:val="auto"/>
          <w:kern w:val="0"/>
          <w:sz w:val="32"/>
          <w:szCs w:val="32"/>
          <w:highlight w:val="none"/>
          <w:lang w:val="en-US" w:eastAsia="zh-CN" w:bidi="ar"/>
        </w:rPr>
        <w:t>提升我省主流媒体宣传影响力和群众满意度，持续生产高质量新闻类节目。</w:t>
      </w:r>
      <w:r>
        <w:rPr>
          <w:rStyle w:val="55"/>
          <w:rFonts w:hint="default" w:ascii="Times New Roman" w:hAnsi="Times New Roman" w:eastAsia="仿宋_GB2312" w:cs="Times New Roman"/>
          <w:color w:val="auto"/>
          <w:kern w:val="0"/>
          <w:sz w:val="32"/>
          <w:szCs w:val="32"/>
          <w:highlight w:val="none"/>
          <w:lang w:val="zh-CN" w:eastAsia="zh-CN" w:bidi="ar"/>
        </w:rPr>
        <w:t>灾后恢复重建</w:t>
      </w:r>
      <w:r>
        <w:rPr>
          <w:rStyle w:val="55"/>
          <w:rFonts w:hint="default" w:ascii="Times New Roman" w:hAnsi="Times New Roman" w:eastAsia="仿宋_GB2312" w:cs="Times New Roman"/>
          <w:color w:val="auto"/>
          <w:kern w:val="0"/>
          <w:sz w:val="32"/>
          <w:szCs w:val="32"/>
          <w:highlight w:val="none"/>
          <w:lang w:val="en-US" w:eastAsia="zh-CN" w:bidi="ar"/>
        </w:rPr>
        <w:t>项目有力推动灾区基础设施恢复建设</w:t>
      </w:r>
      <w:r>
        <w:rPr>
          <w:rStyle w:val="55"/>
          <w:rFonts w:hint="default" w:ascii="Times New Roman" w:hAnsi="Times New Roman" w:eastAsia="仿宋_GB2312" w:cs="Times New Roman"/>
          <w:color w:val="auto"/>
          <w:kern w:val="0"/>
          <w:sz w:val="32"/>
          <w:szCs w:val="32"/>
          <w:highlight w:val="none"/>
          <w:lang w:val="zh-CN" w:eastAsia="zh-CN" w:bidi="ar"/>
        </w:rPr>
        <w:t>，增强防灾减灾能力</w:t>
      </w:r>
      <w:r>
        <w:rPr>
          <w:rStyle w:val="55"/>
          <w:rFonts w:hint="default" w:ascii="Times New Roman" w:hAnsi="Times New Roman" w:eastAsia="仿宋_GB2312" w:cs="Times New Roman"/>
          <w:color w:val="auto"/>
          <w:kern w:val="0"/>
          <w:sz w:val="32"/>
          <w:szCs w:val="32"/>
          <w:highlight w:val="none"/>
          <w:lang w:val="en-US" w:eastAsia="zh-CN" w:bidi="ar"/>
        </w:rPr>
        <w:t>，恢复居民生产生活秩序</w:t>
      </w:r>
      <w:r>
        <w:rPr>
          <w:rStyle w:val="55"/>
          <w:rFonts w:hint="default" w:ascii="Times New Roman" w:hAnsi="Times New Roman" w:eastAsia="仿宋_GB2312" w:cs="Times New Roman"/>
          <w:color w:val="auto"/>
          <w:kern w:val="0"/>
          <w:sz w:val="32"/>
          <w:szCs w:val="32"/>
          <w:highlight w:val="none"/>
          <w:lang w:val="zh-CN" w:eastAsia="zh-CN" w:bidi="ar"/>
        </w:rPr>
        <w:t>。</w:t>
      </w:r>
      <w:r>
        <w:rPr>
          <w:rStyle w:val="55"/>
          <w:rFonts w:hint="default" w:ascii="Times New Roman" w:hAnsi="Times New Roman" w:eastAsia="仿宋_GB2312" w:cs="Times New Roman"/>
          <w:color w:val="auto"/>
          <w:kern w:val="0"/>
          <w:sz w:val="32"/>
          <w:szCs w:val="32"/>
          <w:highlight w:val="none"/>
          <w:lang w:val="en-US" w:eastAsia="zh-CN" w:bidi="ar"/>
        </w:rPr>
        <w:t>以工代赈项目资金全部安排用于与脱贫攻坚密切相关的农村小型基础设施建设，</w:t>
      </w:r>
      <w:r>
        <w:rPr>
          <w:rStyle w:val="55"/>
          <w:rFonts w:hint="default" w:ascii="Times New Roman" w:hAnsi="Times New Roman" w:eastAsia="仿宋_GB2312" w:cs="Times New Roman"/>
          <w:color w:val="auto"/>
          <w:kern w:val="0"/>
          <w:sz w:val="32"/>
          <w:szCs w:val="32"/>
          <w:highlight w:val="none"/>
          <w:lang w:val="zh-CN" w:eastAsia="zh-CN" w:bidi="ar"/>
        </w:rPr>
        <w:t>解决了</w:t>
      </w:r>
      <w:r>
        <w:rPr>
          <w:rStyle w:val="55"/>
          <w:rFonts w:hint="default" w:ascii="Times New Roman" w:hAnsi="Times New Roman" w:eastAsia="仿宋_GB2312" w:cs="Times New Roman"/>
          <w:color w:val="auto"/>
          <w:kern w:val="0"/>
          <w:sz w:val="32"/>
          <w:szCs w:val="32"/>
          <w:highlight w:val="none"/>
          <w:lang w:val="en-US" w:eastAsia="zh-CN" w:bidi="ar"/>
        </w:rPr>
        <w:t>16800余</w:t>
      </w:r>
      <w:r>
        <w:rPr>
          <w:rStyle w:val="55"/>
          <w:rFonts w:hint="default" w:ascii="Times New Roman" w:hAnsi="Times New Roman" w:eastAsia="仿宋_GB2312" w:cs="Times New Roman"/>
          <w:color w:val="auto"/>
          <w:kern w:val="0"/>
          <w:sz w:val="32"/>
          <w:szCs w:val="32"/>
          <w:highlight w:val="none"/>
          <w:lang w:val="zh-CN" w:eastAsia="zh-CN" w:bidi="ar"/>
        </w:rPr>
        <w:t>人行路难、</w:t>
      </w:r>
      <w:r>
        <w:rPr>
          <w:rStyle w:val="55"/>
          <w:rFonts w:hint="default" w:ascii="Times New Roman" w:hAnsi="Times New Roman" w:eastAsia="仿宋_GB2312" w:cs="Times New Roman"/>
          <w:color w:val="auto"/>
          <w:kern w:val="0"/>
          <w:sz w:val="32"/>
          <w:szCs w:val="32"/>
          <w:highlight w:val="none"/>
          <w:lang w:val="en-US" w:eastAsia="zh-CN" w:bidi="ar"/>
        </w:rPr>
        <w:t>8300余</w:t>
      </w:r>
      <w:r>
        <w:rPr>
          <w:rStyle w:val="55"/>
          <w:rFonts w:hint="default" w:ascii="Times New Roman" w:hAnsi="Times New Roman" w:eastAsia="仿宋_GB2312" w:cs="Times New Roman"/>
          <w:color w:val="auto"/>
          <w:kern w:val="0"/>
          <w:sz w:val="32"/>
          <w:szCs w:val="32"/>
          <w:highlight w:val="none"/>
          <w:lang w:val="zh-CN" w:eastAsia="zh-CN" w:bidi="ar"/>
        </w:rPr>
        <w:t>人饮水难等问题，</w:t>
      </w:r>
      <w:r>
        <w:rPr>
          <w:rStyle w:val="55"/>
          <w:rFonts w:hint="default" w:ascii="Times New Roman" w:hAnsi="Times New Roman" w:eastAsia="仿宋_GB2312" w:cs="Times New Roman"/>
          <w:color w:val="auto"/>
          <w:kern w:val="0"/>
          <w:sz w:val="32"/>
          <w:szCs w:val="32"/>
          <w:highlight w:val="none"/>
          <w:lang w:val="en-US" w:eastAsia="zh-CN" w:bidi="ar"/>
        </w:rPr>
        <w:t>疏通了与脱贫群众密切相关的生产生活设施“最后一公里”障碍</w:t>
      </w:r>
      <w:r>
        <w:rPr>
          <w:rStyle w:val="55"/>
          <w:rFonts w:hint="default" w:ascii="Times New Roman" w:hAnsi="Times New Roman" w:eastAsia="仿宋_GB2312" w:cs="Times New Roman"/>
          <w:color w:val="auto"/>
          <w:kern w:val="0"/>
          <w:sz w:val="32"/>
          <w:szCs w:val="32"/>
          <w:highlight w:val="none"/>
          <w:lang w:val="zh-CN" w:eastAsia="zh-CN" w:bidi="ar"/>
        </w:rPr>
        <w:t>，</w:t>
      </w:r>
      <w:r>
        <w:rPr>
          <w:rStyle w:val="55"/>
          <w:rFonts w:hint="default" w:ascii="Times New Roman" w:hAnsi="Times New Roman" w:eastAsia="仿宋_GB2312" w:cs="Times New Roman"/>
          <w:color w:val="auto"/>
          <w:kern w:val="0"/>
          <w:sz w:val="32"/>
          <w:szCs w:val="32"/>
          <w:highlight w:val="none"/>
          <w:lang w:val="en-US" w:eastAsia="zh-CN" w:bidi="ar"/>
        </w:rPr>
        <w:t>同时</w:t>
      </w:r>
      <w:r>
        <w:rPr>
          <w:rStyle w:val="55"/>
          <w:rFonts w:hint="default" w:ascii="Times New Roman" w:hAnsi="Times New Roman" w:eastAsia="仿宋_GB2312" w:cs="Times New Roman"/>
          <w:color w:val="auto"/>
          <w:kern w:val="0"/>
          <w:sz w:val="32"/>
          <w:szCs w:val="32"/>
          <w:highlight w:val="none"/>
          <w:lang w:val="zh-CN" w:eastAsia="zh-CN" w:bidi="ar"/>
        </w:rPr>
        <w:t>项目建设</w:t>
      </w:r>
      <w:r>
        <w:rPr>
          <w:rStyle w:val="55"/>
          <w:rFonts w:hint="default" w:ascii="Times New Roman" w:hAnsi="Times New Roman" w:eastAsia="仿宋_GB2312" w:cs="Times New Roman"/>
          <w:color w:val="auto"/>
          <w:kern w:val="0"/>
          <w:sz w:val="32"/>
          <w:szCs w:val="32"/>
          <w:highlight w:val="none"/>
          <w:lang w:val="en-US" w:eastAsia="zh-CN" w:bidi="ar"/>
        </w:rPr>
        <w:t>组织群众务工667人（脱贫群众319人），</w:t>
      </w:r>
      <w:r>
        <w:rPr>
          <w:rStyle w:val="55"/>
          <w:rFonts w:hint="default" w:ascii="Times New Roman" w:hAnsi="Times New Roman" w:eastAsia="仿宋_GB2312" w:cs="Times New Roman"/>
          <w:color w:val="auto"/>
          <w:kern w:val="0"/>
          <w:sz w:val="32"/>
          <w:szCs w:val="32"/>
          <w:highlight w:val="none"/>
          <w:lang w:val="zh-CN" w:eastAsia="zh-CN" w:bidi="ar"/>
        </w:rPr>
        <w:t>兑现劳务报酬</w:t>
      </w:r>
      <w:r>
        <w:rPr>
          <w:rStyle w:val="55"/>
          <w:rFonts w:hint="default" w:ascii="Times New Roman" w:hAnsi="Times New Roman" w:eastAsia="仿宋_GB2312" w:cs="Times New Roman"/>
          <w:color w:val="auto"/>
          <w:kern w:val="0"/>
          <w:sz w:val="32"/>
          <w:szCs w:val="32"/>
          <w:highlight w:val="none"/>
          <w:lang w:val="en-US" w:eastAsia="zh-CN" w:bidi="ar"/>
        </w:rPr>
        <w:t>397</w:t>
      </w:r>
      <w:r>
        <w:rPr>
          <w:rStyle w:val="55"/>
          <w:rFonts w:hint="default" w:ascii="Times New Roman" w:hAnsi="Times New Roman" w:eastAsia="仿宋_GB2312" w:cs="Times New Roman"/>
          <w:color w:val="auto"/>
          <w:kern w:val="0"/>
          <w:sz w:val="32"/>
          <w:szCs w:val="32"/>
          <w:highlight w:val="none"/>
          <w:lang w:val="zh-CN" w:eastAsia="zh-CN" w:bidi="ar"/>
        </w:rPr>
        <w:t>万元（</w:t>
      </w:r>
      <w:r>
        <w:rPr>
          <w:rStyle w:val="55"/>
          <w:rFonts w:hint="default" w:ascii="Times New Roman" w:hAnsi="Times New Roman" w:eastAsia="仿宋_GB2312" w:cs="Times New Roman"/>
          <w:color w:val="auto"/>
          <w:kern w:val="0"/>
          <w:sz w:val="32"/>
          <w:szCs w:val="32"/>
          <w:highlight w:val="none"/>
          <w:lang w:val="en-US" w:eastAsia="zh-CN" w:bidi="ar"/>
        </w:rPr>
        <w:t>脱贫群众207万元</w:t>
      </w:r>
      <w:r>
        <w:rPr>
          <w:rStyle w:val="55"/>
          <w:rFonts w:hint="default" w:ascii="Times New Roman" w:hAnsi="Times New Roman" w:eastAsia="仿宋_GB2312" w:cs="Times New Roman"/>
          <w:color w:val="auto"/>
          <w:kern w:val="0"/>
          <w:sz w:val="32"/>
          <w:szCs w:val="32"/>
          <w:highlight w:val="none"/>
          <w:lang w:val="zh-CN" w:eastAsia="zh-CN" w:bidi="ar"/>
        </w:rPr>
        <w:t>），直接增加了群众工资性收入。</w:t>
      </w:r>
      <w:r>
        <w:rPr>
          <w:rStyle w:val="55"/>
          <w:rFonts w:hint="default" w:ascii="Times New Roman" w:hAnsi="Times New Roman" w:eastAsia="仿宋_GB2312" w:cs="Times New Roman"/>
          <w:color w:val="auto"/>
          <w:kern w:val="0"/>
          <w:sz w:val="32"/>
          <w:szCs w:val="32"/>
          <w:highlight w:val="none"/>
          <w:lang w:val="en-US" w:eastAsia="zh-CN" w:bidi="ar"/>
        </w:rPr>
        <w:t>社会管理项目对推动社会管理创新、提高履职尽责能力、维护社会治安和安全风险管理起到了积极的作用，如</w:t>
      </w:r>
      <w:r>
        <w:rPr>
          <w:rStyle w:val="55"/>
          <w:rFonts w:hint="default" w:ascii="Times New Roman" w:hAnsi="Times New Roman" w:eastAsia="仿宋_GB2312" w:cs="Times New Roman"/>
          <w:color w:val="auto"/>
          <w:kern w:val="0"/>
          <w:sz w:val="32"/>
          <w:szCs w:val="32"/>
          <w:highlight w:val="none"/>
          <w:lang w:val="zh-CN" w:eastAsia="zh-CN" w:bidi="ar"/>
        </w:rPr>
        <w:t>省综合应急救援基地对推动社会发展，防范化解重大安全风险，提升各地应急救援能力有显著效果。凉山州绿色家园项目</w:t>
      </w:r>
      <w:r>
        <w:rPr>
          <w:rStyle w:val="55"/>
          <w:rFonts w:hint="default" w:ascii="Times New Roman" w:hAnsi="Times New Roman" w:eastAsia="仿宋_GB2312" w:cs="Times New Roman"/>
          <w:color w:val="auto"/>
          <w:kern w:val="0"/>
          <w:sz w:val="32"/>
          <w:szCs w:val="32"/>
          <w:highlight w:val="none"/>
          <w:lang w:val="en-US" w:eastAsia="zh-CN" w:bidi="ar"/>
        </w:rPr>
        <w:t>六个戒毒康复社区已投入使用，收治4000余人并提供岗位，为凉山州禁毒防艾脱贫攻坚打下坚实基础。</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Style w:val="55"/>
          <w:rFonts w:hint="default" w:ascii="Times New Roman" w:hAnsi="Times New Roman" w:eastAsia="仿宋_GB2312" w:cs="Times New Roman"/>
          <w:color w:val="auto"/>
          <w:kern w:val="0"/>
          <w:sz w:val="32"/>
          <w:szCs w:val="32"/>
          <w:highlight w:val="none"/>
          <w:lang w:val="en-US" w:eastAsia="zh-CN" w:bidi="ar"/>
        </w:rPr>
      </w:pPr>
      <w:r>
        <w:rPr>
          <w:rStyle w:val="55"/>
          <w:rFonts w:hint="default" w:ascii="Times New Roman" w:hAnsi="Times New Roman" w:eastAsia="仿宋_GB2312" w:cs="Times New Roman"/>
          <w:b/>
          <w:bCs/>
          <w:color w:val="auto"/>
          <w:kern w:val="0"/>
          <w:sz w:val="32"/>
          <w:szCs w:val="32"/>
          <w:highlight w:val="none"/>
          <w:lang w:val="zh-CN" w:eastAsia="zh-CN" w:bidi="ar"/>
        </w:rPr>
        <w:t>——生态效益</w:t>
      </w:r>
      <w:r>
        <w:rPr>
          <w:rStyle w:val="55"/>
          <w:rFonts w:hint="default" w:ascii="Times New Roman" w:hAnsi="Times New Roman" w:eastAsia="仿宋_GB2312" w:cs="Times New Roman"/>
          <w:b/>
          <w:bCs/>
          <w:color w:val="auto"/>
          <w:kern w:val="0"/>
          <w:sz w:val="32"/>
          <w:szCs w:val="32"/>
          <w:highlight w:val="none"/>
          <w:lang w:val="en-US" w:eastAsia="zh-CN" w:bidi="ar"/>
        </w:rPr>
        <w:t>方面</w:t>
      </w:r>
      <w:r>
        <w:rPr>
          <w:rStyle w:val="55"/>
          <w:rFonts w:hint="default" w:ascii="Times New Roman" w:hAnsi="Times New Roman" w:eastAsia="仿宋_GB2312" w:cs="Times New Roman"/>
          <w:b/>
          <w:bCs/>
          <w:color w:val="auto"/>
          <w:kern w:val="0"/>
          <w:sz w:val="32"/>
          <w:szCs w:val="32"/>
          <w:highlight w:val="none"/>
          <w:lang w:val="zh-CN" w:eastAsia="zh-CN" w:bidi="ar"/>
        </w:rPr>
        <w:t>。</w:t>
      </w:r>
      <w:r>
        <w:rPr>
          <w:rStyle w:val="55"/>
          <w:rFonts w:hint="default" w:ascii="Times New Roman" w:hAnsi="Times New Roman" w:eastAsia="仿宋_GB2312" w:cs="Times New Roman"/>
          <w:color w:val="auto"/>
          <w:kern w:val="0"/>
          <w:sz w:val="32"/>
          <w:szCs w:val="32"/>
          <w:highlight w:val="none"/>
          <w:lang w:val="en-US" w:eastAsia="zh-CN" w:bidi="ar"/>
        </w:rPr>
        <w:t>节能环保与生态建设项目实施，大力提升了污水治理能力，黑臭水体整治成效显著，自然生态环境得到修复，</w:t>
      </w:r>
      <w:r>
        <w:rPr>
          <w:rStyle w:val="55"/>
          <w:rFonts w:hint="default" w:ascii="Times New Roman" w:hAnsi="Times New Roman" w:eastAsia="仿宋_GB2312" w:cs="Times New Roman"/>
          <w:color w:val="auto"/>
          <w:kern w:val="0"/>
          <w:sz w:val="32"/>
          <w:szCs w:val="32"/>
          <w:highlight w:val="none"/>
          <w:lang w:val="zh-CN" w:eastAsia="zh-CN" w:bidi="ar"/>
        </w:rPr>
        <w:t>资源循环利用量达到计划值，有效减少COD等污染物排放量，</w:t>
      </w:r>
      <w:r>
        <w:rPr>
          <w:rStyle w:val="55"/>
          <w:rFonts w:hint="default" w:ascii="Times New Roman" w:hAnsi="Times New Roman" w:eastAsia="仿宋_GB2312" w:cs="Times New Roman"/>
          <w:color w:val="auto"/>
          <w:kern w:val="0"/>
          <w:sz w:val="32"/>
          <w:szCs w:val="32"/>
          <w:highlight w:val="none"/>
          <w:lang w:val="en-US" w:eastAsia="zh-CN" w:bidi="ar"/>
        </w:rPr>
        <w:t>能源利用率提升，人居环境得到极大的改善，对我省生态文明建设、绿色低碳循环发展具有明显作用</w:t>
      </w:r>
      <w:r>
        <w:rPr>
          <w:rStyle w:val="55"/>
          <w:rFonts w:hint="default" w:ascii="Times New Roman" w:hAnsi="Times New Roman" w:eastAsia="仿宋_GB2312" w:cs="Times New Roman"/>
          <w:color w:val="auto"/>
          <w:kern w:val="0"/>
          <w:sz w:val="32"/>
          <w:szCs w:val="32"/>
          <w:highlight w:val="none"/>
          <w:lang w:val="zh-CN" w:eastAsia="zh-CN" w:bidi="ar"/>
        </w:rPr>
        <w:t>。</w:t>
      </w:r>
      <w:r>
        <w:rPr>
          <w:rStyle w:val="55"/>
          <w:rFonts w:hint="default" w:ascii="Times New Roman" w:hAnsi="Times New Roman" w:eastAsia="仿宋_GB2312" w:cs="Times New Roman"/>
          <w:color w:val="auto"/>
          <w:kern w:val="0"/>
          <w:sz w:val="32"/>
          <w:szCs w:val="32"/>
          <w:highlight w:val="none"/>
          <w:lang w:val="en-US" w:eastAsia="zh-CN" w:bidi="ar"/>
        </w:rPr>
        <w:t>同时，</w:t>
      </w:r>
      <w:r>
        <w:rPr>
          <w:rStyle w:val="55"/>
          <w:rFonts w:hint="default" w:ascii="Times New Roman" w:hAnsi="Times New Roman" w:eastAsia="仿宋_GB2312" w:cs="Times New Roman"/>
          <w:color w:val="auto"/>
          <w:kern w:val="0"/>
          <w:sz w:val="32"/>
          <w:szCs w:val="32"/>
          <w:highlight w:val="none"/>
          <w:lang w:val="zh-CN" w:eastAsia="zh-CN" w:bidi="ar"/>
        </w:rPr>
        <w:t>绿色建设理念要求贯穿项目施工建设全过程，</w:t>
      </w:r>
      <w:r>
        <w:rPr>
          <w:rStyle w:val="55"/>
          <w:rFonts w:hint="default" w:ascii="Times New Roman" w:hAnsi="Times New Roman" w:eastAsia="仿宋_GB2312" w:cs="Times New Roman"/>
          <w:color w:val="auto"/>
          <w:kern w:val="0"/>
          <w:sz w:val="32"/>
          <w:szCs w:val="32"/>
          <w:highlight w:val="none"/>
          <w:lang w:val="en-US" w:eastAsia="zh-CN" w:bidi="ar"/>
        </w:rPr>
        <w:t>按照国家、地方法规和行业要求，采取措施控制施工现场的粉尘、废水、废气、固体废弃物以及噪声等对环境的污染和危害</w:t>
      </w:r>
      <w:r>
        <w:rPr>
          <w:rStyle w:val="55"/>
          <w:rFonts w:hint="default" w:ascii="Times New Roman" w:hAnsi="Times New Roman" w:eastAsia="仿宋_GB2312" w:cs="Times New Roman"/>
          <w:color w:val="auto"/>
          <w:kern w:val="0"/>
          <w:sz w:val="32"/>
          <w:szCs w:val="32"/>
          <w:highlight w:val="none"/>
          <w:lang w:val="zh-CN" w:eastAsia="zh-CN" w:bidi="ar"/>
        </w:rPr>
        <w:t>。</w:t>
      </w:r>
      <w:r>
        <w:rPr>
          <w:rStyle w:val="55"/>
          <w:rFonts w:hint="default" w:ascii="Times New Roman" w:hAnsi="Times New Roman" w:eastAsia="仿宋_GB2312" w:cs="Times New Roman"/>
          <w:color w:val="auto"/>
          <w:kern w:val="0"/>
          <w:sz w:val="32"/>
          <w:szCs w:val="32"/>
          <w:highlight w:val="none"/>
          <w:lang w:val="en-US" w:eastAsia="zh-CN" w:bidi="ar"/>
        </w:rPr>
        <w:t>防止水土流失，保护和改善施工环境，保证项目建设人员身体健康。</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Style w:val="55"/>
          <w:rFonts w:hint="default" w:ascii="Times New Roman" w:hAnsi="Times New Roman" w:eastAsia="仿宋_GB2312" w:cs="Times New Roman"/>
          <w:color w:val="auto"/>
          <w:kern w:val="0"/>
          <w:sz w:val="32"/>
          <w:szCs w:val="32"/>
          <w:highlight w:val="none"/>
          <w:lang w:val="en-US" w:eastAsia="zh-CN" w:bidi="ar"/>
        </w:rPr>
      </w:pPr>
      <w:r>
        <w:rPr>
          <w:rStyle w:val="55"/>
          <w:rFonts w:hint="default" w:ascii="Times New Roman" w:hAnsi="Times New Roman" w:eastAsia="仿宋_GB2312" w:cs="Times New Roman"/>
          <w:b/>
          <w:bCs/>
          <w:color w:val="auto"/>
          <w:kern w:val="0"/>
          <w:sz w:val="32"/>
          <w:szCs w:val="32"/>
          <w:highlight w:val="none"/>
          <w:lang w:val="zh-CN" w:eastAsia="zh-CN" w:bidi="ar"/>
        </w:rPr>
        <w:t>——可持续效益</w:t>
      </w:r>
      <w:r>
        <w:rPr>
          <w:rStyle w:val="55"/>
          <w:rFonts w:hint="default" w:ascii="Times New Roman" w:hAnsi="Times New Roman" w:eastAsia="仿宋_GB2312" w:cs="Times New Roman"/>
          <w:b/>
          <w:bCs/>
          <w:color w:val="auto"/>
          <w:kern w:val="0"/>
          <w:sz w:val="32"/>
          <w:szCs w:val="32"/>
          <w:highlight w:val="none"/>
          <w:lang w:val="en-US" w:eastAsia="zh-CN" w:bidi="ar"/>
        </w:rPr>
        <w:t>方面</w:t>
      </w:r>
      <w:r>
        <w:rPr>
          <w:rStyle w:val="55"/>
          <w:rFonts w:hint="default" w:ascii="Times New Roman" w:hAnsi="Times New Roman" w:eastAsia="仿宋_GB2312" w:cs="Times New Roman"/>
          <w:b/>
          <w:bCs/>
          <w:color w:val="auto"/>
          <w:kern w:val="0"/>
          <w:sz w:val="32"/>
          <w:szCs w:val="32"/>
          <w:highlight w:val="none"/>
          <w:lang w:val="zh-CN" w:eastAsia="zh-CN" w:bidi="ar"/>
        </w:rPr>
        <w:t>。</w:t>
      </w:r>
      <w:r>
        <w:rPr>
          <w:rStyle w:val="55"/>
          <w:rFonts w:hint="default" w:ascii="Times New Roman" w:hAnsi="Times New Roman" w:eastAsia="仿宋_GB2312" w:cs="Times New Roman"/>
          <w:color w:val="auto"/>
          <w:kern w:val="0"/>
          <w:sz w:val="32"/>
          <w:szCs w:val="32"/>
          <w:highlight w:val="none"/>
          <w:lang w:val="en-US" w:eastAsia="zh-CN" w:bidi="ar"/>
        </w:rPr>
        <w:t>省预算内基本建设投资项目所带来的经济效益、社会效益和生态效益都是长期的、可持续的，对经济社会发展的积极影响长久而深远的。如产业园区和创新平台建设，将有力推动产业转型升级和科技成果转化。</w:t>
      </w:r>
      <w:r>
        <w:rPr>
          <w:rStyle w:val="55"/>
          <w:rFonts w:hint="default" w:ascii="Times New Roman" w:hAnsi="Times New Roman" w:eastAsia="仿宋_GB2312" w:cs="Times New Roman"/>
          <w:color w:val="auto"/>
          <w:kern w:val="0"/>
          <w:sz w:val="32"/>
          <w:szCs w:val="32"/>
          <w:highlight w:val="none"/>
          <w:lang w:val="zh-CN" w:eastAsia="zh-CN" w:bidi="ar"/>
        </w:rPr>
        <w:t>页岩气创新中心</w:t>
      </w:r>
      <w:r>
        <w:rPr>
          <w:rStyle w:val="55"/>
          <w:rFonts w:hint="default" w:ascii="Times New Roman" w:hAnsi="Times New Roman" w:eastAsia="仿宋_GB2312" w:cs="Times New Roman"/>
          <w:color w:val="auto"/>
          <w:kern w:val="0"/>
          <w:sz w:val="32"/>
          <w:szCs w:val="32"/>
          <w:highlight w:val="none"/>
          <w:lang w:val="en-US" w:eastAsia="zh-CN" w:bidi="ar"/>
        </w:rPr>
        <w:t>的建设</w:t>
      </w:r>
      <w:r>
        <w:rPr>
          <w:rStyle w:val="55"/>
          <w:rFonts w:hint="default" w:ascii="Times New Roman" w:hAnsi="Times New Roman" w:eastAsia="仿宋_GB2312" w:cs="Times New Roman"/>
          <w:color w:val="auto"/>
          <w:kern w:val="0"/>
          <w:sz w:val="32"/>
          <w:szCs w:val="32"/>
          <w:highlight w:val="none"/>
          <w:lang w:val="zh-CN" w:eastAsia="zh-CN" w:bidi="ar"/>
        </w:rPr>
        <w:t>将进一步整合我省页岩气煤层气等非常规油气技术优势资源，提升能源技术创新和服务支撑能力，促进“气大庆”等能源发展战略实施。</w:t>
      </w:r>
      <w:r>
        <w:rPr>
          <w:rStyle w:val="55"/>
          <w:rFonts w:hint="default" w:ascii="Times New Roman" w:hAnsi="Times New Roman" w:eastAsia="仿宋_GB2312" w:cs="Times New Roman"/>
          <w:color w:val="auto"/>
          <w:kern w:val="0"/>
          <w:sz w:val="32"/>
          <w:szCs w:val="32"/>
          <w:highlight w:val="none"/>
          <w:lang w:val="en-US" w:eastAsia="zh-CN" w:bidi="ar"/>
        </w:rPr>
        <w:t>转化医学、高海拔宇宙线观测站和空间环境地基综合监测等重大科技基础设施项目建设过程中，已开展相关学术会议10次，培养和引进高端人才40人，项目建成后，将汇聚一批高端创新资源，产生一批原创性突破性科研成果，有效促进生物医药、空间环境地基监测、宇宙线研究等相关领域科学发展。</w:t>
      </w:r>
      <w:r>
        <w:rPr>
          <w:rStyle w:val="55"/>
          <w:rFonts w:hint="default" w:ascii="Times New Roman" w:hAnsi="Times New Roman" w:eastAsia="仿宋_GB2312" w:cs="Times New Roman"/>
          <w:color w:val="auto"/>
          <w:kern w:val="0"/>
          <w:sz w:val="32"/>
          <w:szCs w:val="32"/>
          <w:highlight w:val="none"/>
          <w:lang w:val="zh-CN" w:eastAsia="zh-CN" w:bidi="ar"/>
        </w:rPr>
        <w:t>天府农业博览园主展馆建设项目</w:t>
      </w:r>
      <w:r>
        <w:rPr>
          <w:rStyle w:val="55"/>
          <w:rFonts w:hint="default" w:ascii="Times New Roman" w:hAnsi="Times New Roman" w:eastAsia="仿宋_GB2312" w:cs="Times New Roman"/>
          <w:color w:val="auto"/>
          <w:kern w:val="0"/>
          <w:sz w:val="32"/>
          <w:szCs w:val="32"/>
          <w:highlight w:val="none"/>
          <w:lang w:val="en-US" w:eastAsia="zh-CN" w:bidi="ar"/>
        </w:rPr>
        <w:t>引领乡村振兴的探索和实践，助推四川农业供给侧结构改革，保护传承和发展中华传统农耕文化。完善空间定位基准现代化建设项目为提高应急测绘保障能力及空间基准服务质量打下了坚实的基础，项目成果可持续服务社会的周期长，利用率高，可在较长时间周期（10年以上）持续为我省各部门、各行业与大众提供实时、高精度的空间定位基准服务，带动我省北斗产业及相关新兴产业持续发展。</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Style w:val="55"/>
          <w:rFonts w:hint="default" w:ascii="Times New Roman" w:hAnsi="Times New Roman" w:eastAsia="仿宋_GB2312" w:cs="Times New Roman"/>
          <w:color w:val="auto"/>
          <w:kern w:val="0"/>
          <w:sz w:val="32"/>
          <w:szCs w:val="32"/>
          <w:highlight w:val="none"/>
          <w:lang w:val="zh-CN" w:eastAsia="zh-CN" w:bidi="ar"/>
        </w:rPr>
      </w:pPr>
      <w:r>
        <w:rPr>
          <w:rStyle w:val="55"/>
          <w:rFonts w:hint="default" w:ascii="Times New Roman" w:hAnsi="Times New Roman" w:eastAsia="仿宋_GB2312" w:cs="Times New Roman"/>
          <w:b/>
          <w:bCs/>
          <w:color w:val="auto"/>
          <w:kern w:val="0"/>
          <w:sz w:val="32"/>
          <w:szCs w:val="32"/>
          <w:highlight w:val="none"/>
          <w:lang w:val="zh-CN" w:eastAsia="zh-CN" w:bidi="ar"/>
        </w:rPr>
        <w:t>——服务对象满意度。</w:t>
      </w:r>
      <w:r>
        <w:rPr>
          <w:rStyle w:val="55"/>
          <w:rFonts w:hint="default" w:ascii="Times New Roman" w:hAnsi="Times New Roman" w:eastAsia="仿宋_GB2312" w:cs="Times New Roman"/>
          <w:color w:val="auto"/>
          <w:kern w:val="0"/>
          <w:sz w:val="32"/>
          <w:szCs w:val="32"/>
          <w:highlight w:val="none"/>
          <w:lang w:val="en-US" w:eastAsia="zh-CN" w:bidi="ar"/>
        </w:rPr>
        <w:t>省预算内基本建设投资项目安排依据充分、资金分配公正、过程管理规范、结果符合预期，充分发挥了政府投资效益，得到了广大服务对象的高度认可与评价。</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72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四</w:t>
      </w:r>
      <w:r>
        <w:rPr>
          <w:rFonts w:hint="default" w:ascii="Times New Roman" w:hAnsi="Times New Roman" w:eastAsia="黑体" w:cs="Times New Roman"/>
          <w:color w:val="auto"/>
          <w:sz w:val="32"/>
          <w:szCs w:val="32"/>
          <w:highlight w:val="none"/>
        </w:rPr>
        <w:t>、评价结论及建议</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720"/>
        <w:textAlignment w:val="auto"/>
        <w:rPr>
          <w:rFonts w:hint="default" w:ascii="Times New Roman" w:hAnsi="Times New Roman" w:eastAsia="楷体_GB2312" w:cs="Times New Roman"/>
          <w:b/>
          <w:color w:val="auto"/>
          <w:sz w:val="32"/>
          <w:szCs w:val="32"/>
          <w:highlight w:val="none"/>
          <w:lang w:val="zh-CN"/>
        </w:rPr>
      </w:pPr>
      <w:r>
        <w:rPr>
          <w:rFonts w:hint="default" w:ascii="Times New Roman" w:hAnsi="Times New Roman" w:eastAsia="楷体_GB2312" w:cs="Times New Roman"/>
          <w:b/>
          <w:color w:val="auto"/>
          <w:sz w:val="32"/>
          <w:szCs w:val="32"/>
          <w:highlight w:val="none"/>
          <w:lang w:val="zh-CN"/>
        </w:rPr>
        <w:t>（一）评价结论。</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2"/>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b/>
          <w:bCs/>
          <w:color w:val="auto"/>
          <w:sz w:val="32"/>
          <w:szCs w:val="32"/>
          <w:highlight w:val="none"/>
          <w:lang w:val="en-US" w:eastAsia="zh-CN"/>
        </w:rPr>
        <w:t>程序规范严密。</w:t>
      </w:r>
      <w:r>
        <w:rPr>
          <w:rFonts w:hint="default" w:ascii="Times New Roman" w:hAnsi="Times New Roman" w:eastAsia="仿宋_GB2312" w:cs="Times New Roman"/>
          <w:color w:val="auto"/>
          <w:sz w:val="32"/>
          <w:szCs w:val="32"/>
          <w:highlight w:val="none"/>
        </w:rPr>
        <w:t>为聚焦聚力推动重点</w:t>
      </w:r>
      <w:r>
        <w:rPr>
          <w:rFonts w:hint="default" w:ascii="Times New Roman" w:hAnsi="Times New Roman" w:cs="Times New Roman"/>
          <w:color w:val="auto"/>
          <w:sz w:val="32"/>
          <w:szCs w:val="32"/>
          <w:highlight w:val="none"/>
          <w:lang w:val="en-US" w:eastAsia="zh-CN"/>
        </w:rPr>
        <w:t>领域、重大</w:t>
      </w:r>
      <w:r>
        <w:rPr>
          <w:rFonts w:hint="default" w:ascii="Times New Roman" w:hAnsi="Times New Roman" w:eastAsia="仿宋_GB2312" w:cs="Times New Roman"/>
          <w:color w:val="auto"/>
          <w:sz w:val="32"/>
          <w:szCs w:val="32"/>
          <w:highlight w:val="none"/>
        </w:rPr>
        <w:t>项目建设，更好发挥有效投资对优化供给结构的关键性作用，推动全省高质量发展</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按照《四川省省级预算内基本建设投资管理办法》规定，</w:t>
      </w:r>
      <w:r>
        <w:rPr>
          <w:rFonts w:hint="default" w:ascii="Times New Roman" w:hAnsi="Times New Roman" w:eastAsia="仿宋_GB2312" w:cs="Times New Roman"/>
          <w:color w:val="auto"/>
          <w:sz w:val="32"/>
          <w:szCs w:val="32"/>
          <w:highlight w:val="none"/>
        </w:rPr>
        <w:t>我委</w:t>
      </w:r>
      <w:r>
        <w:rPr>
          <w:rFonts w:hint="default" w:ascii="Times New Roman" w:hAnsi="Times New Roman" w:eastAsia="仿宋_GB2312" w:cs="Times New Roman"/>
          <w:color w:val="auto"/>
          <w:sz w:val="32"/>
          <w:szCs w:val="32"/>
          <w:highlight w:val="none"/>
          <w:lang w:val="en-US" w:eastAsia="zh-CN"/>
        </w:rPr>
        <w:t>2019年</w:t>
      </w:r>
      <w:r>
        <w:rPr>
          <w:rFonts w:hint="default" w:ascii="Times New Roman" w:hAnsi="Times New Roman" w:eastAsia="仿宋_GB2312" w:cs="Times New Roman"/>
          <w:color w:val="auto"/>
          <w:sz w:val="32"/>
          <w:szCs w:val="32"/>
          <w:highlight w:val="none"/>
        </w:rPr>
        <w:t>8月就启动了20</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年省预算内基本建设投资安排研究工作</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会同各地、各相关部门研究省预算内投资安排重点领域方向，</w:t>
      </w:r>
      <w:r>
        <w:rPr>
          <w:rFonts w:hint="default" w:ascii="Times New Roman" w:hAnsi="Times New Roman" w:eastAsia="仿宋_GB2312" w:cs="Times New Roman"/>
          <w:color w:val="auto"/>
          <w:sz w:val="32"/>
          <w:szCs w:val="32"/>
          <w:highlight w:val="none"/>
        </w:rPr>
        <w:t>形成安排</w:t>
      </w:r>
      <w:r>
        <w:rPr>
          <w:rFonts w:hint="default" w:ascii="Times New Roman" w:hAnsi="Times New Roman" w:eastAsia="仿宋_GB2312" w:cs="Times New Roman"/>
          <w:color w:val="auto"/>
          <w:sz w:val="32"/>
          <w:szCs w:val="32"/>
          <w:highlight w:val="none"/>
          <w:lang w:val="en-US" w:eastAsia="zh-CN"/>
        </w:rPr>
        <w:t>建议</w:t>
      </w:r>
      <w:r>
        <w:rPr>
          <w:rFonts w:hint="default" w:ascii="Times New Roman" w:hAnsi="Times New Roman" w:eastAsia="仿宋_GB2312" w:cs="Times New Roman"/>
          <w:color w:val="auto"/>
          <w:sz w:val="32"/>
          <w:szCs w:val="32"/>
          <w:highlight w:val="none"/>
        </w:rPr>
        <w:t>方案。</w:t>
      </w:r>
      <w:r>
        <w:rPr>
          <w:rFonts w:hint="default" w:ascii="Times New Roman" w:hAnsi="Times New Roman" w:eastAsia="仿宋_GB2312" w:cs="Times New Roman"/>
          <w:color w:val="auto"/>
          <w:sz w:val="32"/>
          <w:szCs w:val="32"/>
          <w:highlight w:val="none"/>
          <w:lang w:val="en-US" w:eastAsia="zh-CN"/>
        </w:rPr>
        <w:t>严格履行集体决策程序，安排建议方案经委党组会研究后上报省政府，按照省政府审定同意的方案及时安排下达投资计划。</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643"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2.安排依据充分。</w:t>
      </w:r>
      <w:r>
        <w:rPr>
          <w:rFonts w:hint="default" w:ascii="Times New Roman" w:hAnsi="Times New Roman" w:eastAsia="仿宋_GB2312" w:cs="Times New Roman"/>
          <w:color w:val="auto"/>
          <w:sz w:val="32"/>
          <w:szCs w:val="32"/>
          <w:highlight w:val="none"/>
          <w:lang w:val="en-US" w:eastAsia="zh-CN"/>
        </w:rPr>
        <w:t>省预算内基本建设投资紧紧围绕省委、省政府中心工作，根据中央和省上印发出台的相关规划、实施方案和政策文件，围绕重大基础设施</w:t>
      </w:r>
      <w:r>
        <w:rPr>
          <w:rFonts w:hint="default"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重大社会事业和民生工程</w:t>
      </w:r>
      <w:r>
        <w:rPr>
          <w:rFonts w:hint="default"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重</w:t>
      </w:r>
      <w:r>
        <w:rPr>
          <w:rFonts w:hint="default" w:ascii="Times New Roman" w:hAnsi="Times New Roman" w:cs="Times New Roman"/>
          <w:color w:val="auto"/>
          <w:sz w:val="32"/>
          <w:szCs w:val="32"/>
          <w:highlight w:val="none"/>
          <w:lang w:val="en-US" w:eastAsia="zh-CN"/>
        </w:rPr>
        <w:t>点园区</w:t>
      </w:r>
      <w:r>
        <w:rPr>
          <w:rFonts w:hint="default" w:ascii="Times New Roman" w:hAnsi="Times New Roman" w:eastAsia="仿宋_GB2312" w:cs="Times New Roman"/>
          <w:color w:val="auto"/>
          <w:sz w:val="32"/>
          <w:szCs w:val="32"/>
          <w:highlight w:val="none"/>
        </w:rPr>
        <w:t>和创新平台建设</w:t>
      </w:r>
      <w:r>
        <w:rPr>
          <w:rFonts w:hint="default"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节能环保与生态建设、其他方面等五大领域，主要安排关乎社会民生福祉的，需政府投资建设的项目等</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安排事项的依据充分，</w:t>
      </w:r>
      <w:r>
        <w:rPr>
          <w:rFonts w:hint="eastAsia" w:ascii="仿宋_GB2312" w:hAnsi="仿宋_GB2312" w:eastAsia="仿宋_GB2312" w:cs="仿宋_GB2312"/>
          <w:color w:val="auto"/>
          <w:sz w:val="32"/>
          <w:szCs w:val="32"/>
          <w:highlight w:val="none"/>
          <w:lang w:val="en-US" w:eastAsia="zh-CN"/>
        </w:rPr>
        <w:t>包括</w:t>
      </w:r>
      <w:r>
        <w:rPr>
          <w:rFonts w:hint="default" w:ascii="Times New Roman" w:hAnsi="Times New Roman" w:eastAsia="仿宋_GB2312" w:cs="Times New Roman"/>
          <w:color w:val="auto"/>
          <w:sz w:val="32"/>
          <w:szCs w:val="32"/>
          <w:highlight w:val="none"/>
          <w:lang w:val="en-US" w:eastAsia="zh-CN"/>
        </w:rPr>
        <w:t>《四川省高速公路网规划（2019-2035年）》</w:t>
      </w:r>
      <w:bookmarkStart w:id="107" w:name="_Hlk34843773"/>
      <w:r>
        <w:rPr>
          <w:rFonts w:hint="default" w:ascii="Times New Roman" w:hAnsi="Times New Roman" w:eastAsia="仿宋_GB2312" w:cs="Times New Roman"/>
          <w:color w:val="auto"/>
          <w:sz w:val="32"/>
          <w:szCs w:val="32"/>
          <w:highlight w:val="none"/>
        </w:rPr>
        <w:t>《国家口岸发展“十三五”规划》</w:t>
      </w:r>
      <w:bookmarkEnd w:id="107"/>
      <w:r>
        <w:rPr>
          <w:rFonts w:hint="default" w:ascii="Times New Roman" w:hAnsi="Times New Roman" w:eastAsia="仿宋_GB2312" w:cs="Times New Roman"/>
          <w:color w:val="auto"/>
          <w:sz w:val="32"/>
          <w:szCs w:val="32"/>
          <w:highlight w:val="none"/>
          <w:lang w:val="en-US" w:eastAsia="zh-CN"/>
        </w:rPr>
        <w:t>《四川省应急救援能力提升行动计划（2019—2021年）》《四川省森林草原防灭火标本兼治总体方案（2020—2025）》《国家重大科技基础设施建设中长期规划（2012—2030年）》《四川省公共机构节约能源资源“十三五”规划》《四川省推进园区循环化改造三年行动计划（2018—2020年）》《四川省秸秆全域综合利用试点示范行动方案（2017—2020年）》《甘孜州金沙江11.03白格堰塞湖灾后重建实施方案》《四川省民族地区卫生发展十年行动计划（2011—2020年）》等。</w:t>
      </w:r>
    </w:p>
    <w:p>
      <w:pPr>
        <w:pStyle w:val="56"/>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bCs/>
          <w:color w:val="auto"/>
          <w:sz w:val="32"/>
          <w:szCs w:val="32"/>
          <w:highlight w:val="none"/>
          <w:lang w:val="en-US" w:eastAsia="zh-CN"/>
        </w:rPr>
        <w:t>3.安排重点突出</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202</w:t>
      </w:r>
      <w:r>
        <w:rPr>
          <w:rFonts w:hint="default" w:ascii="Times New Roman" w:hAnsi="Times New Roman"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lang w:val="en-US" w:eastAsia="zh-CN"/>
        </w:rPr>
        <w:t>年省预算内投资安排进一步优化结构突出重点，落实省政府“13条”政策措施，省预</w:t>
      </w:r>
      <w:r>
        <w:rPr>
          <w:rFonts w:hint="default" w:ascii="Times New Roman" w:hAnsi="Times New Roman" w:eastAsia="仿宋_GB2312" w:cs="Times New Roman"/>
          <w:color w:val="auto"/>
          <w:sz w:val="32"/>
          <w:szCs w:val="32"/>
          <w:highlight w:val="none"/>
        </w:rPr>
        <w:t>算内</w:t>
      </w:r>
      <w:r>
        <w:rPr>
          <w:rFonts w:hint="default" w:ascii="Times New Roman" w:hAnsi="Times New Roman" w:eastAsia="仿宋_GB2312" w:cs="Times New Roman"/>
          <w:color w:val="auto"/>
          <w:sz w:val="32"/>
          <w:szCs w:val="32"/>
          <w:highlight w:val="none"/>
          <w:lang w:val="en-US" w:eastAsia="zh-CN"/>
        </w:rPr>
        <w:t>投资优先支持新冠肺炎疫情防控急需的项目建设，</w:t>
      </w:r>
      <w:r>
        <w:rPr>
          <w:rFonts w:hint="default" w:ascii="Times New Roman" w:hAnsi="Times New Roman" w:eastAsia="仿宋_GB2312" w:cs="Times New Roman"/>
          <w:color w:val="auto"/>
          <w:sz w:val="32"/>
          <w:szCs w:val="32"/>
          <w:highlight w:val="none"/>
        </w:rPr>
        <w:t>支持</w:t>
      </w:r>
      <w:r>
        <w:rPr>
          <w:rFonts w:hint="default" w:ascii="Times New Roman" w:hAnsi="Times New Roman" w:eastAsia="仿宋_GB2312" w:cs="Times New Roman"/>
          <w:color w:val="auto"/>
          <w:sz w:val="32"/>
          <w:szCs w:val="32"/>
          <w:highlight w:val="none"/>
          <w:lang w:val="en-US" w:eastAsia="zh-CN"/>
        </w:rPr>
        <w:t>省</w:t>
      </w:r>
      <w:r>
        <w:rPr>
          <w:rFonts w:hint="default" w:ascii="Times New Roman" w:hAnsi="Times New Roman" w:eastAsia="仿宋_GB2312" w:cs="Times New Roman"/>
          <w:color w:val="auto"/>
          <w:sz w:val="32"/>
          <w:szCs w:val="32"/>
          <w:highlight w:val="none"/>
        </w:rPr>
        <w:t>重点项目复工开工疫情防控</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集中力量办大事，重点安排省委</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省政府确定支持的重大项目，以及中央预算内投资项目配套</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color w:val="auto"/>
          <w:kern w:val="0"/>
          <w:sz w:val="32"/>
          <w:szCs w:val="32"/>
          <w:highlight w:val="none"/>
          <w:lang w:val="en-US" w:eastAsia="zh-CN"/>
        </w:rPr>
        <w:t>安排</w:t>
      </w:r>
      <w:r>
        <w:rPr>
          <w:rFonts w:hint="default" w:ascii="Times New Roman" w:hAnsi="Times New Roman" w:eastAsia="仿宋_GB2312" w:cs="Times New Roman"/>
          <w:color w:val="auto"/>
          <w:kern w:val="0"/>
          <w:sz w:val="32"/>
          <w:szCs w:val="32"/>
          <w:highlight w:val="none"/>
        </w:rPr>
        <w:t>省委、省政府明确支持重大事项</w:t>
      </w:r>
      <w:r>
        <w:rPr>
          <w:rFonts w:hint="default" w:ascii="Times New Roman" w:hAnsi="Times New Roman" w:eastAsia="仿宋_GB2312" w:cs="Times New Roman"/>
          <w:color w:val="auto"/>
          <w:kern w:val="0"/>
          <w:sz w:val="32"/>
          <w:szCs w:val="32"/>
          <w:highlight w:val="none"/>
          <w:lang w:eastAsia="zh-CN"/>
        </w:rPr>
        <w:t>4</w:t>
      </w:r>
      <w:r>
        <w:rPr>
          <w:rFonts w:hint="default" w:ascii="Times New Roman" w:hAnsi="Times New Roman" w:eastAsia="仿宋_GB2312" w:cs="Times New Roman"/>
          <w:color w:val="auto"/>
          <w:kern w:val="0"/>
          <w:sz w:val="32"/>
          <w:szCs w:val="32"/>
          <w:highlight w:val="none"/>
          <w:lang w:val="en-US" w:eastAsia="zh-CN"/>
        </w:rPr>
        <w:t>0.39</w:t>
      </w:r>
      <w:r>
        <w:rPr>
          <w:rFonts w:hint="default" w:ascii="Times New Roman" w:hAnsi="Times New Roman" w:eastAsia="仿宋_GB2312" w:cs="Times New Roman"/>
          <w:color w:val="auto"/>
          <w:kern w:val="0"/>
          <w:sz w:val="32"/>
          <w:szCs w:val="32"/>
          <w:highlight w:val="none"/>
        </w:rPr>
        <w:t>亿元，占</w:t>
      </w:r>
      <w:r>
        <w:rPr>
          <w:rFonts w:hint="default" w:ascii="Times New Roman" w:hAnsi="Times New Roman" w:eastAsia="仿宋_GB2312" w:cs="Times New Roman"/>
          <w:color w:val="auto"/>
          <w:kern w:val="0"/>
          <w:sz w:val="32"/>
          <w:szCs w:val="32"/>
          <w:highlight w:val="none"/>
          <w:lang w:val="en-US" w:eastAsia="zh-CN"/>
        </w:rPr>
        <w:t>可安排资金</w:t>
      </w:r>
      <w:r>
        <w:rPr>
          <w:rFonts w:hint="default" w:ascii="Times New Roman" w:hAnsi="Times New Roman" w:eastAsia="仿宋_GB2312" w:cs="Times New Roman"/>
          <w:color w:val="auto"/>
          <w:kern w:val="0"/>
          <w:sz w:val="32"/>
          <w:szCs w:val="32"/>
          <w:highlight w:val="none"/>
        </w:rPr>
        <w:t>的</w:t>
      </w:r>
      <w:r>
        <w:rPr>
          <w:rFonts w:hint="default" w:ascii="Times New Roman" w:hAnsi="Times New Roman" w:eastAsia="仿宋_GB2312" w:cs="Times New Roman"/>
          <w:color w:val="auto"/>
          <w:kern w:val="0"/>
          <w:sz w:val="32"/>
          <w:szCs w:val="32"/>
          <w:highlight w:val="none"/>
          <w:lang w:eastAsia="zh-CN"/>
        </w:rPr>
        <w:t>7</w:t>
      </w:r>
      <w:r>
        <w:rPr>
          <w:rFonts w:hint="default" w:ascii="Times New Roman" w:hAnsi="Times New Roman" w:eastAsia="仿宋_GB2312" w:cs="Times New Roman"/>
          <w:color w:val="auto"/>
          <w:kern w:val="0"/>
          <w:sz w:val="32"/>
          <w:szCs w:val="32"/>
          <w:highlight w:val="none"/>
          <w:lang w:val="en-US" w:eastAsia="zh-CN"/>
        </w:rPr>
        <w:t>2.1</w:t>
      </w:r>
      <w:r>
        <w:rPr>
          <w:rFonts w:hint="default" w:ascii="Times New Roman" w:hAnsi="Times New Roman" w:eastAsia="仿宋_GB2312" w:cs="Times New Roman"/>
          <w:color w:val="auto"/>
          <w:kern w:val="0"/>
          <w:sz w:val="32"/>
          <w:szCs w:val="32"/>
          <w:highlight w:val="none"/>
        </w:rPr>
        <w:t>%；中央预算内投资项目配套</w:t>
      </w:r>
      <w:r>
        <w:rPr>
          <w:rFonts w:hint="default" w:ascii="Times New Roman" w:hAnsi="Times New Roman" w:eastAsia="仿宋_GB2312" w:cs="Times New Roman"/>
          <w:color w:val="auto"/>
          <w:kern w:val="0"/>
          <w:sz w:val="32"/>
          <w:szCs w:val="32"/>
          <w:highlight w:val="none"/>
          <w:lang w:eastAsia="zh-CN"/>
        </w:rPr>
        <w:t>1</w:t>
      </w:r>
      <w:r>
        <w:rPr>
          <w:rFonts w:hint="default" w:ascii="Times New Roman" w:hAnsi="Times New Roman" w:eastAsia="仿宋_GB2312" w:cs="Times New Roman"/>
          <w:color w:val="auto"/>
          <w:kern w:val="0"/>
          <w:sz w:val="32"/>
          <w:szCs w:val="32"/>
          <w:highlight w:val="none"/>
          <w:lang w:val="en-US" w:eastAsia="zh-CN"/>
        </w:rPr>
        <w:t>1.18</w:t>
      </w:r>
      <w:r>
        <w:rPr>
          <w:rFonts w:hint="default" w:ascii="Times New Roman" w:hAnsi="Times New Roman" w:eastAsia="仿宋_GB2312" w:cs="Times New Roman"/>
          <w:color w:val="auto"/>
          <w:kern w:val="0"/>
          <w:sz w:val="32"/>
          <w:szCs w:val="32"/>
          <w:highlight w:val="none"/>
        </w:rPr>
        <w:t>亿元，占</w:t>
      </w:r>
      <w:r>
        <w:rPr>
          <w:rFonts w:hint="default" w:ascii="Times New Roman" w:hAnsi="Times New Roman" w:eastAsia="仿宋_GB2312" w:cs="Times New Roman"/>
          <w:color w:val="auto"/>
          <w:kern w:val="0"/>
          <w:sz w:val="32"/>
          <w:szCs w:val="32"/>
          <w:highlight w:val="none"/>
          <w:lang w:val="en-US" w:eastAsia="zh-CN"/>
        </w:rPr>
        <w:t>可安排资金</w:t>
      </w:r>
      <w:r>
        <w:rPr>
          <w:rFonts w:hint="default" w:ascii="Times New Roman" w:hAnsi="Times New Roman" w:eastAsia="仿宋_GB2312" w:cs="Times New Roman"/>
          <w:color w:val="auto"/>
          <w:kern w:val="0"/>
          <w:sz w:val="32"/>
          <w:szCs w:val="32"/>
          <w:highlight w:val="none"/>
        </w:rPr>
        <w:t>的</w:t>
      </w:r>
      <w:r>
        <w:rPr>
          <w:rFonts w:hint="default" w:ascii="Times New Roman" w:hAnsi="Times New Roman" w:eastAsia="仿宋_GB2312" w:cs="Times New Roman"/>
          <w:color w:val="auto"/>
          <w:kern w:val="0"/>
          <w:sz w:val="32"/>
          <w:szCs w:val="32"/>
          <w:highlight w:val="none"/>
          <w:lang w:eastAsia="zh-CN"/>
        </w:rPr>
        <w:t>2</w:t>
      </w:r>
      <w:r>
        <w:rPr>
          <w:rFonts w:hint="default" w:ascii="Times New Roman" w:hAnsi="Times New Roman" w:eastAsia="仿宋_GB2312" w:cs="Times New Roman"/>
          <w:color w:val="auto"/>
          <w:kern w:val="0"/>
          <w:sz w:val="32"/>
          <w:szCs w:val="32"/>
          <w:highlight w:val="none"/>
          <w:lang w:val="en-US" w:eastAsia="zh-CN"/>
        </w:rPr>
        <w:t>0</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围绕省委、省政府中心工作支持事项</w:t>
      </w:r>
      <w:r>
        <w:rPr>
          <w:rFonts w:hint="default" w:ascii="Times New Roman" w:hAnsi="Times New Roman" w:eastAsia="仿宋_GB2312" w:cs="Times New Roman"/>
          <w:color w:val="auto"/>
          <w:kern w:val="0"/>
          <w:sz w:val="32"/>
          <w:szCs w:val="32"/>
          <w:highlight w:val="none"/>
        </w:rPr>
        <w:t>安排</w:t>
      </w:r>
      <w:r>
        <w:rPr>
          <w:rFonts w:hint="default" w:ascii="Times New Roman" w:hAnsi="Times New Roman" w:eastAsia="仿宋_GB2312" w:cs="Times New Roman"/>
          <w:color w:val="auto"/>
          <w:kern w:val="0"/>
          <w:sz w:val="32"/>
          <w:szCs w:val="32"/>
          <w:highlight w:val="none"/>
          <w:lang w:val="en-US" w:eastAsia="zh-CN"/>
        </w:rPr>
        <w:t>4.44亿元，</w:t>
      </w:r>
      <w:r>
        <w:rPr>
          <w:rFonts w:hint="default" w:ascii="Times New Roman" w:hAnsi="Times New Roman" w:eastAsia="仿宋_GB2312" w:cs="Times New Roman"/>
          <w:color w:val="auto"/>
          <w:kern w:val="0"/>
          <w:sz w:val="32"/>
          <w:szCs w:val="32"/>
          <w:highlight w:val="none"/>
        </w:rPr>
        <w:t>占</w:t>
      </w:r>
      <w:r>
        <w:rPr>
          <w:rFonts w:hint="default" w:ascii="Times New Roman" w:hAnsi="Times New Roman" w:eastAsia="仿宋_GB2312" w:cs="Times New Roman"/>
          <w:color w:val="auto"/>
          <w:kern w:val="0"/>
          <w:sz w:val="32"/>
          <w:szCs w:val="32"/>
          <w:highlight w:val="none"/>
          <w:lang w:val="en-US" w:eastAsia="zh-CN"/>
        </w:rPr>
        <w:t>可安排资金</w:t>
      </w:r>
      <w:r>
        <w:rPr>
          <w:rFonts w:hint="default" w:ascii="Times New Roman" w:hAnsi="Times New Roman" w:eastAsia="仿宋_GB2312" w:cs="Times New Roman"/>
          <w:color w:val="auto"/>
          <w:kern w:val="0"/>
          <w:sz w:val="32"/>
          <w:szCs w:val="32"/>
          <w:highlight w:val="none"/>
        </w:rPr>
        <w:t>的</w:t>
      </w:r>
      <w:r>
        <w:rPr>
          <w:rFonts w:hint="default" w:ascii="Times New Roman" w:hAnsi="Times New Roman" w:eastAsia="仿宋_GB2312" w:cs="Times New Roman"/>
          <w:color w:val="auto"/>
          <w:kern w:val="0"/>
          <w:sz w:val="32"/>
          <w:szCs w:val="32"/>
          <w:highlight w:val="none"/>
          <w:lang w:val="en-US" w:eastAsia="zh-CN"/>
        </w:rPr>
        <w:t>7.9</w:t>
      </w:r>
      <w:r>
        <w:rPr>
          <w:rFonts w:hint="default" w:ascii="Times New Roman" w:hAnsi="Times New Roman" w:eastAsia="仿宋_GB2312" w:cs="Times New Roman"/>
          <w:color w:val="auto"/>
          <w:kern w:val="0"/>
          <w:sz w:val="32"/>
          <w:szCs w:val="32"/>
          <w:highlight w:val="none"/>
        </w:rPr>
        <w:t>%。</w:t>
      </w:r>
    </w:p>
    <w:p>
      <w:pPr>
        <w:pStyle w:val="57"/>
        <w:keepNext w:val="0"/>
        <w:keepLines w:val="0"/>
        <w:pageBreakBefore w:val="0"/>
        <w:widowControl w:val="0"/>
        <w:kinsoku/>
        <w:wordWrap/>
        <w:overflowPunct/>
        <w:topLinePunct w:val="0"/>
        <w:autoSpaceDE/>
        <w:autoSpaceDN/>
        <w:bidi w:val="0"/>
        <w:spacing w:line="540" w:lineRule="exact"/>
        <w:ind w:left="0" w:leftChars="0" w:right="0" w:rightChars="0"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4.结果符合预期。</w:t>
      </w:r>
      <w:r>
        <w:rPr>
          <w:rFonts w:hint="default" w:ascii="Times New Roman" w:hAnsi="Times New Roman" w:eastAsia="仿宋_GB2312" w:cs="Times New Roman"/>
          <w:color w:val="auto"/>
          <w:sz w:val="32"/>
          <w:szCs w:val="32"/>
          <w:highlight w:val="none"/>
        </w:rPr>
        <w:t>省预算内基本建设投资突出全省中心工作，集中力量支持一批对稳增长、调结构、惠民生、补短板有重要作用的重点工程</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发挥了对全省经济社会发展“四两拨千斤”的导向作用。与中央预算内投资形成合力，有力保障了中央投资项目的顺利实施，对地方经济社会发展起到重要支撑。</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720"/>
        <w:textAlignment w:val="auto"/>
        <w:rPr>
          <w:rFonts w:hint="default" w:ascii="Times New Roman" w:hAnsi="Times New Roman" w:eastAsia="楷体_GB2312" w:cs="Times New Roman"/>
          <w:b/>
          <w:color w:val="auto"/>
          <w:sz w:val="32"/>
          <w:szCs w:val="32"/>
          <w:highlight w:val="none"/>
          <w:lang w:val="zh-CN"/>
        </w:rPr>
      </w:pPr>
      <w:r>
        <w:rPr>
          <w:rFonts w:hint="default" w:ascii="Times New Roman" w:hAnsi="Times New Roman" w:eastAsia="楷体_GB2312" w:cs="Times New Roman"/>
          <w:b/>
          <w:color w:val="auto"/>
          <w:sz w:val="32"/>
          <w:szCs w:val="32"/>
          <w:highlight w:val="none"/>
          <w:lang w:val="zh-CN"/>
        </w:rPr>
        <w:t>（二）存在的问题。</w:t>
      </w:r>
    </w:p>
    <w:p>
      <w:pPr>
        <w:pStyle w:val="57"/>
        <w:keepNext w:val="0"/>
        <w:keepLines w:val="0"/>
        <w:pageBreakBefore w:val="0"/>
        <w:widowControl w:val="0"/>
        <w:kinsoku/>
        <w:wordWrap/>
        <w:overflowPunct/>
        <w:topLinePunct w:val="0"/>
        <w:autoSpaceDE/>
        <w:autoSpaceDN/>
        <w:bidi w:val="0"/>
        <w:spacing w:line="540" w:lineRule="exact"/>
        <w:ind w:left="0" w:leftChars="0" w:right="0" w:rightChars="0" w:firstLine="643" w:firstLineChars="200"/>
        <w:textAlignment w:val="auto"/>
        <w:rPr>
          <w:rFonts w:hint="default" w:ascii="Times New Roman" w:hAnsi="Times New Roman" w:eastAsia="仿宋_GB2312" w:cs="Times New Roman"/>
          <w:color w:val="auto"/>
          <w:kern w:val="2"/>
          <w:sz w:val="32"/>
          <w:szCs w:val="32"/>
          <w:highlight w:val="none"/>
          <w:lang w:val="en-US" w:eastAsia="zh-CN"/>
        </w:rPr>
      </w:pPr>
      <w:r>
        <w:rPr>
          <w:rFonts w:hint="default" w:ascii="Times New Roman" w:hAnsi="Times New Roman" w:cs="Times New Roman"/>
          <w:b/>
          <w:bCs/>
          <w:color w:val="auto"/>
          <w:kern w:val="2"/>
          <w:sz w:val="32"/>
          <w:szCs w:val="32"/>
          <w:highlight w:val="none"/>
          <w:lang w:val="en-US" w:eastAsia="zh-CN"/>
        </w:rPr>
        <w:t>1.</w:t>
      </w:r>
      <w:r>
        <w:rPr>
          <w:rFonts w:hint="default" w:ascii="Times New Roman" w:hAnsi="Times New Roman" w:eastAsia="仿宋_GB2312" w:cs="Times New Roman"/>
          <w:b/>
          <w:bCs/>
          <w:color w:val="auto"/>
          <w:kern w:val="2"/>
          <w:sz w:val="32"/>
          <w:szCs w:val="32"/>
          <w:highlight w:val="none"/>
          <w:lang w:val="en-US" w:eastAsia="zh-CN"/>
        </w:rPr>
        <w:t>个别项目资金使用进度偏慢。</w:t>
      </w:r>
      <w:r>
        <w:rPr>
          <w:rFonts w:hint="default" w:ascii="Times New Roman" w:hAnsi="Times New Roman" w:eastAsia="仿宋_GB2312" w:cs="Times New Roman"/>
          <w:color w:val="auto"/>
          <w:kern w:val="2"/>
          <w:sz w:val="32"/>
          <w:szCs w:val="32"/>
          <w:highlight w:val="none"/>
          <w:lang w:val="en-US" w:eastAsia="zh-CN"/>
        </w:rPr>
        <w:t>我委已建立了项目滚动储备库，动态掌握各领域项目储备和推进情况，但</w:t>
      </w:r>
      <w:r>
        <w:rPr>
          <w:rFonts w:hint="default" w:ascii="Times New Roman" w:hAnsi="Times New Roman" w:cs="Times New Roman"/>
          <w:color w:val="auto"/>
          <w:kern w:val="2"/>
          <w:sz w:val="32"/>
          <w:szCs w:val="32"/>
          <w:highlight w:val="none"/>
          <w:lang w:val="en-US" w:eastAsia="zh-CN"/>
        </w:rPr>
        <w:t>个别</w:t>
      </w:r>
      <w:r>
        <w:rPr>
          <w:rFonts w:hint="default" w:ascii="Times New Roman" w:hAnsi="Times New Roman" w:eastAsia="仿宋_GB2312" w:cs="Times New Roman"/>
          <w:color w:val="auto"/>
          <w:kern w:val="2"/>
          <w:sz w:val="32"/>
          <w:szCs w:val="32"/>
          <w:highlight w:val="none"/>
          <w:lang w:val="en-US" w:eastAsia="zh-CN"/>
        </w:rPr>
        <w:t>项目由于前期工作不够</w:t>
      </w:r>
      <w:r>
        <w:rPr>
          <w:rFonts w:hint="default" w:ascii="Times New Roman" w:hAnsi="Times New Roman" w:eastAsia="仿宋_GB2312" w:cs="Times New Roman"/>
          <w:color w:val="auto"/>
          <w:sz w:val="32"/>
          <w:szCs w:val="32"/>
          <w:highlight w:val="none"/>
          <w:lang w:val="en-US" w:eastAsia="zh-CN"/>
        </w:rPr>
        <w:t>成熟，论证不够充分，深度不够，在资金下达后，又出现诸如疫情、征地拆迁进展慢、规划调整重新选址、对高山深峡地形施工难度估计不足等原因，使得项目</w:t>
      </w:r>
      <w:r>
        <w:rPr>
          <w:rFonts w:hint="default" w:ascii="Times New Roman" w:hAnsi="Times New Roman" w:eastAsia="仿宋_GB2312" w:cs="Times New Roman"/>
          <w:color w:val="auto"/>
          <w:kern w:val="2"/>
          <w:sz w:val="32"/>
          <w:szCs w:val="32"/>
          <w:highlight w:val="none"/>
          <w:lang w:val="en-US" w:eastAsia="zh-CN"/>
        </w:rPr>
        <w:t>未能按进度推进，资金使用进度偏慢，需加强指导和服务。</w:t>
      </w:r>
    </w:p>
    <w:p>
      <w:pPr>
        <w:pStyle w:val="57"/>
        <w:keepNext w:val="0"/>
        <w:keepLines w:val="0"/>
        <w:pageBreakBefore w:val="0"/>
        <w:widowControl w:val="0"/>
        <w:kinsoku/>
        <w:wordWrap/>
        <w:overflowPunct/>
        <w:topLinePunct w:val="0"/>
        <w:autoSpaceDE/>
        <w:autoSpaceDN/>
        <w:bidi w:val="0"/>
        <w:spacing w:line="540" w:lineRule="exact"/>
        <w:ind w:left="0" w:leftChars="0" w:right="0" w:rightChars="0" w:firstLine="643" w:firstLineChars="200"/>
        <w:textAlignment w:val="auto"/>
        <w:rPr>
          <w:rFonts w:hint="default" w:ascii="Times New Roman" w:hAnsi="Times New Roman" w:eastAsia="仿宋_GB2312" w:cs="Times New Roman"/>
          <w:color w:val="auto"/>
          <w:kern w:val="2"/>
          <w:sz w:val="32"/>
          <w:szCs w:val="32"/>
          <w:highlight w:val="none"/>
          <w:lang w:val="en-US" w:eastAsia="zh-CN"/>
        </w:rPr>
      </w:pPr>
      <w:r>
        <w:rPr>
          <w:rFonts w:hint="default" w:ascii="Times New Roman" w:hAnsi="Times New Roman" w:cs="Times New Roman"/>
          <w:b/>
          <w:bCs/>
          <w:color w:val="auto"/>
          <w:kern w:val="2"/>
          <w:sz w:val="32"/>
          <w:szCs w:val="32"/>
          <w:highlight w:val="none"/>
          <w:lang w:val="en-US" w:eastAsia="zh-CN"/>
        </w:rPr>
        <w:t>2.部分项目资金分配下达偏晚。</w:t>
      </w:r>
      <w:r>
        <w:rPr>
          <w:rFonts w:hint="default" w:ascii="Times New Roman" w:hAnsi="Times New Roman" w:eastAsia="仿宋_GB2312" w:cs="Times New Roman"/>
          <w:color w:val="auto"/>
          <w:kern w:val="2"/>
          <w:sz w:val="32"/>
          <w:szCs w:val="32"/>
          <w:highlight w:val="none"/>
          <w:lang w:val="en-US" w:eastAsia="zh-CN"/>
        </w:rPr>
        <w:t>近年来，我委不断优化程序，争取预算内资金尽快下达发挥效益，但在实际工作中，部分中央预算内投资下达较晚，导致相应省级配套资金安排有所滞后；部分省委、省政府确定支持的事项年初已纳入预算安排，但需按基本建设程序完成审批后才进行资金安排，影响了项目建设进度。</w:t>
      </w:r>
    </w:p>
    <w:p>
      <w:pPr>
        <w:pStyle w:val="58"/>
        <w:keepNext w:val="0"/>
        <w:keepLines w:val="0"/>
        <w:pageBreakBefore w:val="0"/>
        <w:widowControl w:val="0"/>
        <w:kinsoku/>
        <w:wordWrap/>
        <w:overflowPunct/>
        <w:topLinePunct w:val="0"/>
        <w:autoSpaceDE/>
        <w:autoSpaceDN/>
        <w:bidi w:val="0"/>
        <w:snapToGrid w:val="0"/>
        <w:spacing w:line="540" w:lineRule="exact"/>
        <w:ind w:left="0" w:leftChars="0" w:right="0" w:rightChars="0" w:firstLine="643" w:firstLineChars="200"/>
        <w:textAlignment w:val="auto"/>
        <w:rPr>
          <w:rFonts w:hint="default" w:ascii="Times New Roman" w:hAnsi="Times New Roman" w:eastAsia="仿宋_GB2312" w:cs="Times New Roman"/>
          <w:color w:val="auto"/>
          <w:kern w:val="2"/>
          <w:sz w:val="32"/>
          <w:szCs w:val="32"/>
          <w:highlight w:val="none"/>
          <w:lang w:val="en-US" w:eastAsia="zh-CN"/>
        </w:rPr>
      </w:pPr>
      <w:r>
        <w:rPr>
          <w:rFonts w:hint="default" w:ascii="Times New Roman" w:hAnsi="Times New Roman" w:eastAsia="仿宋_GB2312" w:cs="Times New Roman"/>
          <w:b/>
          <w:bCs/>
          <w:color w:val="auto"/>
          <w:kern w:val="2"/>
          <w:sz w:val="32"/>
          <w:szCs w:val="32"/>
          <w:highlight w:val="none"/>
          <w:lang w:val="en-US" w:eastAsia="zh-CN"/>
        </w:rPr>
        <w:t>3.有的项目资金管理偏弱。</w:t>
      </w:r>
      <w:r>
        <w:rPr>
          <w:rFonts w:hint="default" w:ascii="Times New Roman" w:hAnsi="Times New Roman" w:eastAsia="仿宋_GB2312" w:cs="Times New Roman"/>
          <w:color w:val="auto"/>
          <w:kern w:val="2"/>
          <w:sz w:val="32"/>
          <w:szCs w:val="32"/>
          <w:highlight w:val="none"/>
          <w:lang w:val="en-US" w:eastAsia="zh-CN"/>
        </w:rPr>
        <w:t>我委近年来不断加强规范省预算内</w:t>
      </w:r>
      <w:r>
        <w:rPr>
          <w:rFonts w:hint="default" w:ascii="Times New Roman" w:hAnsi="Times New Roman" w:eastAsia="仿宋_GB2312" w:cs="Times New Roman"/>
          <w:color w:val="auto"/>
          <w:sz w:val="32"/>
          <w:szCs w:val="32"/>
          <w:highlight w:val="none"/>
        </w:rPr>
        <w:t>基本建设</w:t>
      </w:r>
      <w:r>
        <w:rPr>
          <w:rFonts w:hint="default" w:ascii="Times New Roman" w:hAnsi="Times New Roman" w:eastAsia="仿宋_GB2312" w:cs="Times New Roman"/>
          <w:color w:val="auto"/>
          <w:kern w:val="2"/>
          <w:sz w:val="32"/>
          <w:szCs w:val="32"/>
          <w:highlight w:val="none"/>
          <w:lang w:val="en-US" w:eastAsia="zh-CN"/>
        </w:rPr>
        <w:t>投资管理，每年对省预算内投资项目开展稽察，及时发现问题解决问题，但由于工作力量相对薄弱，事中事后监管未能实现全覆盖，对有的省预算内</w:t>
      </w:r>
      <w:r>
        <w:rPr>
          <w:rFonts w:hint="default" w:ascii="Times New Roman" w:hAnsi="Times New Roman" w:eastAsia="仿宋_GB2312" w:cs="Times New Roman"/>
          <w:color w:val="auto"/>
          <w:sz w:val="32"/>
          <w:szCs w:val="32"/>
          <w:highlight w:val="none"/>
        </w:rPr>
        <w:t>基本建设</w:t>
      </w:r>
      <w:r>
        <w:rPr>
          <w:rFonts w:hint="default" w:ascii="Times New Roman" w:hAnsi="Times New Roman" w:eastAsia="仿宋_GB2312" w:cs="Times New Roman"/>
          <w:color w:val="auto"/>
          <w:kern w:val="2"/>
          <w:sz w:val="32"/>
          <w:szCs w:val="32"/>
          <w:highlight w:val="none"/>
          <w:lang w:val="en-US" w:eastAsia="zh-CN"/>
        </w:rPr>
        <w:t>资金项目使用绩效监督检查不够到位，“项目一张网”在线监测工作需进一步加强。</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3" w:firstLineChars="200"/>
        <w:textAlignment w:val="auto"/>
        <w:rPr>
          <w:rFonts w:hint="default" w:ascii="Times New Roman" w:hAnsi="Times New Roman" w:eastAsia="楷体_GB2312" w:cs="Times New Roman"/>
          <w:b/>
          <w:color w:val="auto"/>
          <w:sz w:val="32"/>
          <w:szCs w:val="32"/>
          <w:highlight w:val="none"/>
          <w:lang w:val="zh-CN"/>
        </w:rPr>
      </w:pPr>
      <w:r>
        <w:rPr>
          <w:rFonts w:hint="default" w:ascii="Times New Roman" w:hAnsi="Times New Roman" w:eastAsia="楷体_GB2312" w:cs="Times New Roman"/>
          <w:b/>
          <w:color w:val="auto"/>
          <w:sz w:val="32"/>
          <w:szCs w:val="32"/>
          <w:highlight w:val="none"/>
          <w:lang w:val="zh-CN"/>
        </w:rPr>
        <w:t>（三）</w:t>
      </w:r>
      <w:r>
        <w:rPr>
          <w:rFonts w:hint="default" w:ascii="Times New Roman" w:hAnsi="Times New Roman" w:eastAsia="楷体_GB2312" w:cs="Times New Roman"/>
          <w:b/>
          <w:color w:val="auto"/>
          <w:sz w:val="32"/>
          <w:szCs w:val="32"/>
          <w:highlight w:val="none"/>
          <w:lang w:val="en-US" w:eastAsia="zh-CN"/>
        </w:rPr>
        <w:t>下一步工作考虑及建议</w:t>
      </w:r>
    </w:p>
    <w:p>
      <w:pPr>
        <w:pStyle w:val="59"/>
        <w:keepNext w:val="0"/>
        <w:keepLines w:val="0"/>
        <w:pageBreakBefore w:val="0"/>
        <w:widowControl w:val="0"/>
        <w:kinsoku/>
        <w:wordWrap/>
        <w:overflowPunct/>
        <w:topLinePunct w:val="0"/>
        <w:autoSpaceDE/>
        <w:autoSpaceDN/>
        <w:bidi w:val="0"/>
        <w:adjustRightInd/>
        <w:spacing w:before="0" w:beforeLines="0" w:after="0" w:afterLines="0" w:line="540" w:lineRule="exact"/>
        <w:ind w:right="0" w:rightChars="0" w:firstLine="643"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1.压实地方政府主管部门监督责任。</w:t>
      </w:r>
      <w:r>
        <w:rPr>
          <w:rFonts w:hint="default" w:ascii="Times New Roman" w:hAnsi="Times New Roman" w:eastAsia="仿宋_GB2312" w:cs="Times New Roman"/>
          <w:color w:val="auto"/>
          <w:kern w:val="2"/>
          <w:sz w:val="32"/>
          <w:szCs w:val="32"/>
          <w:highlight w:val="none"/>
          <w:lang w:val="en-US" w:eastAsia="zh-CN" w:bidi="ar-SA"/>
        </w:rPr>
        <w:t>地方政府对项目前期工作成熟度、项目可行性要进行充分论证，督促项目实施单位加强项目建设管理、落实专人负责项目推进和调度，及时协调和解决实施过程中出现的问题，保证专项资金使用效率及项目实施效果。</w:t>
      </w:r>
    </w:p>
    <w:p>
      <w:pPr>
        <w:pStyle w:val="59"/>
        <w:keepNext w:val="0"/>
        <w:keepLines w:val="0"/>
        <w:pageBreakBefore w:val="0"/>
        <w:widowControl w:val="0"/>
        <w:kinsoku/>
        <w:wordWrap/>
        <w:overflowPunct/>
        <w:topLinePunct w:val="0"/>
        <w:autoSpaceDE/>
        <w:autoSpaceDN/>
        <w:bidi w:val="0"/>
        <w:adjustRightInd/>
        <w:spacing w:before="0" w:beforeLines="0" w:after="0" w:afterLines="0" w:line="540" w:lineRule="exact"/>
        <w:ind w:right="0" w:rightChars="0" w:firstLine="643"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2.加强项目推进调研指导。</w:t>
      </w:r>
      <w:r>
        <w:rPr>
          <w:rFonts w:hint="default" w:ascii="Times New Roman" w:hAnsi="Times New Roman" w:eastAsia="仿宋_GB2312" w:cs="Times New Roman"/>
          <w:color w:val="auto"/>
          <w:kern w:val="2"/>
          <w:sz w:val="32"/>
          <w:szCs w:val="32"/>
          <w:highlight w:val="none"/>
          <w:lang w:val="en-US" w:eastAsia="zh-CN" w:bidi="ar-SA"/>
        </w:rPr>
        <w:t>强化推进调度，督促项目单位每月按时通过“项目一张网”完成月调度工作，及时准确报送项目进度和资金使用情况。加大事中事后监管力度，通过现场检查的方式加快项目推进力度和省预算内资金拨付进度，适时对推进滞后的项目进行通报。</w:t>
      </w:r>
    </w:p>
    <w:p>
      <w:pPr>
        <w:pStyle w:val="59"/>
        <w:keepNext w:val="0"/>
        <w:keepLines w:val="0"/>
        <w:pageBreakBefore w:val="0"/>
        <w:widowControl w:val="0"/>
        <w:kinsoku/>
        <w:wordWrap/>
        <w:overflowPunct/>
        <w:topLinePunct w:val="0"/>
        <w:autoSpaceDE/>
        <w:autoSpaceDN/>
        <w:bidi w:val="0"/>
        <w:adjustRightInd/>
        <w:spacing w:before="0" w:beforeLines="0" w:after="0" w:afterLines="0" w:line="540" w:lineRule="exact"/>
        <w:ind w:right="0" w:rightChars="0"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kern w:val="2"/>
          <w:sz w:val="32"/>
          <w:szCs w:val="32"/>
          <w:highlight w:val="none"/>
          <w:lang w:val="en-US" w:eastAsia="zh-CN" w:bidi="ar-SA"/>
        </w:rPr>
        <w:t>3.</w:t>
      </w:r>
      <w:r>
        <w:rPr>
          <w:rFonts w:hint="default" w:ascii="Times New Roman" w:hAnsi="Times New Roman" w:eastAsia="仿宋_GB2312" w:cs="Times New Roman"/>
          <w:b/>
          <w:bCs/>
          <w:color w:val="auto"/>
          <w:kern w:val="2"/>
          <w:sz w:val="32"/>
          <w:szCs w:val="32"/>
          <w:highlight w:val="none"/>
          <w:lang w:val="zh-CN" w:eastAsia="zh-CN" w:bidi="ar-SA"/>
        </w:rPr>
        <w:t>强化对财政支出绩效</w:t>
      </w:r>
      <w:r>
        <w:rPr>
          <w:rFonts w:hint="default" w:ascii="Times New Roman" w:hAnsi="Times New Roman" w:eastAsia="仿宋_GB2312" w:cs="Times New Roman"/>
          <w:b/>
          <w:bCs/>
          <w:color w:val="auto"/>
          <w:kern w:val="2"/>
          <w:sz w:val="32"/>
          <w:szCs w:val="32"/>
          <w:highlight w:val="none"/>
          <w:lang w:val="en-US" w:eastAsia="zh-CN" w:bidi="ar-SA"/>
        </w:rPr>
        <w:t>工作的</w:t>
      </w:r>
      <w:r>
        <w:rPr>
          <w:rFonts w:hint="default" w:ascii="Times New Roman" w:hAnsi="Times New Roman" w:eastAsia="仿宋_GB2312" w:cs="Times New Roman"/>
          <w:b/>
          <w:bCs/>
          <w:color w:val="auto"/>
          <w:kern w:val="2"/>
          <w:sz w:val="32"/>
          <w:szCs w:val="32"/>
          <w:highlight w:val="none"/>
          <w:lang w:val="zh-CN" w:eastAsia="zh-CN" w:bidi="ar-SA"/>
        </w:rPr>
        <w:t>学习。</w:t>
      </w:r>
      <w:r>
        <w:rPr>
          <w:rFonts w:hint="default" w:ascii="Times New Roman" w:hAnsi="Times New Roman" w:eastAsia="仿宋_GB2312" w:cs="Times New Roman"/>
          <w:color w:val="auto"/>
          <w:kern w:val="2"/>
          <w:sz w:val="32"/>
          <w:szCs w:val="32"/>
          <w:highlight w:val="none"/>
          <w:lang w:val="en-US" w:eastAsia="zh-CN" w:bidi="ar-SA"/>
        </w:rPr>
        <w:t>更科学</w:t>
      </w:r>
      <w:r>
        <w:rPr>
          <w:rFonts w:hint="default" w:ascii="Times New Roman" w:hAnsi="Times New Roman" w:eastAsia="仿宋_GB2312" w:cs="Times New Roman"/>
          <w:color w:val="auto"/>
          <w:kern w:val="2"/>
          <w:sz w:val="32"/>
          <w:szCs w:val="32"/>
          <w:highlight w:val="none"/>
          <w:lang w:val="zh-CN" w:eastAsia="zh-CN" w:bidi="ar-SA"/>
        </w:rPr>
        <w:t>制定绩效目标，完善绩效指标，使指标设置更为合理，真正起到加强财政资金预算管理，推进财政科学化、精细化管理作用。</w:t>
      </w:r>
      <w:r>
        <w:rPr>
          <w:rFonts w:hint="default" w:ascii="Times New Roman" w:hAnsi="Times New Roman" w:eastAsia="仿宋_GB2312" w:cs="Times New Roman"/>
          <w:color w:val="auto"/>
          <w:kern w:val="2"/>
          <w:sz w:val="32"/>
          <w:szCs w:val="32"/>
          <w:highlight w:val="none"/>
          <w:lang w:val="en-US" w:eastAsia="zh-CN" w:bidi="ar-SA"/>
        </w:rPr>
        <w:t>加快探索计划和资金下达有效衔接机制，推动计划下达后尽快下达资金，确保政府投资尽早发挥效益。</w:t>
      </w:r>
    </w:p>
    <w:p>
      <w:pPr>
        <w:pageBreakBefore w:val="0"/>
        <w:kinsoku/>
        <w:wordWrap/>
        <w:overflowPunct/>
        <w:topLinePunct w:val="0"/>
        <w:bidi w:val="0"/>
        <w:spacing w:line="540" w:lineRule="exact"/>
        <w:rPr>
          <w:rFonts w:hint="default" w:ascii="Times New Roman" w:hAnsi="Times New Roman" w:eastAsia="黑体" w:cs="Times New Roman"/>
          <w:color w:val="auto"/>
          <w:sz w:val="32"/>
          <w:szCs w:val="32"/>
          <w:highlight w:val="none"/>
        </w:rPr>
      </w:pPr>
    </w:p>
    <w:p>
      <w:pPr>
        <w:pageBreakBefore w:val="0"/>
        <w:kinsoku/>
        <w:wordWrap/>
        <w:overflowPunct/>
        <w:topLinePunct w:val="0"/>
        <w:bidi w:val="0"/>
        <w:spacing w:line="540" w:lineRule="exact"/>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附件3</w:t>
      </w:r>
    </w:p>
    <w:p>
      <w:pPr>
        <w:pStyle w:val="2"/>
        <w:rPr>
          <w:rFonts w:hint="default"/>
        </w:rPr>
      </w:pPr>
    </w:p>
    <w:p>
      <w:pPr>
        <w:pageBreakBefore w:val="0"/>
        <w:kinsoku/>
        <w:wordWrap/>
        <w:overflowPunct/>
        <w:topLinePunct w:val="0"/>
        <w:bidi w:val="0"/>
        <w:snapToGrid w:val="0"/>
        <w:spacing w:line="540" w:lineRule="exact"/>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202</w:t>
      </w:r>
      <w:r>
        <w:rPr>
          <w:rFonts w:hint="default" w:ascii="Times New Roman" w:hAnsi="Times New Roman" w:eastAsia="方正小标宋简体" w:cs="Times New Roman"/>
          <w:color w:val="auto"/>
          <w:sz w:val="44"/>
          <w:szCs w:val="44"/>
          <w:highlight w:val="none"/>
          <w:lang w:val="en-US" w:eastAsia="zh-CN"/>
        </w:rPr>
        <w:t>0</w:t>
      </w:r>
      <w:r>
        <w:rPr>
          <w:rFonts w:hint="default" w:ascii="Times New Roman" w:hAnsi="Times New Roman" w:eastAsia="方正小标宋简体" w:cs="Times New Roman"/>
          <w:color w:val="auto"/>
          <w:sz w:val="44"/>
          <w:szCs w:val="44"/>
          <w:highlight w:val="none"/>
        </w:rPr>
        <w:t>年部门预算项目支出绩效自评报告</w:t>
      </w:r>
    </w:p>
    <w:p>
      <w:pPr>
        <w:keepNext w:val="0"/>
        <w:keepLines w:val="0"/>
        <w:pageBreakBefore w:val="0"/>
        <w:widowControl w:val="0"/>
        <w:tabs>
          <w:tab w:val="left" w:pos="3885"/>
        </w:tabs>
        <w:kinsoku/>
        <w:wordWrap/>
        <w:overflowPunct/>
        <w:topLinePunct w:val="0"/>
        <w:autoSpaceDE/>
        <w:autoSpaceDN/>
        <w:bidi w:val="0"/>
        <w:adjustRightInd/>
        <w:snapToGrid w:val="0"/>
        <w:spacing w:line="540" w:lineRule="exact"/>
        <w:jc w:val="center"/>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“十四五”规划前期工作专项经费项目</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tabs>
          <w:tab w:val="left" w:pos="3885"/>
        </w:tabs>
        <w:kinsoku/>
        <w:wordWrap/>
        <w:overflowPunct/>
        <w:topLinePunct w:val="0"/>
        <w:autoSpaceDE/>
        <w:autoSpaceDN/>
        <w:bidi w:val="0"/>
        <w:adjustRightInd/>
        <w:snapToGrid w:val="0"/>
        <w:spacing w:line="540" w:lineRule="exact"/>
        <w:ind w:firstLine="642" w:firstLineChars="200"/>
        <w:jc w:val="both"/>
        <w:textAlignment w:val="auto"/>
        <w:outlineLvl w:val="9"/>
        <w:rPr>
          <w:rFonts w:hint="default" w:ascii="Times New Roman" w:hAnsi="Times New Roman" w:cs="Times New Roman"/>
          <w:b/>
          <w:color w:val="auto"/>
          <w:szCs w:val="21"/>
          <w:highlight w:val="none"/>
        </w:rPr>
      </w:pPr>
    </w:p>
    <w:p>
      <w:pPr>
        <w:keepNext w:val="0"/>
        <w:keepLines w:val="0"/>
        <w:pageBreakBefore w:val="0"/>
        <w:widowControl w:val="0"/>
        <w:numPr>
          <w:ilvl w:val="0"/>
          <w:numId w:val="0"/>
        </w:numPr>
        <w:tabs>
          <w:tab w:val="left" w:pos="3885"/>
        </w:tabs>
        <w:kinsoku/>
        <w:wordWrap/>
        <w:overflowPunct/>
        <w:topLinePunct w:val="0"/>
        <w:autoSpaceDE/>
        <w:autoSpaceDN/>
        <w:bidi w:val="0"/>
        <w:adjustRightInd/>
        <w:snapToGrid w:val="0"/>
        <w:spacing w:line="540" w:lineRule="exact"/>
        <w:jc w:val="both"/>
        <w:textAlignment w:val="auto"/>
        <w:outlineLvl w:val="9"/>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val="en-US" w:eastAsia="zh-CN"/>
        </w:rPr>
        <w:t xml:space="preserve">    一、</w:t>
      </w:r>
      <w:r>
        <w:rPr>
          <w:rFonts w:hint="default" w:ascii="Times New Roman" w:hAnsi="Times New Roman" w:eastAsia="黑体" w:cs="Times New Roman"/>
          <w:color w:val="auto"/>
          <w:sz w:val="32"/>
          <w:szCs w:val="32"/>
          <w:highlight w:val="none"/>
          <w:lang w:eastAsia="zh-CN"/>
        </w:rPr>
        <w:t>基本情况</w:t>
      </w:r>
    </w:p>
    <w:p>
      <w:pPr>
        <w:keepNext w:val="0"/>
        <w:keepLines w:val="0"/>
        <w:pageBreakBefore w:val="0"/>
        <w:widowControl w:val="0"/>
        <w:numPr>
          <w:ilvl w:val="0"/>
          <w:numId w:val="0"/>
        </w:numPr>
        <w:tabs>
          <w:tab w:val="left" w:pos="3885"/>
        </w:tabs>
        <w:kinsoku/>
        <w:wordWrap/>
        <w:overflowPunct/>
        <w:topLinePunct w:val="0"/>
        <w:autoSpaceDE/>
        <w:autoSpaceDN/>
        <w:bidi w:val="0"/>
        <w:adjustRightInd/>
        <w:snapToGrid w:val="0"/>
        <w:spacing w:line="540" w:lineRule="exact"/>
        <w:ind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eastAsia="zh-CN"/>
        </w:rPr>
        <w:t>按照全国“十四五”规划编制工作会和国家发展改革委《关于做好“十四五”规划前期工作的通知》（发改规划〔</w:t>
      </w:r>
      <w:r>
        <w:rPr>
          <w:rFonts w:hint="default" w:ascii="Times New Roman" w:hAnsi="Times New Roman" w:eastAsia="仿宋_GB2312" w:cs="Times New Roman"/>
          <w:b w:val="0"/>
          <w:bCs w:val="0"/>
          <w:color w:val="auto"/>
          <w:sz w:val="32"/>
          <w:szCs w:val="32"/>
          <w:highlight w:val="none"/>
          <w:lang w:val="en-US" w:eastAsia="zh-CN"/>
        </w:rPr>
        <w:t>2019</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544号</w:t>
      </w:r>
      <w:r>
        <w:rPr>
          <w:rFonts w:hint="default" w:ascii="Times New Roman" w:hAnsi="Times New Roman" w:eastAsia="仿宋_GB2312" w:cs="Times New Roman"/>
          <w:b w:val="0"/>
          <w:bCs w:val="0"/>
          <w:color w:val="auto"/>
          <w:sz w:val="32"/>
          <w:szCs w:val="32"/>
          <w:highlight w:val="none"/>
          <w:lang w:eastAsia="zh-CN"/>
        </w:rPr>
        <w:t>）要求，为精准研判我省“十四五”时期面临的全局性、前瞻性、关键性问题，有效支撑我省“十四五”规划《纲要》编制，我委围绕基本实现社会主义现代化、推进实施重大战略、贯彻落实省委省政府重大部署安排、经济社会重点领域和薄弱环节等方面，计划组织开展</w:t>
      </w:r>
      <w:r>
        <w:rPr>
          <w:rFonts w:hint="default" w:ascii="Times New Roman" w:hAnsi="Times New Roman" w:eastAsia="仿宋_GB2312" w:cs="Times New Roman"/>
          <w:b w:val="0"/>
          <w:bCs w:val="0"/>
          <w:color w:val="auto"/>
          <w:sz w:val="32"/>
          <w:szCs w:val="32"/>
          <w:highlight w:val="none"/>
          <w:lang w:val="en-US" w:eastAsia="zh-CN"/>
        </w:rPr>
        <w:t>“十四五”规划前期课题研究33个、“十四五”规划《基本思路》研究1个。经2020年第23次委党组会议研究决定，“十四五”规划前期课题研究最终调整为27个，“十四五”规划《基本思路》研究1个。</w:t>
      </w:r>
    </w:p>
    <w:p>
      <w:pPr>
        <w:keepNext w:val="0"/>
        <w:keepLines w:val="0"/>
        <w:pageBreakBefore w:val="0"/>
        <w:widowControl w:val="0"/>
        <w:numPr>
          <w:ilvl w:val="0"/>
          <w:numId w:val="0"/>
        </w:numPr>
        <w:tabs>
          <w:tab w:val="left" w:pos="3885"/>
        </w:tabs>
        <w:kinsoku/>
        <w:wordWrap/>
        <w:overflowPunct/>
        <w:topLinePunct w:val="0"/>
        <w:autoSpaceDE/>
        <w:autoSpaceDN/>
        <w:bidi w:val="0"/>
        <w:adjustRightInd/>
        <w:snapToGrid w:val="0"/>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截至2020年</w:t>
      </w:r>
      <w:r>
        <w:rPr>
          <w:rFonts w:hint="default" w:ascii="Times New Roman" w:hAnsi="Times New Roman" w:eastAsia="仿宋_GB2312" w:cs="Times New Roman"/>
          <w:color w:val="auto"/>
          <w:sz w:val="32"/>
          <w:szCs w:val="32"/>
          <w:highlight w:val="none"/>
          <w:lang w:val="en-US" w:eastAsia="zh-CN"/>
        </w:rPr>
        <w:t>12</w:t>
      </w:r>
      <w:r>
        <w:rPr>
          <w:rFonts w:hint="default" w:ascii="Times New Roman" w:hAnsi="Times New Roman" w:eastAsia="仿宋_GB2312" w:cs="Times New Roman"/>
          <w:color w:val="auto"/>
          <w:sz w:val="32"/>
          <w:szCs w:val="32"/>
          <w:highlight w:val="none"/>
        </w:rPr>
        <w:t>月，27个“十四五”规划前期课题研究和1个“十四五”规划《基本思路》研究全部完成</w:t>
      </w:r>
      <w:r>
        <w:rPr>
          <w:rFonts w:hint="default" w:ascii="Times New Roman" w:hAnsi="Times New Roman" w:eastAsia="仿宋_GB2312" w:cs="Times New Roman"/>
          <w:color w:val="auto"/>
          <w:sz w:val="32"/>
          <w:szCs w:val="32"/>
          <w:highlight w:val="none"/>
          <w:lang w:val="en-US" w:eastAsia="zh-CN"/>
        </w:rPr>
        <w:t>并通过专家评审</w:t>
      </w:r>
      <w:r>
        <w:rPr>
          <w:rFonts w:hint="default" w:ascii="Times New Roman" w:hAnsi="Times New Roman" w:eastAsia="仿宋_GB2312" w:cs="Times New Roman"/>
          <w:color w:val="auto"/>
          <w:sz w:val="32"/>
          <w:szCs w:val="32"/>
          <w:highlight w:val="none"/>
        </w:rPr>
        <w:t>。财政厅于2020年6月在我委部门预算中下达400万元专项经费，其中385万元已</w:t>
      </w:r>
      <w:r>
        <w:rPr>
          <w:rFonts w:hint="default" w:ascii="Times New Roman" w:hAnsi="Times New Roman" w:eastAsia="仿宋_GB2312" w:cs="Times New Roman"/>
          <w:color w:val="auto"/>
          <w:sz w:val="32"/>
          <w:szCs w:val="32"/>
          <w:highlight w:val="none"/>
          <w:lang w:val="en-US" w:eastAsia="zh-CN"/>
        </w:rPr>
        <w:t>于2020年</w:t>
      </w:r>
      <w:r>
        <w:rPr>
          <w:rFonts w:hint="default" w:ascii="Times New Roman" w:hAnsi="Times New Roman" w:eastAsia="仿宋_GB2312" w:cs="Times New Roman"/>
          <w:color w:val="auto"/>
          <w:sz w:val="32"/>
          <w:szCs w:val="32"/>
          <w:highlight w:val="none"/>
        </w:rPr>
        <w:t>拨付完毕，另有15万元经费为省决咨委承担的《四川面向2035年经济社会发展战略研究》课题经费</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省决咨委要求我委以部门预算形式拨付其15万元课题经费，即在2020年部门预算计划中，省决咨委调增15万元，省发展改革委调减15万元。上述要求超出我委职能，</w:t>
      </w:r>
      <w:r>
        <w:rPr>
          <w:rFonts w:hint="default" w:ascii="Times New Roman" w:hAnsi="Times New Roman" w:eastAsia="仿宋_GB2312" w:cs="Times New Roman"/>
          <w:color w:val="auto"/>
          <w:sz w:val="32"/>
          <w:szCs w:val="32"/>
          <w:highlight w:val="none"/>
        </w:rPr>
        <w:t>经与省决咨委方面</w:t>
      </w:r>
      <w:r>
        <w:rPr>
          <w:rFonts w:hint="default" w:ascii="Times New Roman" w:hAnsi="Times New Roman" w:eastAsia="仿宋_GB2312" w:cs="Times New Roman"/>
          <w:color w:val="auto"/>
          <w:sz w:val="32"/>
          <w:szCs w:val="32"/>
          <w:highlight w:val="none"/>
          <w:lang w:val="en-US" w:eastAsia="zh-CN"/>
        </w:rPr>
        <w:t>多次</w:t>
      </w:r>
      <w:r>
        <w:rPr>
          <w:rFonts w:hint="default" w:ascii="Times New Roman" w:hAnsi="Times New Roman" w:eastAsia="仿宋_GB2312" w:cs="Times New Roman"/>
          <w:color w:val="auto"/>
          <w:sz w:val="32"/>
          <w:szCs w:val="32"/>
          <w:highlight w:val="none"/>
        </w:rPr>
        <w:t>协商</w:t>
      </w:r>
      <w:r>
        <w:rPr>
          <w:rFonts w:hint="default" w:ascii="Times New Roman" w:hAnsi="Times New Roman" w:eastAsia="仿宋_GB2312" w:cs="Times New Roman"/>
          <w:color w:val="auto"/>
          <w:sz w:val="32"/>
          <w:szCs w:val="32"/>
          <w:highlight w:val="none"/>
          <w:lang w:val="en-US" w:eastAsia="zh-CN"/>
        </w:rPr>
        <w:t>并达成</w:t>
      </w:r>
      <w:r>
        <w:rPr>
          <w:rFonts w:hint="default" w:ascii="Times New Roman" w:hAnsi="Times New Roman" w:eastAsia="仿宋_GB2312" w:cs="Times New Roman"/>
          <w:color w:val="auto"/>
          <w:sz w:val="32"/>
          <w:szCs w:val="32"/>
          <w:highlight w:val="none"/>
        </w:rPr>
        <w:t>一致，该笔课题经费不再拨付，相关资金</w:t>
      </w:r>
      <w:r>
        <w:rPr>
          <w:rFonts w:hint="default" w:ascii="Times New Roman" w:hAnsi="Times New Roman" w:eastAsia="仿宋_GB2312" w:cs="Times New Roman"/>
          <w:color w:val="auto"/>
          <w:sz w:val="32"/>
          <w:szCs w:val="32"/>
          <w:highlight w:val="none"/>
          <w:lang w:val="en-US" w:eastAsia="zh-CN"/>
        </w:rPr>
        <w:t>按程序被省财政厅收回</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二、评价工作开展情况</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认真组织学习财政部《项目支出绩效评价管理办法》和财政厅《四川省省级项目支出绩效管理办法》，按照财政厅《关于开展</w:t>
      </w:r>
      <w:r>
        <w:rPr>
          <w:rFonts w:hint="default" w:ascii="Times New Roman" w:hAnsi="Times New Roman" w:eastAsia="仿宋_GB2312" w:cs="Times New Roman"/>
          <w:color w:val="auto"/>
          <w:sz w:val="32"/>
          <w:szCs w:val="32"/>
          <w:highlight w:val="none"/>
          <w:lang w:val="en-US" w:eastAsia="zh-CN"/>
        </w:rPr>
        <w:t>2021年部门、政策和项目支出绩效评价工作的通知</w:t>
      </w:r>
      <w:r>
        <w:rPr>
          <w:rFonts w:hint="default" w:ascii="Times New Roman" w:hAnsi="Times New Roman" w:eastAsia="仿宋_GB2312" w:cs="Times New Roman"/>
          <w:color w:val="auto"/>
          <w:sz w:val="32"/>
          <w:szCs w:val="32"/>
          <w:highlight w:val="none"/>
          <w:lang w:eastAsia="zh-CN"/>
        </w:rPr>
        <w:t>》要求，全面梳理牵头开展的四川省“十四五”规划前期研究</w:t>
      </w:r>
      <w:r>
        <w:rPr>
          <w:rFonts w:hint="default" w:ascii="Times New Roman" w:hAnsi="Times New Roman" w:eastAsia="仿宋_GB2312" w:cs="Times New Roman"/>
          <w:color w:val="auto"/>
          <w:sz w:val="32"/>
          <w:szCs w:val="32"/>
          <w:highlight w:val="none"/>
        </w:rPr>
        <w:t>项目</w:t>
      </w:r>
      <w:r>
        <w:rPr>
          <w:rFonts w:hint="default" w:ascii="Times New Roman" w:hAnsi="Times New Roman" w:eastAsia="仿宋_GB2312" w:cs="Times New Roman"/>
          <w:color w:val="auto"/>
          <w:sz w:val="32"/>
          <w:szCs w:val="32"/>
          <w:highlight w:val="none"/>
          <w:lang w:eastAsia="zh-CN"/>
        </w:rPr>
        <w:t>决策、实施、资金使用、产出效益等相关情况，研究形成由完成指标、效益指标两个一级指标，数量指标、质量指标、时效指标、经济效益指标、社会效益指标、可持续影响指标六个二级指标构成的评价指标体系，扎实开展部门预算项目绩效自评工作，认真撰写自评报告。</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outlineLvl w:val="9"/>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三</w:t>
      </w:r>
      <w:r>
        <w:rPr>
          <w:rFonts w:hint="default" w:ascii="Times New Roman" w:hAnsi="Times New Roman" w:eastAsia="黑体" w:cs="Times New Roman"/>
          <w:color w:val="auto"/>
          <w:sz w:val="32"/>
          <w:szCs w:val="32"/>
          <w:highlight w:val="none"/>
        </w:rPr>
        <w:t>、</w:t>
      </w:r>
      <w:r>
        <w:rPr>
          <w:rFonts w:hint="default" w:ascii="Times New Roman" w:hAnsi="Times New Roman" w:eastAsia="黑体" w:cs="Times New Roman"/>
          <w:color w:val="auto"/>
          <w:sz w:val="32"/>
          <w:szCs w:val="32"/>
          <w:highlight w:val="none"/>
          <w:lang w:eastAsia="zh-CN"/>
        </w:rPr>
        <w:t>综合</w:t>
      </w:r>
      <w:r>
        <w:rPr>
          <w:rFonts w:hint="default" w:ascii="Times New Roman" w:hAnsi="Times New Roman" w:eastAsia="黑体" w:cs="Times New Roman"/>
          <w:color w:val="auto"/>
          <w:sz w:val="32"/>
          <w:szCs w:val="32"/>
          <w:highlight w:val="none"/>
        </w:rPr>
        <w:t>评价结论</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通过开展绩效自评，项目完成质量和项目实现的经济、社会、可持续影响效应都与预期目标一致，项目数量指标的调整符合实际、程序合规。（详见评分表）</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outlineLvl w:val="9"/>
        <w:rPr>
          <w:rFonts w:hint="default" w:ascii="Times New Roman" w:hAnsi="Times New Roman" w:eastAsia="黑体" w:cs="Times New Roman"/>
          <w:b w:val="0"/>
          <w:bCs/>
          <w:color w:val="auto"/>
          <w:sz w:val="32"/>
          <w:szCs w:val="32"/>
          <w:highlight w:val="none"/>
          <w:lang w:eastAsia="zh-CN"/>
        </w:rPr>
      </w:pPr>
      <w:r>
        <w:rPr>
          <w:rFonts w:hint="default" w:ascii="Times New Roman" w:hAnsi="Times New Roman" w:eastAsia="黑体" w:cs="Times New Roman"/>
          <w:b w:val="0"/>
          <w:bCs/>
          <w:color w:val="auto"/>
          <w:sz w:val="32"/>
          <w:szCs w:val="32"/>
          <w:highlight w:val="none"/>
          <w:lang w:eastAsia="zh-CN"/>
        </w:rPr>
        <w:t>四、绩效评价分析</w:t>
      </w:r>
    </w:p>
    <w:p>
      <w:pPr>
        <w:keepNext w:val="0"/>
        <w:keepLines w:val="0"/>
        <w:pageBreakBefore w:val="0"/>
        <w:widowControl w:val="0"/>
        <w:kinsoku/>
        <w:wordWrap/>
        <w:overflowPunct/>
        <w:topLinePunct w:val="0"/>
        <w:autoSpaceDE/>
        <w:autoSpaceDN/>
        <w:bidi w:val="0"/>
        <w:adjustRightInd/>
        <w:snapToGrid w:val="0"/>
        <w:spacing w:line="540" w:lineRule="exact"/>
        <w:ind w:firstLine="642" w:firstLineChars="200"/>
        <w:jc w:val="both"/>
        <w:textAlignment w:val="auto"/>
        <w:outlineLvl w:val="9"/>
        <w:rPr>
          <w:rFonts w:hint="default" w:ascii="Times New Roman" w:hAnsi="Times New Roman" w:cs="Times New Roman"/>
          <w:color w:val="auto"/>
          <w:sz w:val="32"/>
          <w:szCs w:val="32"/>
          <w:highlight w:val="none"/>
          <w:lang w:eastAsia="zh-CN"/>
        </w:rPr>
      </w:pPr>
      <w:r>
        <w:rPr>
          <w:rFonts w:hint="default" w:ascii="Times New Roman" w:hAnsi="Times New Roman" w:eastAsia="楷体_GB2312" w:cs="Times New Roman"/>
          <w:b/>
          <w:color w:val="auto"/>
          <w:sz w:val="32"/>
          <w:szCs w:val="32"/>
          <w:highlight w:val="none"/>
          <w:lang w:eastAsia="zh-CN"/>
        </w:rPr>
        <w:t>（一）项目决策情况。</w:t>
      </w:r>
      <w:r>
        <w:rPr>
          <w:rFonts w:hint="default" w:ascii="Times New Roman" w:hAnsi="Times New Roman" w:eastAsia="仿宋_GB2312" w:cs="Times New Roman"/>
          <w:color w:val="auto"/>
          <w:sz w:val="32"/>
          <w:szCs w:val="32"/>
          <w:highlight w:val="none"/>
          <w:lang w:eastAsia="zh-CN"/>
        </w:rPr>
        <w:t>我委组织开展四川省“十四五”规划前期研究课题选题经委内深入讨论研究形成，充分征求了省直相关部门意见，并多次邀请专家进行咨询论证后确定。</w:t>
      </w:r>
    </w:p>
    <w:p>
      <w:pPr>
        <w:keepNext w:val="0"/>
        <w:keepLines w:val="0"/>
        <w:pageBreakBefore w:val="0"/>
        <w:widowControl w:val="0"/>
        <w:kinsoku/>
        <w:wordWrap/>
        <w:overflowPunct/>
        <w:topLinePunct w:val="0"/>
        <w:autoSpaceDE/>
        <w:autoSpaceDN/>
        <w:bidi w:val="0"/>
        <w:adjustRightInd/>
        <w:snapToGrid w:val="0"/>
        <w:spacing w:line="540" w:lineRule="exact"/>
        <w:ind w:firstLine="642"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b/>
          <w:color w:val="auto"/>
          <w:sz w:val="32"/>
          <w:szCs w:val="32"/>
          <w:highlight w:val="none"/>
          <w:lang w:eastAsia="zh-CN"/>
        </w:rPr>
        <w:t>（二）项目管理情况。</w:t>
      </w:r>
      <w:r>
        <w:rPr>
          <w:rFonts w:hint="default" w:ascii="Times New Roman" w:hAnsi="Times New Roman" w:eastAsia="仿宋_GB2312" w:cs="Times New Roman"/>
          <w:color w:val="auto"/>
          <w:sz w:val="32"/>
          <w:szCs w:val="32"/>
          <w:highlight w:val="none"/>
          <w:lang w:eastAsia="zh-CN"/>
        </w:rPr>
        <w:t>我委于</w:t>
      </w:r>
      <w:r>
        <w:rPr>
          <w:rFonts w:hint="default" w:ascii="Times New Roman" w:hAnsi="Times New Roman" w:eastAsia="仿宋_GB2312" w:cs="Times New Roman"/>
          <w:color w:val="auto"/>
          <w:sz w:val="32"/>
          <w:szCs w:val="32"/>
          <w:highlight w:val="none"/>
          <w:lang w:val="en-US" w:eastAsia="zh-CN"/>
        </w:rPr>
        <w:t>2019年7月17日印发《四川省“十四五”规划前期课题研究推进工作方案》（川发改办规划〔2019〕39号），明确了项目组织方式、承担单位选聘、进度安排、经费安排，在课题编制过程中加强工作统筹协调，确保顺利有效实施。</w:t>
      </w:r>
    </w:p>
    <w:p>
      <w:pPr>
        <w:keepNext w:val="0"/>
        <w:keepLines w:val="0"/>
        <w:pageBreakBefore w:val="0"/>
        <w:widowControl w:val="0"/>
        <w:kinsoku/>
        <w:wordWrap/>
        <w:overflowPunct/>
        <w:topLinePunct w:val="0"/>
        <w:autoSpaceDE/>
        <w:autoSpaceDN/>
        <w:bidi w:val="0"/>
        <w:adjustRightInd/>
        <w:snapToGrid w:val="0"/>
        <w:spacing w:line="540" w:lineRule="exact"/>
        <w:ind w:firstLine="642" w:firstLineChars="200"/>
        <w:jc w:val="both"/>
        <w:textAlignment w:val="auto"/>
        <w:outlineLvl w:val="9"/>
        <w:rPr>
          <w:rFonts w:hint="default" w:ascii="Times New Roman" w:hAnsi="Times New Roman" w:cs="Times New Roman"/>
          <w:color w:val="auto"/>
          <w:sz w:val="32"/>
          <w:szCs w:val="32"/>
          <w:highlight w:val="none"/>
          <w:lang w:val="en-US" w:eastAsia="zh-CN"/>
        </w:rPr>
      </w:pPr>
      <w:r>
        <w:rPr>
          <w:rFonts w:hint="default" w:ascii="Times New Roman" w:hAnsi="Times New Roman" w:eastAsia="楷体_GB2312" w:cs="Times New Roman"/>
          <w:b/>
          <w:color w:val="auto"/>
          <w:sz w:val="32"/>
          <w:szCs w:val="32"/>
          <w:highlight w:val="none"/>
          <w:lang w:eastAsia="zh-CN"/>
        </w:rPr>
        <w:t>（三）项目产出情况。</w:t>
      </w:r>
      <w:r>
        <w:rPr>
          <w:rFonts w:hint="default" w:ascii="Times New Roman" w:hAnsi="Times New Roman" w:eastAsia="仿宋_GB2312" w:cs="Times New Roman"/>
          <w:color w:val="auto"/>
          <w:sz w:val="32"/>
          <w:szCs w:val="32"/>
          <w:highlight w:val="none"/>
          <w:lang w:val="en-US" w:eastAsia="zh-CN"/>
        </w:rPr>
        <w:t>该项目最终形成27个课题研究报告、1个我省“十四五”规划《基本思路》研究报告，均通过专家评审。</w:t>
      </w:r>
    </w:p>
    <w:p>
      <w:pPr>
        <w:keepNext w:val="0"/>
        <w:keepLines w:val="0"/>
        <w:pageBreakBefore w:val="0"/>
        <w:widowControl w:val="0"/>
        <w:kinsoku/>
        <w:wordWrap/>
        <w:overflowPunct/>
        <w:topLinePunct w:val="0"/>
        <w:autoSpaceDE/>
        <w:autoSpaceDN/>
        <w:bidi w:val="0"/>
        <w:adjustRightInd/>
        <w:snapToGrid w:val="0"/>
        <w:spacing w:line="540" w:lineRule="exact"/>
        <w:ind w:firstLine="642" w:firstLineChars="200"/>
        <w:jc w:val="both"/>
        <w:textAlignment w:val="auto"/>
        <w:outlineLvl w:val="9"/>
        <w:rPr>
          <w:rFonts w:hint="default" w:ascii="Times New Roman" w:hAnsi="Times New Roman" w:eastAsia="仿宋_GB2312" w:cs="Times New Roman"/>
          <w:b/>
          <w:color w:val="auto"/>
          <w:sz w:val="32"/>
          <w:szCs w:val="32"/>
          <w:highlight w:val="none"/>
          <w:lang w:val="en-US" w:eastAsia="zh-CN"/>
        </w:rPr>
      </w:pPr>
      <w:r>
        <w:rPr>
          <w:rFonts w:hint="default" w:ascii="Times New Roman" w:hAnsi="Times New Roman" w:eastAsia="楷体_GB2312" w:cs="Times New Roman"/>
          <w:b/>
          <w:color w:val="auto"/>
          <w:sz w:val="32"/>
          <w:szCs w:val="32"/>
          <w:highlight w:val="none"/>
          <w:lang w:eastAsia="zh-CN"/>
        </w:rPr>
        <w:t>（四）项目效益情况。</w:t>
      </w:r>
      <w:r>
        <w:rPr>
          <w:rFonts w:hint="default" w:ascii="Times New Roman" w:hAnsi="Times New Roman" w:eastAsia="仿宋_GB2312" w:cs="Times New Roman"/>
          <w:color w:val="auto"/>
          <w:sz w:val="32"/>
          <w:szCs w:val="32"/>
          <w:highlight w:val="none"/>
          <w:lang w:val="en-US" w:eastAsia="zh-CN"/>
        </w:rPr>
        <w:t>经过27个课题研究和省“十四五”规划《基本思路》研究，进一步深化了对全省“十四五”时期经济社会发展重大问题的认识，对我省“十四五”规划《基本思路》起草和规划《纲要》编制提供了有力支撑。</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outlineLvl w:val="9"/>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五、存在主要问题</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无</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六、相关措施建议</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无</w:t>
      </w:r>
    </w:p>
    <w:p>
      <w:pPr>
        <w:pStyle w:val="37"/>
        <w:pageBreakBefore w:val="0"/>
        <w:kinsoku/>
        <w:wordWrap/>
        <w:overflowPunct/>
        <w:topLinePunct w:val="0"/>
        <w:bidi w:val="0"/>
        <w:spacing w:line="540" w:lineRule="exact"/>
        <w:rPr>
          <w:rFonts w:hint="default" w:ascii="Times New Roman" w:hAnsi="Times New Roman" w:cs="Times New Roman"/>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outlineLvl w:val="9"/>
        <w:rPr>
          <w:rFonts w:hint="default" w:ascii="Times New Roman" w:hAnsi="Times New Roman" w:eastAsia="方正小标宋简体" w:cs="Times New Roman"/>
          <w:color w:val="auto"/>
          <w:sz w:val="32"/>
          <w:szCs w:val="32"/>
          <w:highlight w:val="none"/>
          <w:lang w:val="en-US" w:eastAsia="zh-CN"/>
        </w:rPr>
      </w:pPr>
      <w:r>
        <w:rPr>
          <w:rFonts w:hint="default" w:ascii="Times New Roman" w:hAnsi="Times New Roman" w:eastAsia="方正小标宋简体" w:cs="Times New Roman"/>
          <w:color w:val="auto"/>
          <w:sz w:val="32"/>
          <w:szCs w:val="32"/>
          <w:highlight w:val="none"/>
          <w:lang w:val="en-US" w:eastAsia="zh-CN"/>
        </w:rPr>
        <w:t>“十四五”规划前期工作专项经费项目支出绩效自评表</w:t>
      </w:r>
    </w:p>
    <w:tbl>
      <w:tblPr>
        <w:tblStyle w:val="29"/>
        <w:tblpPr w:leftFromText="180" w:rightFromText="180" w:vertAnchor="text" w:horzAnchor="page" w:tblpX="1428" w:tblpY="404"/>
        <w:tblOverlap w:val="never"/>
        <w:tblW w:w="96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80"/>
        <w:gridCol w:w="1980"/>
        <w:gridCol w:w="3960"/>
        <w:gridCol w:w="1089"/>
        <w:gridCol w:w="1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5"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default" w:ascii="Times New Roman" w:hAnsi="Times New Roman" w:eastAsia="宋体" w:cs="Times New Roman"/>
                <w:b/>
                <w:bCs/>
                <w:i w:val="0"/>
                <w:color w:val="auto"/>
                <w:sz w:val="24"/>
                <w:szCs w:val="24"/>
                <w:highlight w:val="none"/>
                <w:u w:val="none"/>
              </w:rPr>
            </w:pPr>
            <w:r>
              <w:rPr>
                <w:rFonts w:hint="default" w:ascii="Times New Roman" w:hAnsi="Times New Roman" w:eastAsia="宋体" w:cs="Times New Roman"/>
                <w:b/>
                <w:bCs/>
                <w:i w:val="0"/>
                <w:color w:val="auto"/>
                <w:kern w:val="0"/>
                <w:sz w:val="24"/>
                <w:szCs w:val="24"/>
                <w:highlight w:val="none"/>
                <w:u w:val="none"/>
                <w:lang w:val="en-US" w:eastAsia="zh-CN" w:bidi="ar"/>
              </w:rPr>
              <w:t>一级指标</w:t>
            </w:r>
          </w:p>
        </w:tc>
        <w:tc>
          <w:tcPr>
            <w:tcW w:w="19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default" w:ascii="Times New Roman" w:hAnsi="Times New Roman" w:eastAsia="宋体" w:cs="Times New Roman"/>
                <w:b/>
                <w:bCs/>
                <w:i w:val="0"/>
                <w:color w:val="auto"/>
                <w:sz w:val="24"/>
                <w:szCs w:val="24"/>
                <w:highlight w:val="none"/>
                <w:u w:val="none"/>
              </w:rPr>
            </w:pPr>
            <w:r>
              <w:rPr>
                <w:rFonts w:hint="default" w:ascii="Times New Roman" w:hAnsi="Times New Roman" w:eastAsia="宋体" w:cs="Times New Roman"/>
                <w:b/>
                <w:bCs/>
                <w:i w:val="0"/>
                <w:color w:val="auto"/>
                <w:kern w:val="0"/>
                <w:sz w:val="24"/>
                <w:szCs w:val="24"/>
                <w:highlight w:val="none"/>
                <w:u w:val="none"/>
                <w:lang w:val="en-US" w:eastAsia="zh-CN" w:bidi="ar"/>
              </w:rPr>
              <w:t>二级指标</w:t>
            </w:r>
          </w:p>
        </w:tc>
        <w:tc>
          <w:tcPr>
            <w:tcW w:w="3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default" w:ascii="Times New Roman" w:hAnsi="Times New Roman" w:eastAsia="宋体" w:cs="Times New Roman"/>
                <w:b/>
                <w:bCs/>
                <w:i w:val="0"/>
                <w:color w:val="auto"/>
                <w:sz w:val="24"/>
                <w:szCs w:val="24"/>
                <w:highlight w:val="none"/>
                <w:u w:val="none"/>
              </w:rPr>
            </w:pPr>
            <w:r>
              <w:rPr>
                <w:rFonts w:hint="default" w:ascii="Times New Roman" w:hAnsi="Times New Roman" w:eastAsia="宋体" w:cs="Times New Roman"/>
                <w:b/>
                <w:bCs/>
                <w:i w:val="0"/>
                <w:color w:val="auto"/>
                <w:kern w:val="0"/>
                <w:sz w:val="24"/>
                <w:szCs w:val="24"/>
                <w:highlight w:val="none"/>
                <w:u w:val="none"/>
                <w:lang w:val="en-US" w:eastAsia="zh-CN" w:bidi="ar"/>
              </w:rPr>
              <w:t>三级指标</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default" w:ascii="Times New Roman" w:hAnsi="Times New Roman" w:eastAsia="宋体" w:cs="Times New Roman"/>
                <w:b/>
                <w:bCs/>
                <w:i w:val="0"/>
                <w:color w:val="auto"/>
                <w:sz w:val="24"/>
                <w:szCs w:val="24"/>
                <w:highlight w:val="none"/>
                <w:u w:val="none"/>
              </w:rPr>
            </w:pPr>
            <w:r>
              <w:rPr>
                <w:rFonts w:hint="default" w:ascii="Times New Roman" w:hAnsi="Times New Roman" w:eastAsia="宋体" w:cs="Times New Roman"/>
                <w:b/>
                <w:bCs/>
                <w:i w:val="0"/>
                <w:color w:val="auto"/>
                <w:kern w:val="0"/>
                <w:sz w:val="24"/>
                <w:szCs w:val="24"/>
                <w:highlight w:val="none"/>
                <w:u w:val="none"/>
                <w:lang w:val="en-US" w:eastAsia="zh-CN" w:bidi="ar"/>
              </w:rPr>
              <w:t>分值</w:t>
            </w:r>
          </w:p>
        </w:tc>
        <w:tc>
          <w:tcPr>
            <w:tcW w:w="1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default" w:ascii="Times New Roman" w:hAnsi="Times New Roman" w:eastAsia="宋体" w:cs="Times New Roman"/>
                <w:b/>
                <w:bCs/>
                <w:i w:val="0"/>
                <w:color w:val="auto"/>
                <w:sz w:val="24"/>
                <w:szCs w:val="24"/>
                <w:highlight w:val="none"/>
                <w:u w:val="none"/>
              </w:rPr>
            </w:pPr>
            <w:r>
              <w:rPr>
                <w:rFonts w:hint="default" w:ascii="Times New Roman" w:hAnsi="Times New Roman" w:eastAsia="宋体" w:cs="Times New Roman"/>
                <w:b/>
                <w:bCs/>
                <w:i w:val="0"/>
                <w:color w:val="auto"/>
                <w:kern w:val="0"/>
                <w:sz w:val="24"/>
                <w:szCs w:val="24"/>
                <w:highlight w:val="none"/>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trPr>
        <w:tc>
          <w:tcPr>
            <w:tcW w:w="1380" w:type="dxa"/>
            <w:vMerge w:val="restart"/>
            <w:tcBorders>
              <w:top w:val="single" w:color="000000" w:sz="4" w:space="0"/>
              <w:left w:val="single" w:color="000000" w:sz="4" w:space="0"/>
              <w:bottom w:val="nil"/>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b/>
                <w:bCs/>
                <w:i w:val="0"/>
                <w:color w:val="auto"/>
                <w:sz w:val="20"/>
                <w:szCs w:val="20"/>
                <w:highlight w:val="none"/>
                <w:u w:val="none"/>
              </w:rPr>
            </w:pPr>
            <w:r>
              <w:rPr>
                <w:rFonts w:hint="default" w:ascii="Times New Roman" w:hAnsi="Times New Roman" w:eastAsia="宋体" w:cs="Times New Roman"/>
                <w:b/>
                <w:bCs/>
                <w:i w:val="0"/>
                <w:color w:val="auto"/>
                <w:kern w:val="0"/>
                <w:sz w:val="20"/>
                <w:szCs w:val="20"/>
                <w:highlight w:val="none"/>
                <w:u w:val="none"/>
                <w:lang w:val="en-US" w:eastAsia="zh-CN" w:bidi="ar"/>
              </w:rPr>
              <w:t>管理</w:t>
            </w:r>
            <w:r>
              <w:rPr>
                <w:rFonts w:hint="default" w:ascii="Times New Roman" w:hAnsi="Times New Roman" w:eastAsia="宋体" w:cs="Times New Roman"/>
                <w:b/>
                <w:bCs/>
                <w:i w:val="0"/>
                <w:color w:val="auto"/>
                <w:kern w:val="0"/>
                <w:sz w:val="20"/>
                <w:szCs w:val="20"/>
                <w:highlight w:val="none"/>
                <w:u w:val="none"/>
                <w:lang w:val="en-US" w:eastAsia="zh-CN" w:bidi="ar"/>
              </w:rPr>
              <w:br w:type="textWrapping"/>
            </w:r>
            <w:r>
              <w:rPr>
                <w:rFonts w:hint="default" w:ascii="Times New Roman" w:hAnsi="Times New Roman" w:eastAsia="宋体" w:cs="Times New Roman"/>
                <w:b/>
                <w:bCs/>
                <w:i w:val="0"/>
                <w:color w:val="auto"/>
                <w:kern w:val="0"/>
                <w:sz w:val="20"/>
                <w:szCs w:val="20"/>
                <w:highlight w:val="none"/>
                <w:u w:val="none"/>
                <w:lang w:val="en-US" w:eastAsia="zh-CN" w:bidi="ar"/>
              </w:rPr>
              <w:t>指标</w:t>
            </w:r>
          </w:p>
        </w:tc>
        <w:tc>
          <w:tcPr>
            <w:tcW w:w="19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项目管理指标</w:t>
            </w:r>
          </w:p>
        </w:tc>
        <w:tc>
          <w:tcPr>
            <w:tcW w:w="3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加强统筹管理</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10</w:t>
            </w:r>
            <w:r>
              <w:rPr>
                <w:rStyle w:val="60"/>
                <w:rFonts w:hint="default" w:ascii="Times New Roman" w:hAnsi="Times New Roman" w:eastAsia="宋体" w:cs="Times New Roman"/>
                <w:color w:val="auto"/>
                <w:sz w:val="20"/>
                <w:szCs w:val="20"/>
                <w:highlight w:val="none"/>
                <w:lang w:val="en-US" w:eastAsia="zh-CN" w:bidi="ar"/>
              </w:rPr>
              <w:t>分</w:t>
            </w:r>
          </w:p>
        </w:tc>
        <w:tc>
          <w:tcPr>
            <w:tcW w:w="1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10</w:t>
            </w:r>
            <w:r>
              <w:rPr>
                <w:rStyle w:val="60"/>
                <w:rFonts w:hint="default" w:ascii="Times New Roman" w:hAnsi="Times New Roman" w:eastAsia="宋体" w:cs="Times New Roman"/>
                <w:color w:val="auto"/>
                <w:sz w:val="20"/>
                <w:szCs w:val="20"/>
                <w:highlight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0" w:hRule="atLeast"/>
        </w:trPr>
        <w:tc>
          <w:tcPr>
            <w:tcW w:w="1380" w:type="dxa"/>
            <w:vMerge w:val="continue"/>
            <w:tcBorders>
              <w:top w:val="single" w:color="000000" w:sz="4" w:space="0"/>
              <w:left w:val="single" w:color="000000" w:sz="4" w:space="0"/>
              <w:bottom w:val="nil"/>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bCs/>
                <w:i w:val="0"/>
                <w:color w:val="auto"/>
                <w:sz w:val="20"/>
                <w:szCs w:val="20"/>
                <w:highlight w:val="none"/>
                <w:u w:val="none"/>
              </w:rPr>
            </w:pPr>
          </w:p>
        </w:tc>
        <w:tc>
          <w:tcPr>
            <w:tcW w:w="19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资金管理指标</w:t>
            </w:r>
          </w:p>
        </w:tc>
        <w:tc>
          <w:tcPr>
            <w:tcW w:w="3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资金及时拨付到位</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10</w:t>
            </w:r>
            <w:r>
              <w:rPr>
                <w:rStyle w:val="60"/>
                <w:rFonts w:hint="default" w:ascii="Times New Roman" w:hAnsi="Times New Roman" w:eastAsia="宋体" w:cs="Times New Roman"/>
                <w:color w:val="auto"/>
                <w:sz w:val="20"/>
                <w:szCs w:val="20"/>
                <w:highlight w:val="none"/>
                <w:lang w:val="en-US" w:eastAsia="zh-CN" w:bidi="ar"/>
              </w:rPr>
              <w:t>分</w:t>
            </w:r>
          </w:p>
        </w:tc>
        <w:tc>
          <w:tcPr>
            <w:tcW w:w="1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10</w:t>
            </w:r>
            <w:r>
              <w:rPr>
                <w:rStyle w:val="61"/>
                <w:rFonts w:hint="default" w:ascii="Times New Roman" w:hAnsi="Times New Roman" w:eastAsia="宋体" w:cs="Times New Roman"/>
                <w:color w:val="auto"/>
                <w:sz w:val="20"/>
                <w:szCs w:val="20"/>
                <w:highlight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b/>
                <w:bCs/>
                <w:i w:val="0"/>
                <w:color w:val="auto"/>
                <w:sz w:val="20"/>
                <w:szCs w:val="20"/>
                <w:highlight w:val="none"/>
                <w:u w:val="none"/>
              </w:rPr>
            </w:pPr>
            <w:r>
              <w:rPr>
                <w:rFonts w:hint="default" w:ascii="Times New Roman" w:hAnsi="Times New Roman" w:eastAsia="宋体" w:cs="Times New Roman"/>
                <w:b/>
                <w:bCs/>
                <w:i w:val="0"/>
                <w:color w:val="auto"/>
                <w:kern w:val="0"/>
                <w:sz w:val="20"/>
                <w:szCs w:val="20"/>
                <w:highlight w:val="none"/>
                <w:u w:val="none"/>
                <w:lang w:val="en-US" w:eastAsia="zh-CN" w:bidi="ar"/>
              </w:rPr>
              <w:t>完成</w:t>
            </w:r>
            <w:r>
              <w:rPr>
                <w:rFonts w:hint="default" w:ascii="Times New Roman" w:hAnsi="Times New Roman" w:eastAsia="宋体" w:cs="Times New Roman"/>
                <w:b/>
                <w:bCs/>
                <w:i w:val="0"/>
                <w:color w:val="auto"/>
                <w:kern w:val="0"/>
                <w:sz w:val="20"/>
                <w:szCs w:val="20"/>
                <w:highlight w:val="none"/>
                <w:u w:val="none"/>
                <w:lang w:val="en-US" w:eastAsia="zh-CN" w:bidi="ar"/>
              </w:rPr>
              <w:br w:type="textWrapping"/>
            </w:r>
            <w:r>
              <w:rPr>
                <w:rFonts w:hint="default" w:ascii="Times New Roman" w:hAnsi="Times New Roman" w:eastAsia="宋体" w:cs="Times New Roman"/>
                <w:b/>
                <w:bCs/>
                <w:i w:val="0"/>
                <w:color w:val="auto"/>
                <w:kern w:val="0"/>
                <w:sz w:val="20"/>
                <w:szCs w:val="20"/>
                <w:highlight w:val="none"/>
                <w:u w:val="none"/>
                <w:lang w:val="en-US" w:eastAsia="zh-CN" w:bidi="ar"/>
              </w:rPr>
              <w:t>指标</w:t>
            </w:r>
          </w:p>
        </w:tc>
        <w:tc>
          <w:tcPr>
            <w:tcW w:w="19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数量指标</w:t>
            </w:r>
          </w:p>
        </w:tc>
        <w:tc>
          <w:tcPr>
            <w:tcW w:w="3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完成课题研究报告</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25</w:t>
            </w:r>
            <w:r>
              <w:rPr>
                <w:rStyle w:val="60"/>
                <w:rFonts w:hint="default" w:ascii="Times New Roman" w:hAnsi="Times New Roman" w:eastAsia="宋体" w:cs="Times New Roman"/>
                <w:color w:val="auto"/>
                <w:sz w:val="20"/>
                <w:szCs w:val="20"/>
                <w:highlight w:val="none"/>
                <w:lang w:val="en-US" w:eastAsia="zh-CN" w:bidi="ar"/>
              </w:rPr>
              <w:t>分</w:t>
            </w:r>
          </w:p>
        </w:tc>
        <w:tc>
          <w:tcPr>
            <w:tcW w:w="1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25</w:t>
            </w:r>
            <w:r>
              <w:rPr>
                <w:rStyle w:val="60"/>
                <w:rFonts w:hint="default" w:ascii="Times New Roman" w:hAnsi="Times New Roman" w:eastAsia="宋体" w:cs="Times New Roman"/>
                <w:color w:val="auto"/>
                <w:sz w:val="20"/>
                <w:szCs w:val="20"/>
                <w:highlight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0"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bCs/>
                <w:i w:val="0"/>
                <w:color w:val="auto"/>
                <w:sz w:val="20"/>
                <w:szCs w:val="20"/>
                <w:highlight w:val="none"/>
                <w:u w:val="none"/>
              </w:rPr>
            </w:pPr>
          </w:p>
        </w:tc>
        <w:tc>
          <w:tcPr>
            <w:tcW w:w="19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i w:val="0"/>
                <w:color w:val="auto"/>
                <w:sz w:val="20"/>
                <w:szCs w:val="20"/>
                <w:highlight w:val="none"/>
                <w:u w:val="none"/>
              </w:rPr>
            </w:pPr>
          </w:p>
        </w:tc>
        <w:tc>
          <w:tcPr>
            <w:tcW w:w="3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完成“十四五”规划《基本思路》研究报告</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5</w:t>
            </w:r>
            <w:r>
              <w:rPr>
                <w:rStyle w:val="60"/>
                <w:rFonts w:hint="default" w:ascii="Times New Roman" w:hAnsi="Times New Roman" w:eastAsia="宋体" w:cs="Times New Roman"/>
                <w:color w:val="auto"/>
                <w:sz w:val="20"/>
                <w:szCs w:val="20"/>
                <w:highlight w:val="none"/>
                <w:lang w:val="en-US" w:eastAsia="zh-CN" w:bidi="ar"/>
              </w:rPr>
              <w:t>分</w:t>
            </w:r>
          </w:p>
        </w:tc>
        <w:tc>
          <w:tcPr>
            <w:tcW w:w="1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5</w:t>
            </w:r>
            <w:r>
              <w:rPr>
                <w:rStyle w:val="60"/>
                <w:rFonts w:hint="default" w:ascii="Times New Roman" w:hAnsi="Times New Roman" w:eastAsia="宋体" w:cs="Times New Roman"/>
                <w:color w:val="auto"/>
                <w:sz w:val="20"/>
                <w:szCs w:val="20"/>
                <w:highlight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bCs/>
                <w:i w:val="0"/>
                <w:color w:val="auto"/>
                <w:sz w:val="20"/>
                <w:szCs w:val="20"/>
                <w:highlight w:val="none"/>
                <w:u w:val="none"/>
              </w:rPr>
            </w:pPr>
          </w:p>
        </w:tc>
        <w:tc>
          <w:tcPr>
            <w:tcW w:w="19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质量指标</w:t>
            </w:r>
          </w:p>
        </w:tc>
        <w:tc>
          <w:tcPr>
            <w:tcW w:w="3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课题专家评审合格</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15</w:t>
            </w:r>
            <w:r>
              <w:rPr>
                <w:rStyle w:val="60"/>
                <w:rFonts w:hint="default" w:ascii="Times New Roman" w:hAnsi="Times New Roman" w:eastAsia="宋体" w:cs="Times New Roman"/>
                <w:color w:val="auto"/>
                <w:sz w:val="20"/>
                <w:szCs w:val="20"/>
                <w:highlight w:val="none"/>
                <w:lang w:val="en-US" w:eastAsia="zh-CN" w:bidi="ar"/>
              </w:rPr>
              <w:t>分</w:t>
            </w:r>
          </w:p>
        </w:tc>
        <w:tc>
          <w:tcPr>
            <w:tcW w:w="1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15</w:t>
            </w:r>
            <w:r>
              <w:rPr>
                <w:rStyle w:val="60"/>
                <w:rFonts w:hint="default" w:ascii="Times New Roman" w:hAnsi="Times New Roman" w:eastAsia="宋体" w:cs="Times New Roman"/>
                <w:color w:val="auto"/>
                <w:sz w:val="20"/>
                <w:szCs w:val="20"/>
                <w:highlight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bCs/>
                <w:i w:val="0"/>
                <w:color w:val="auto"/>
                <w:sz w:val="20"/>
                <w:szCs w:val="20"/>
                <w:highlight w:val="none"/>
                <w:u w:val="none"/>
              </w:rPr>
            </w:pPr>
          </w:p>
        </w:tc>
        <w:tc>
          <w:tcPr>
            <w:tcW w:w="19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时效指标</w:t>
            </w:r>
          </w:p>
        </w:tc>
        <w:tc>
          <w:tcPr>
            <w:tcW w:w="3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按时完成</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5</w:t>
            </w:r>
            <w:r>
              <w:rPr>
                <w:rStyle w:val="60"/>
                <w:rFonts w:hint="default" w:ascii="Times New Roman" w:hAnsi="Times New Roman" w:eastAsia="宋体" w:cs="Times New Roman"/>
                <w:color w:val="auto"/>
                <w:sz w:val="20"/>
                <w:szCs w:val="20"/>
                <w:highlight w:val="none"/>
                <w:lang w:val="en-US" w:eastAsia="zh-CN" w:bidi="ar"/>
              </w:rPr>
              <w:t>分</w:t>
            </w:r>
          </w:p>
        </w:tc>
        <w:tc>
          <w:tcPr>
            <w:tcW w:w="1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5</w:t>
            </w:r>
            <w:r>
              <w:rPr>
                <w:rStyle w:val="60"/>
                <w:rFonts w:hint="default" w:ascii="Times New Roman" w:hAnsi="Times New Roman" w:eastAsia="宋体" w:cs="Times New Roman"/>
                <w:color w:val="auto"/>
                <w:sz w:val="20"/>
                <w:szCs w:val="20"/>
                <w:highlight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5" w:hRule="atLeast"/>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b/>
                <w:bCs/>
                <w:i w:val="0"/>
                <w:color w:val="auto"/>
                <w:sz w:val="20"/>
                <w:szCs w:val="20"/>
                <w:highlight w:val="none"/>
                <w:u w:val="none"/>
              </w:rPr>
            </w:pPr>
            <w:r>
              <w:rPr>
                <w:rFonts w:hint="default" w:ascii="Times New Roman" w:hAnsi="Times New Roman" w:eastAsia="宋体" w:cs="Times New Roman"/>
                <w:b/>
                <w:bCs/>
                <w:i w:val="0"/>
                <w:color w:val="auto"/>
                <w:kern w:val="0"/>
                <w:sz w:val="20"/>
                <w:szCs w:val="20"/>
                <w:highlight w:val="none"/>
                <w:u w:val="none"/>
                <w:lang w:val="en-US" w:eastAsia="zh-CN" w:bidi="ar"/>
              </w:rPr>
              <w:t>效益</w:t>
            </w:r>
            <w:r>
              <w:rPr>
                <w:rFonts w:hint="default" w:ascii="Times New Roman" w:hAnsi="Times New Roman" w:eastAsia="宋体" w:cs="Times New Roman"/>
                <w:b/>
                <w:bCs/>
                <w:i w:val="0"/>
                <w:color w:val="auto"/>
                <w:kern w:val="0"/>
                <w:sz w:val="20"/>
                <w:szCs w:val="20"/>
                <w:highlight w:val="none"/>
                <w:u w:val="none"/>
                <w:lang w:val="en-US" w:eastAsia="zh-CN" w:bidi="ar"/>
              </w:rPr>
              <w:br w:type="textWrapping"/>
            </w:r>
            <w:r>
              <w:rPr>
                <w:rFonts w:hint="default" w:ascii="Times New Roman" w:hAnsi="Times New Roman" w:eastAsia="宋体" w:cs="Times New Roman"/>
                <w:b/>
                <w:bCs/>
                <w:i w:val="0"/>
                <w:color w:val="auto"/>
                <w:kern w:val="0"/>
                <w:sz w:val="20"/>
                <w:szCs w:val="20"/>
                <w:highlight w:val="none"/>
                <w:u w:val="none"/>
                <w:lang w:val="en-US" w:eastAsia="zh-CN" w:bidi="ar"/>
              </w:rPr>
              <w:t>指标</w:t>
            </w:r>
          </w:p>
        </w:tc>
        <w:tc>
          <w:tcPr>
            <w:tcW w:w="19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经济效益指标</w:t>
            </w:r>
          </w:p>
        </w:tc>
        <w:tc>
          <w:tcPr>
            <w:tcW w:w="3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促进提高对全省“十四五”时期经济发展重大问题认识</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10</w:t>
            </w:r>
            <w:r>
              <w:rPr>
                <w:rStyle w:val="60"/>
                <w:rFonts w:hint="default" w:ascii="Times New Roman" w:hAnsi="Times New Roman" w:eastAsia="宋体" w:cs="Times New Roman"/>
                <w:color w:val="auto"/>
                <w:sz w:val="20"/>
                <w:szCs w:val="20"/>
                <w:highlight w:val="none"/>
                <w:lang w:val="en-US" w:eastAsia="zh-CN" w:bidi="ar"/>
              </w:rPr>
              <w:t>分</w:t>
            </w:r>
          </w:p>
        </w:tc>
        <w:tc>
          <w:tcPr>
            <w:tcW w:w="1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10</w:t>
            </w:r>
            <w:r>
              <w:rPr>
                <w:rStyle w:val="60"/>
                <w:rFonts w:hint="default" w:ascii="Times New Roman" w:hAnsi="Times New Roman" w:eastAsia="宋体" w:cs="Times New Roman"/>
                <w:color w:val="auto"/>
                <w:sz w:val="20"/>
                <w:szCs w:val="20"/>
                <w:highlight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i w:val="0"/>
                <w:color w:val="auto"/>
                <w:sz w:val="20"/>
                <w:szCs w:val="20"/>
                <w:highlight w:val="none"/>
                <w:u w:val="none"/>
              </w:rPr>
            </w:pPr>
          </w:p>
        </w:tc>
        <w:tc>
          <w:tcPr>
            <w:tcW w:w="19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社会效益指标</w:t>
            </w:r>
          </w:p>
        </w:tc>
        <w:tc>
          <w:tcPr>
            <w:tcW w:w="3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促进提高对全省“十四五”时期社会发展重大问题认识</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10</w:t>
            </w:r>
            <w:r>
              <w:rPr>
                <w:rStyle w:val="60"/>
                <w:rFonts w:hint="default" w:ascii="Times New Roman" w:hAnsi="Times New Roman" w:eastAsia="宋体" w:cs="Times New Roman"/>
                <w:color w:val="auto"/>
                <w:sz w:val="20"/>
                <w:szCs w:val="20"/>
                <w:highlight w:val="none"/>
                <w:lang w:val="en-US" w:eastAsia="zh-CN" w:bidi="ar"/>
              </w:rPr>
              <w:t>分</w:t>
            </w:r>
          </w:p>
        </w:tc>
        <w:tc>
          <w:tcPr>
            <w:tcW w:w="1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10</w:t>
            </w:r>
            <w:r>
              <w:rPr>
                <w:rStyle w:val="60"/>
                <w:rFonts w:hint="default" w:ascii="Times New Roman" w:hAnsi="Times New Roman" w:eastAsia="宋体" w:cs="Times New Roman"/>
                <w:color w:val="auto"/>
                <w:sz w:val="20"/>
                <w:szCs w:val="20"/>
                <w:highlight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i w:val="0"/>
                <w:color w:val="auto"/>
                <w:sz w:val="20"/>
                <w:szCs w:val="20"/>
                <w:highlight w:val="none"/>
                <w:u w:val="none"/>
              </w:rPr>
            </w:pPr>
          </w:p>
        </w:tc>
        <w:tc>
          <w:tcPr>
            <w:tcW w:w="19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可持续影响指标</w:t>
            </w:r>
          </w:p>
        </w:tc>
        <w:tc>
          <w:tcPr>
            <w:tcW w:w="3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成果影响年限≥5年</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10</w:t>
            </w:r>
            <w:r>
              <w:rPr>
                <w:rStyle w:val="60"/>
                <w:rFonts w:hint="default" w:ascii="Times New Roman" w:hAnsi="Times New Roman" w:eastAsia="宋体" w:cs="Times New Roman"/>
                <w:color w:val="auto"/>
                <w:sz w:val="20"/>
                <w:szCs w:val="20"/>
                <w:highlight w:val="none"/>
                <w:lang w:val="en-US" w:eastAsia="zh-CN" w:bidi="ar"/>
              </w:rPr>
              <w:t>分</w:t>
            </w:r>
          </w:p>
        </w:tc>
        <w:tc>
          <w:tcPr>
            <w:tcW w:w="1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10</w:t>
            </w:r>
            <w:r>
              <w:rPr>
                <w:rStyle w:val="60"/>
                <w:rFonts w:hint="default" w:ascii="Times New Roman" w:hAnsi="Times New Roman" w:eastAsia="宋体" w:cs="Times New Roman"/>
                <w:color w:val="auto"/>
                <w:sz w:val="20"/>
                <w:szCs w:val="20"/>
                <w:highlight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5" w:hRule="atLeast"/>
        </w:trPr>
        <w:tc>
          <w:tcPr>
            <w:tcW w:w="73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合计</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100分</w:t>
            </w:r>
          </w:p>
        </w:tc>
        <w:tc>
          <w:tcPr>
            <w:tcW w:w="1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100分</w:t>
            </w:r>
          </w:p>
        </w:tc>
      </w:tr>
    </w:tbl>
    <w:p>
      <w:pPr>
        <w:pageBreakBefore w:val="0"/>
        <w:kinsoku/>
        <w:wordWrap/>
        <w:overflowPunct/>
        <w:topLinePunct w:val="0"/>
        <w:bidi w:val="0"/>
        <w:snapToGrid w:val="0"/>
        <w:spacing w:line="540" w:lineRule="exact"/>
        <w:jc w:val="center"/>
        <w:rPr>
          <w:rFonts w:hint="default" w:ascii="Times New Roman" w:hAnsi="Times New Roman" w:eastAsia="方正小标宋简体" w:cs="Times New Roman"/>
          <w:color w:val="auto"/>
          <w:sz w:val="44"/>
          <w:szCs w:val="44"/>
          <w:highlight w:val="none"/>
        </w:rPr>
      </w:pPr>
    </w:p>
    <w:p>
      <w:pPr>
        <w:pageBreakBefore w:val="0"/>
        <w:kinsoku/>
        <w:wordWrap/>
        <w:overflowPunct/>
        <w:topLinePunct w:val="0"/>
        <w:bidi w:val="0"/>
        <w:snapToGrid w:val="0"/>
        <w:spacing w:line="540" w:lineRule="exact"/>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202</w:t>
      </w:r>
      <w:r>
        <w:rPr>
          <w:rFonts w:hint="default" w:ascii="Times New Roman" w:hAnsi="Times New Roman" w:eastAsia="方正小标宋简体" w:cs="Times New Roman"/>
          <w:color w:val="auto"/>
          <w:sz w:val="44"/>
          <w:szCs w:val="44"/>
          <w:highlight w:val="none"/>
          <w:lang w:val="en-US" w:eastAsia="zh-CN"/>
        </w:rPr>
        <w:t>0</w:t>
      </w:r>
      <w:r>
        <w:rPr>
          <w:rFonts w:hint="default" w:ascii="Times New Roman" w:hAnsi="Times New Roman" w:eastAsia="方正小标宋简体" w:cs="Times New Roman"/>
          <w:color w:val="auto"/>
          <w:sz w:val="44"/>
          <w:szCs w:val="44"/>
          <w:highlight w:val="none"/>
        </w:rPr>
        <w:t>年部门预算项目支出绩效自评报告</w:t>
      </w:r>
    </w:p>
    <w:p>
      <w:pPr>
        <w:keepNext w:val="0"/>
        <w:keepLines w:val="0"/>
        <w:pageBreakBefore w:val="0"/>
        <w:widowControl w:val="0"/>
        <w:tabs>
          <w:tab w:val="left" w:pos="3885"/>
        </w:tabs>
        <w:kinsoku/>
        <w:wordWrap/>
        <w:overflowPunct/>
        <w:topLinePunct w:val="0"/>
        <w:autoSpaceDE/>
        <w:autoSpaceDN/>
        <w:bidi w:val="0"/>
        <w:adjustRightInd/>
        <w:snapToGrid w:val="0"/>
        <w:spacing w:line="540" w:lineRule="exact"/>
        <w:jc w:val="center"/>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四川省营商环境第三方评价专项经费（上年结转）项目</w:t>
      </w:r>
      <w:r>
        <w:rPr>
          <w:rFonts w:hint="default" w:ascii="Times New Roman" w:hAnsi="Times New Roman" w:eastAsia="仿宋_GB2312" w:cs="Times New Roman"/>
          <w:color w:val="auto"/>
          <w:sz w:val="32"/>
          <w:szCs w:val="32"/>
          <w:highlight w:val="none"/>
        </w:rPr>
        <w:t>）</w:t>
      </w:r>
    </w:p>
    <w:p>
      <w:pPr>
        <w:pStyle w:val="37"/>
        <w:pageBreakBefore w:val="0"/>
        <w:kinsoku/>
        <w:wordWrap/>
        <w:overflowPunct/>
        <w:topLinePunct w:val="0"/>
        <w:bidi w:val="0"/>
        <w:spacing w:line="540" w:lineRule="exact"/>
        <w:rPr>
          <w:rFonts w:hint="default" w:ascii="Times New Roman" w:hAnsi="Times New Roman" w:cs="Times New Roman"/>
          <w:color w:val="auto"/>
          <w:highlight w:val="none"/>
          <w:lang w:val="en-US" w:eastAsia="zh-CN"/>
        </w:rPr>
      </w:pPr>
    </w:p>
    <w:p>
      <w:pPr>
        <w:keepNext w:val="0"/>
        <w:keepLines w:val="0"/>
        <w:pageBreakBefore w:val="0"/>
        <w:kinsoku/>
        <w:wordWrap/>
        <w:overflowPunct/>
        <w:topLinePunct w:val="0"/>
        <w:autoSpaceDE/>
        <w:autoSpaceDN/>
        <w:bidi w:val="0"/>
        <w:adjustRightInd/>
        <w:snapToGrid/>
        <w:spacing w:beforeLines="0" w:afterLines="0" w:line="540" w:lineRule="exact"/>
        <w:ind w:left="0" w:leftChars="0" w:right="0" w:rightChars="0" w:firstLine="640" w:firstLineChars="200"/>
        <w:textAlignment w:val="auto"/>
        <w:outlineLvl w:val="9"/>
        <w:rPr>
          <w:rFonts w:hint="default" w:ascii="Times New Roman" w:hAnsi="Times New Roman" w:eastAsia="黑体" w:cs="Times New Roman"/>
          <w:color w:val="auto"/>
          <w:kern w:val="2"/>
          <w:sz w:val="32"/>
          <w:szCs w:val="32"/>
          <w:highlight w:val="none"/>
          <w:lang w:val="en-US" w:eastAsia="zh-CN" w:bidi="ar"/>
        </w:rPr>
      </w:pPr>
      <w:r>
        <w:rPr>
          <w:rFonts w:hint="default" w:ascii="Times New Roman" w:hAnsi="Times New Roman" w:eastAsia="黑体" w:cs="Times New Roman"/>
          <w:color w:val="auto"/>
          <w:kern w:val="2"/>
          <w:sz w:val="32"/>
          <w:szCs w:val="32"/>
          <w:highlight w:val="none"/>
          <w:lang w:val="en-US" w:eastAsia="zh-CN" w:bidi="ar"/>
        </w:rPr>
        <w:t>一、项目概况</w:t>
      </w:r>
    </w:p>
    <w:p>
      <w:pPr>
        <w:keepNext w:val="0"/>
        <w:keepLines w:val="0"/>
        <w:pageBreakBefore w:val="0"/>
        <w:kinsoku/>
        <w:wordWrap/>
        <w:overflowPunct/>
        <w:topLinePunct w:val="0"/>
        <w:autoSpaceDE/>
        <w:autoSpaceDN/>
        <w:bidi w:val="0"/>
        <w:adjustRightInd/>
        <w:snapToGrid/>
        <w:spacing w:beforeLines="0" w:afterLines="0" w:line="540" w:lineRule="exact"/>
        <w:ind w:left="0" w:leftChars="0" w:right="0" w:rightChars="0" w:firstLine="640" w:firstLineChars="200"/>
        <w:textAlignment w:val="auto"/>
        <w:outlineLvl w:val="9"/>
        <w:rPr>
          <w:rFonts w:hint="default" w:ascii="Times New Roman" w:hAnsi="Times New Roman" w:eastAsia="楷体_GB2312" w:cs="Times New Roman"/>
          <w:b/>
          <w:bCs/>
          <w:color w:val="auto"/>
          <w:kern w:val="2"/>
          <w:sz w:val="32"/>
          <w:szCs w:val="32"/>
          <w:highlight w:val="none"/>
          <w:lang w:val="en-US" w:eastAsia="zh-CN" w:bidi="ar"/>
        </w:rPr>
      </w:pPr>
      <w:r>
        <w:rPr>
          <w:rFonts w:hint="default" w:ascii="Times New Roman" w:hAnsi="Times New Roman" w:eastAsia="楷体_GB2312" w:cs="Times New Roman"/>
          <w:b/>
          <w:bCs/>
          <w:color w:val="auto"/>
          <w:kern w:val="2"/>
          <w:sz w:val="32"/>
          <w:szCs w:val="32"/>
          <w:highlight w:val="none"/>
          <w:lang w:val="en-US" w:eastAsia="zh-CN" w:bidi="ar"/>
        </w:rPr>
        <w:t>（一）项目基本情况</w:t>
      </w:r>
    </w:p>
    <w:p>
      <w:pPr>
        <w:pageBreakBefore w:val="0"/>
        <w:numPr>
          <w:ilvl w:val="0"/>
          <w:numId w:val="0"/>
        </w:numPr>
        <w:kinsoku/>
        <w:wordWrap/>
        <w:overflowPunct/>
        <w:topLinePunct w:val="0"/>
        <w:bidi w:val="0"/>
        <w:spacing w:line="54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按照省政府《关于印发四川省深化“放管服”改革优化营商环境行动计划（2019—2020年）的通知》中“综合运用第三方评估等多种方式对各地各部门（单位）深化“放管服”改革和优化营商环境工作推进情况进行考评”和省政府办公厅《关于印发四川省深化“放管服”改革优化营商环境2019年工作要点的通知》中“开展全省营商环境评价”的工作部署，我委组织开展2019年四川省营商环境评价。</w:t>
      </w:r>
      <w:r>
        <w:rPr>
          <w:rFonts w:hint="default" w:ascii="Times New Roman" w:hAnsi="Times New Roman" w:cs="Times New Roman"/>
          <w:color w:val="auto"/>
          <w:highlight w:val="none"/>
          <w:lang w:val="en-US" w:eastAsia="zh-CN"/>
        </w:rPr>
        <w:t xml:space="preserve"> </w:t>
      </w:r>
      <w:r>
        <w:rPr>
          <w:rFonts w:hint="default" w:ascii="Times New Roman" w:hAnsi="Times New Roman" w:eastAsia="仿宋_GB2312" w:cs="Times New Roman"/>
          <w:color w:val="auto"/>
          <w:sz w:val="32"/>
          <w:szCs w:val="32"/>
          <w:highlight w:val="none"/>
          <w:lang w:val="en-US" w:eastAsia="zh-CN"/>
        </w:rPr>
        <w:t>2019年四川省营商环境评价经费预算350万元，实际支付240.44万元，预算执行68.7%。</w:t>
      </w:r>
    </w:p>
    <w:p>
      <w:pPr>
        <w:keepNext w:val="0"/>
        <w:keepLines w:val="0"/>
        <w:pageBreakBefore w:val="0"/>
        <w:numPr>
          <w:ilvl w:val="0"/>
          <w:numId w:val="3"/>
        </w:numPr>
        <w:kinsoku/>
        <w:wordWrap/>
        <w:overflowPunct/>
        <w:topLinePunct w:val="0"/>
        <w:autoSpaceDE/>
        <w:autoSpaceDN/>
        <w:bidi w:val="0"/>
        <w:adjustRightInd/>
        <w:snapToGrid/>
        <w:spacing w:beforeLines="0" w:afterLines="0" w:line="540" w:lineRule="exact"/>
        <w:ind w:left="0" w:leftChars="0" w:right="0" w:rightChars="0" w:firstLine="640" w:firstLineChars="200"/>
        <w:textAlignment w:val="auto"/>
        <w:outlineLvl w:val="9"/>
        <w:rPr>
          <w:rFonts w:hint="default" w:ascii="Times New Roman" w:hAnsi="Times New Roman" w:eastAsia="楷体_GB2312" w:cs="Times New Roman"/>
          <w:b/>
          <w:bCs/>
          <w:color w:val="auto"/>
          <w:kern w:val="2"/>
          <w:sz w:val="32"/>
          <w:szCs w:val="32"/>
          <w:highlight w:val="none"/>
          <w:lang w:val="en-US" w:eastAsia="zh-CN" w:bidi="ar"/>
        </w:rPr>
      </w:pPr>
      <w:r>
        <w:rPr>
          <w:rFonts w:hint="default" w:ascii="Times New Roman" w:hAnsi="Times New Roman" w:eastAsia="楷体_GB2312" w:cs="Times New Roman"/>
          <w:b/>
          <w:bCs/>
          <w:color w:val="auto"/>
          <w:kern w:val="2"/>
          <w:sz w:val="32"/>
          <w:szCs w:val="32"/>
          <w:highlight w:val="none"/>
          <w:lang w:val="en-US" w:eastAsia="zh-CN" w:bidi="ar"/>
        </w:rPr>
        <w:t>项目绩效目标</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本次评价是对全省营商环境现状进行综合分析，对各市（州）进行综合排名和单项排名，形成《四川省营商环境评价报告（2019年度）》《四川省营商环境评价报告—民营经济发展报告》《2019年市（州）营商环境评价报告》，评价结果作为各地“营商便利度”的考核依据和营商环境指标提升专项行动成效的评估依据，为各地各有关部门（单位）对标整改、优化提升提供重要参考。</w:t>
      </w:r>
    </w:p>
    <w:p>
      <w:pPr>
        <w:pageBreakBefore w:val="0"/>
        <w:numPr>
          <w:ilvl w:val="0"/>
          <w:numId w:val="0"/>
        </w:numPr>
        <w:kinsoku/>
        <w:wordWrap/>
        <w:overflowPunct/>
        <w:topLinePunct w:val="0"/>
        <w:bidi w:val="0"/>
        <w:spacing w:line="54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四川省营商环境评价报告（2019年度）》《四川省营商环境评价报告—民营经济发展报告》《2019年市（州）营商环境评价报告》，应对全省营商环境的总体现状进行综合分析，同时对县域营商环境总体现状进行综合分析，梳理总结评价中发现的首创经验和典型做法，并总结共性问题，对标国际国内先进实践，提出针对性举措建议，提供可编辑的纸质版本及电子版本。</w:t>
      </w:r>
    </w:p>
    <w:p>
      <w:pPr>
        <w:keepNext w:val="0"/>
        <w:keepLines w:val="0"/>
        <w:pageBreakBefore w:val="0"/>
        <w:numPr>
          <w:ilvl w:val="0"/>
          <w:numId w:val="3"/>
        </w:numPr>
        <w:kinsoku/>
        <w:wordWrap/>
        <w:overflowPunct/>
        <w:topLinePunct w:val="0"/>
        <w:autoSpaceDE/>
        <w:autoSpaceDN/>
        <w:bidi w:val="0"/>
        <w:adjustRightInd/>
        <w:snapToGrid/>
        <w:spacing w:beforeLines="0" w:afterLines="0" w:line="540" w:lineRule="exact"/>
        <w:ind w:left="0" w:leftChars="0" w:right="0" w:rightChars="0" w:firstLine="640" w:firstLineChars="200"/>
        <w:textAlignment w:val="auto"/>
        <w:outlineLvl w:val="9"/>
        <w:rPr>
          <w:rFonts w:hint="default" w:ascii="Times New Roman" w:hAnsi="Times New Roman" w:eastAsia="楷体_GB2312" w:cs="Times New Roman"/>
          <w:b/>
          <w:bCs/>
          <w:color w:val="auto"/>
          <w:kern w:val="2"/>
          <w:sz w:val="32"/>
          <w:szCs w:val="32"/>
          <w:highlight w:val="none"/>
          <w:lang w:val="en" w:eastAsia="zh-CN" w:bidi="ar"/>
        </w:rPr>
      </w:pPr>
      <w:r>
        <w:rPr>
          <w:rFonts w:hint="default" w:ascii="Times New Roman" w:hAnsi="Times New Roman" w:eastAsia="楷体_GB2312" w:cs="Times New Roman"/>
          <w:b/>
          <w:bCs/>
          <w:color w:val="auto"/>
          <w:kern w:val="2"/>
          <w:sz w:val="32"/>
          <w:szCs w:val="32"/>
          <w:highlight w:val="none"/>
          <w:lang w:val="en-US" w:eastAsia="zh-CN" w:bidi="ar"/>
        </w:rPr>
        <w:t>项目实施及管理情况</w:t>
      </w:r>
    </w:p>
    <w:p>
      <w:pPr>
        <w:pageBreakBefore w:val="0"/>
        <w:numPr>
          <w:ilvl w:val="0"/>
          <w:numId w:val="0"/>
        </w:numPr>
        <w:kinsoku/>
        <w:wordWrap/>
        <w:overflowPunct/>
        <w:topLinePunct w:val="0"/>
        <w:bidi w:val="0"/>
        <w:spacing w:line="54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本次评价工作经省发展改革委周密部署，于2019年7月启动准备工作，共历时近4个月时间对世界银行、国家发展改革委等营商环境评价指标体系进行分析梳理，结合成都参与2019中国营商环境评价经验，组织高等院校、专业机构等多方专家对评价方法论进行打磨修订。2019年12月，按照《政府采购法》及其实施细则要求，通过公开竞争性磋商确定第三方评价机构后，评价工作赓即启动，按照工作方案，历经一个半月</w:t>
      </w:r>
      <w:r>
        <w:rPr>
          <w:rFonts w:hint="eastAsia" w:eastAsia="仿宋_GB2312" w:cs="Times New Roman"/>
          <w:color w:val="auto"/>
          <w:sz w:val="32"/>
          <w:szCs w:val="32"/>
          <w:highlight w:val="none"/>
          <w:lang w:val="en-US" w:eastAsia="zh-CN"/>
        </w:rPr>
        <w:t>时间</w:t>
      </w:r>
      <w:r>
        <w:rPr>
          <w:rFonts w:hint="default" w:ascii="Times New Roman" w:hAnsi="Times New Roman" w:eastAsia="仿宋_GB2312" w:cs="Times New Roman"/>
          <w:color w:val="auto"/>
          <w:sz w:val="32"/>
          <w:szCs w:val="32"/>
          <w:highlight w:val="none"/>
          <w:lang w:val="en-US" w:eastAsia="zh-CN"/>
        </w:rPr>
        <w:t>完成指引释疑、问卷调查、信息采集、远程佐证资料检查、信息二次确认、现场核验、综合测评和报告撰写等工作，形成《四川省营商环境评价报告（2019年度）》《四川省营商环境评价报告—民营经济发展报告》《2019年市（州）营商环境评价报告》。</w:t>
      </w:r>
    </w:p>
    <w:p>
      <w:pPr>
        <w:pageBreakBefore w:val="0"/>
        <w:numPr>
          <w:ilvl w:val="0"/>
          <w:numId w:val="4"/>
        </w:numPr>
        <w:kinsoku/>
        <w:wordWrap/>
        <w:overflowPunct/>
        <w:topLinePunct w:val="0"/>
        <w:bidi w:val="0"/>
        <w:spacing w:line="540" w:lineRule="exact"/>
        <w:ind w:firstLine="640" w:firstLineChars="200"/>
        <w:rPr>
          <w:rFonts w:hint="default" w:ascii="Times New Roman" w:hAnsi="Times New Roman" w:eastAsia="黑体" w:cs="Times New Roman"/>
          <w:color w:val="auto"/>
          <w:kern w:val="2"/>
          <w:sz w:val="32"/>
          <w:szCs w:val="32"/>
          <w:highlight w:val="none"/>
          <w:lang w:val="en-US" w:eastAsia="zh-CN" w:bidi="ar"/>
        </w:rPr>
      </w:pPr>
      <w:r>
        <w:rPr>
          <w:rFonts w:hint="default" w:ascii="Times New Roman" w:hAnsi="Times New Roman" w:eastAsia="黑体" w:cs="Times New Roman"/>
          <w:color w:val="auto"/>
          <w:kern w:val="2"/>
          <w:sz w:val="32"/>
          <w:szCs w:val="32"/>
          <w:highlight w:val="none"/>
          <w:lang w:val="en-US" w:eastAsia="zh-CN" w:bidi="ar"/>
        </w:rPr>
        <w:t>项目绩效情况</w:t>
      </w:r>
    </w:p>
    <w:p>
      <w:pPr>
        <w:pageBreakBefore w:val="0"/>
        <w:numPr>
          <w:ilvl w:val="0"/>
          <w:numId w:val="0"/>
        </w:numPr>
        <w:kinsoku/>
        <w:wordWrap/>
        <w:overflowPunct/>
        <w:topLinePunct w:val="0"/>
        <w:bidi w:val="0"/>
        <w:spacing w:line="54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2020年3月，评价报告上报省政府，获得省主要领导肯定。评价结果供各地各部门学习研究，为优化营商环境提供决策依据。</w:t>
      </w:r>
    </w:p>
    <w:p>
      <w:pPr>
        <w:pageBreakBefore w:val="0"/>
        <w:numPr>
          <w:ilvl w:val="0"/>
          <w:numId w:val="0"/>
        </w:numPr>
        <w:kinsoku/>
        <w:wordWrap/>
        <w:overflowPunct/>
        <w:topLinePunct w:val="0"/>
        <w:bidi w:val="0"/>
        <w:spacing w:line="54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报告从评价背景，评价方法到评价结果等角度科学、客观地呈现了本次四川省营商环境评价工作的全过程与结果输出，总结提炼了评价中发现的首创经验和具备复制推广价值的典型做法，明确了全省营商环境进阶提升的短板制约所在，并以问题和目标为导向提出了针对性改进建议。评价成果为我省制定《四川省2020年营商环境指标提升方案》提供了强有力的数据和理论支撑，各地各部门借鉴学习评价梳理总结的典型案例，细化提升方案，形成竞相推进改革的生动局面。</w:t>
      </w:r>
    </w:p>
    <w:p>
      <w:pPr>
        <w:pStyle w:val="37"/>
        <w:pageBreakBefore w:val="0"/>
        <w:numPr>
          <w:ilvl w:val="0"/>
          <w:numId w:val="4"/>
        </w:numPr>
        <w:kinsoku/>
        <w:wordWrap/>
        <w:overflowPunct/>
        <w:topLinePunct w:val="0"/>
        <w:bidi w:val="0"/>
        <w:spacing w:line="540" w:lineRule="exact"/>
        <w:ind w:left="0" w:leftChars="0" w:firstLine="640" w:firstLineChars="200"/>
        <w:rPr>
          <w:rFonts w:hint="default" w:ascii="Times New Roman" w:hAnsi="Times New Roman" w:eastAsia="黑体" w:cs="Times New Roman"/>
          <w:color w:val="auto"/>
          <w:kern w:val="2"/>
          <w:sz w:val="32"/>
          <w:szCs w:val="32"/>
          <w:highlight w:val="none"/>
          <w:lang w:val="en-US" w:eastAsia="zh-CN" w:bidi="ar"/>
        </w:rPr>
      </w:pPr>
      <w:r>
        <w:rPr>
          <w:rFonts w:hint="default" w:ascii="Times New Roman" w:hAnsi="Times New Roman" w:eastAsia="黑体" w:cs="Times New Roman"/>
          <w:color w:val="auto"/>
          <w:kern w:val="2"/>
          <w:sz w:val="32"/>
          <w:szCs w:val="32"/>
          <w:highlight w:val="none"/>
          <w:lang w:val="en-US" w:eastAsia="zh-CN" w:bidi="ar"/>
        </w:rPr>
        <w:t>绩效评价分析</w:t>
      </w:r>
    </w:p>
    <w:p>
      <w:pPr>
        <w:pStyle w:val="37"/>
        <w:pageBreakBefore w:val="0"/>
        <w:numPr>
          <w:ilvl w:val="0"/>
          <w:numId w:val="0"/>
        </w:numPr>
        <w:kinsoku/>
        <w:wordWrap/>
        <w:overflowPunct/>
        <w:topLinePunct w:val="0"/>
        <w:bidi w:val="0"/>
        <w:spacing w:line="540" w:lineRule="exact"/>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黑体" w:cs="Times New Roman"/>
          <w:color w:val="auto"/>
          <w:kern w:val="2"/>
          <w:sz w:val="32"/>
          <w:szCs w:val="32"/>
          <w:highlight w:val="none"/>
          <w:lang w:val="en-US" w:eastAsia="zh-CN" w:bidi="ar"/>
        </w:rPr>
        <w:t xml:space="preserve">   </w:t>
      </w:r>
      <w:r>
        <w:rPr>
          <w:rFonts w:hint="default" w:ascii="Times New Roman" w:hAnsi="Times New Roman" w:eastAsia="仿宋_GB2312" w:cs="Times New Roman"/>
          <w:color w:val="auto"/>
          <w:kern w:val="2"/>
          <w:sz w:val="32"/>
          <w:szCs w:val="32"/>
          <w:highlight w:val="none"/>
          <w:lang w:val="en-US" w:eastAsia="zh-CN" w:bidi="ar-SA"/>
        </w:rPr>
        <w:t xml:space="preserve"> </w:t>
      </w:r>
      <w:r>
        <w:rPr>
          <w:rFonts w:hint="default" w:ascii="Times New Roman" w:hAnsi="Times New Roman" w:eastAsia="仿宋_GB2312" w:cs="Times New Roman"/>
          <w:color w:val="auto"/>
          <w:kern w:val="2"/>
          <w:sz w:val="32"/>
          <w:szCs w:val="32"/>
          <w:highlight w:val="none"/>
          <w:lang w:val="en" w:eastAsia="zh-CN" w:bidi="ar-SA"/>
        </w:rPr>
        <w:t>本项目决策科学合理，实施规范有序，圆满完成了项目的预定目标。对比相关省份营商环境第三方评价情况，我省评价使用的财政资金最少。本项目的实施，能够帮助各地更加准确地了解自身的营商环境现状，有利于地方更加准确地查找影响办事创业的政策难点、执行堵点、监管盲点和服务痛点，对标国际国内先进水平，因地制宜、因城施策，出台更有针对性的改革举措，不断优化营商环境，增强城市竞争力、激发社会创造力。</w:t>
      </w:r>
    </w:p>
    <w:p>
      <w:pPr>
        <w:pStyle w:val="37"/>
        <w:pageBreakBefore w:val="0"/>
        <w:numPr>
          <w:ilvl w:val="0"/>
          <w:numId w:val="4"/>
        </w:numPr>
        <w:kinsoku/>
        <w:wordWrap/>
        <w:overflowPunct/>
        <w:topLinePunct w:val="0"/>
        <w:bidi w:val="0"/>
        <w:spacing w:line="540" w:lineRule="exact"/>
        <w:ind w:left="0" w:leftChars="0" w:firstLine="640" w:firstLineChars="200"/>
        <w:rPr>
          <w:rFonts w:hint="default" w:ascii="Times New Roman" w:hAnsi="Times New Roman" w:eastAsia="黑体" w:cs="Times New Roman"/>
          <w:color w:val="auto"/>
          <w:kern w:val="2"/>
          <w:sz w:val="32"/>
          <w:szCs w:val="32"/>
          <w:highlight w:val="none"/>
          <w:lang w:val="en-US" w:eastAsia="zh-CN" w:bidi="ar"/>
        </w:rPr>
      </w:pPr>
      <w:r>
        <w:rPr>
          <w:rFonts w:hint="default" w:ascii="Times New Roman" w:hAnsi="Times New Roman" w:eastAsia="黑体" w:cs="Times New Roman"/>
          <w:color w:val="auto"/>
          <w:kern w:val="2"/>
          <w:sz w:val="32"/>
          <w:szCs w:val="32"/>
          <w:highlight w:val="none"/>
          <w:lang w:val="en-US" w:eastAsia="zh-CN" w:bidi="ar"/>
        </w:rPr>
        <w:t>存在主要问题</w:t>
      </w:r>
    </w:p>
    <w:p>
      <w:pPr>
        <w:pStyle w:val="37"/>
        <w:pageBreakBefore w:val="0"/>
        <w:numPr>
          <w:ilvl w:val="0"/>
          <w:numId w:val="0"/>
        </w:numPr>
        <w:kinsoku/>
        <w:wordWrap/>
        <w:overflowPunct/>
        <w:topLinePunct w:val="0"/>
        <w:bidi w:val="0"/>
        <w:spacing w:line="540" w:lineRule="exact"/>
        <w:ind w:firstLine="640" w:firstLineChars="200"/>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无</w:t>
      </w:r>
    </w:p>
    <w:p>
      <w:pPr>
        <w:pStyle w:val="37"/>
        <w:pageBreakBefore w:val="0"/>
        <w:numPr>
          <w:ilvl w:val="0"/>
          <w:numId w:val="4"/>
        </w:numPr>
        <w:kinsoku/>
        <w:wordWrap/>
        <w:overflowPunct/>
        <w:topLinePunct w:val="0"/>
        <w:bidi w:val="0"/>
        <w:spacing w:line="540" w:lineRule="exact"/>
        <w:ind w:left="0" w:leftChars="0" w:firstLine="640" w:firstLineChars="200"/>
        <w:rPr>
          <w:rFonts w:hint="default" w:ascii="Times New Roman" w:hAnsi="Times New Roman" w:eastAsia="黑体" w:cs="Times New Roman"/>
          <w:color w:val="auto"/>
          <w:kern w:val="2"/>
          <w:sz w:val="32"/>
          <w:szCs w:val="32"/>
          <w:highlight w:val="none"/>
          <w:lang w:val="en-US" w:eastAsia="zh-CN" w:bidi="ar"/>
        </w:rPr>
      </w:pPr>
      <w:r>
        <w:rPr>
          <w:rFonts w:hint="default" w:ascii="Times New Roman" w:hAnsi="Times New Roman" w:eastAsia="黑体" w:cs="Times New Roman"/>
          <w:color w:val="auto"/>
          <w:kern w:val="2"/>
          <w:sz w:val="32"/>
          <w:szCs w:val="32"/>
          <w:highlight w:val="none"/>
          <w:lang w:val="en-US" w:eastAsia="zh-CN" w:bidi="ar"/>
        </w:rPr>
        <w:t>相关措施建议</w:t>
      </w:r>
    </w:p>
    <w:p>
      <w:pPr>
        <w:pStyle w:val="37"/>
        <w:pageBreakBefore w:val="0"/>
        <w:numPr>
          <w:ilvl w:val="0"/>
          <w:numId w:val="0"/>
        </w:numPr>
        <w:kinsoku/>
        <w:wordWrap/>
        <w:overflowPunct/>
        <w:topLinePunct w:val="0"/>
        <w:bidi w:val="0"/>
        <w:spacing w:line="540" w:lineRule="exact"/>
        <w:ind w:firstLine="640" w:firstLineChars="200"/>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无</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outlineLvl w:val="9"/>
        <w:rPr>
          <w:rFonts w:hint="default" w:ascii="Times New Roman" w:hAnsi="Times New Roman" w:eastAsia="方正小标宋简体" w:cs="Times New Roman"/>
          <w:b w:val="0"/>
          <w:bCs w:val="0"/>
          <w:color w:val="auto"/>
          <w:sz w:val="32"/>
          <w:szCs w:val="32"/>
          <w:highlight w:val="none"/>
          <w:lang w:val="en-US" w:eastAsia="zh-CN"/>
        </w:rPr>
      </w:pPr>
      <w:r>
        <w:rPr>
          <w:rFonts w:hint="default" w:ascii="Times New Roman" w:hAnsi="Times New Roman" w:eastAsia="方正小标宋简体" w:cs="Times New Roman"/>
          <w:b w:val="0"/>
          <w:bCs w:val="0"/>
          <w:color w:val="auto"/>
          <w:sz w:val="32"/>
          <w:szCs w:val="32"/>
          <w:highlight w:val="none"/>
          <w:lang w:val="en-US" w:eastAsia="zh-CN"/>
        </w:rPr>
        <w:t>四川省营商环境第三方评价专项经费（上年结转）项目</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outlineLvl w:val="9"/>
        <w:rPr>
          <w:rFonts w:hint="default" w:ascii="Times New Roman" w:hAnsi="Times New Roman" w:eastAsia="方正小标宋简体" w:cs="Times New Roman"/>
          <w:color w:val="auto"/>
          <w:sz w:val="32"/>
          <w:szCs w:val="32"/>
          <w:highlight w:val="none"/>
          <w:lang w:val="en-US" w:eastAsia="zh-CN"/>
        </w:rPr>
      </w:pPr>
      <w:r>
        <w:rPr>
          <w:rFonts w:hint="default" w:ascii="Times New Roman" w:hAnsi="Times New Roman" w:eastAsia="方正小标宋简体" w:cs="Times New Roman"/>
          <w:color w:val="auto"/>
          <w:sz w:val="32"/>
          <w:szCs w:val="32"/>
          <w:highlight w:val="none"/>
          <w:lang w:val="en-US" w:eastAsia="zh-CN"/>
        </w:rPr>
        <w:t>支出绩效自评表</w:t>
      </w:r>
    </w:p>
    <w:tbl>
      <w:tblPr>
        <w:tblStyle w:val="29"/>
        <w:tblpPr w:leftFromText="180" w:rightFromText="180" w:vertAnchor="text" w:horzAnchor="page" w:tblpX="1428" w:tblpY="404"/>
        <w:tblOverlap w:val="never"/>
        <w:tblW w:w="96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80"/>
        <w:gridCol w:w="1980"/>
        <w:gridCol w:w="3960"/>
        <w:gridCol w:w="1089"/>
        <w:gridCol w:w="1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0"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b/>
                <w:bCs/>
                <w:i w:val="0"/>
                <w:color w:val="auto"/>
                <w:sz w:val="20"/>
                <w:szCs w:val="20"/>
                <w:highlight w:val="none"/>
                <w:u w:val="none"/>
              </w:rPr>
            </w:pPr>
            <w:r>
              <w:rPr>
                <w:rFonts w:hint="default" w:ascii="Times New Roman" w:hAnsi="Times New Roman" w:eastAsia="宋体" w:cs="Times New Roman"/>
                <w:b/>
                <w:bCs/>
                <w:i w:val="0"/>
                <w:color w:val="auto"/>
                <w:kern w:val="0"/>
                <w:sz w:val="20"/>
                <w:szCs w:val="20"/>
                <w:highlight w:val="none"/>
                <w:u w:val="none"/>
                <w:lang w:val="en-US" w:eastAsia="zh-CN" w:bidi="ar"/>
              </w:rPr>
              <w:t>一级指标</w:t>
            </w:r>
          </w:p>
        </w:tc>
        <w:tc>
          <w:tcPr>
            <w:tcW w:w="19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b/>
                <w:bCs/>
                <w:i w:val="0"/>
                <w:color w:val="auto"/>
                <w:sz w:val="20"/>
                <w:szCs w:val="20"/>
                <w:highlight w:val="none"/>
                <w:u w:val="none"/>
              </w:rPr>
            </w:pPr>
            <w:r>
              <w:rPr>
                <w:rFonts w:hint="default" w:ascii="Times New Roman" w:hAnsi="Times New Roman" w:eastAsia="宋体" w:cs="Times New Roman"/>
                <w:b/>
                <w:bCs/>
                <w:i w:val="0"/>
                <w:color w:val="auto"/>
                <w:kern w:val="0"/>
                <w:sz w:val="20"/>
                <w:szCs w:val="20"/>
                <w:highlight w:val="none"/>
                <w:u w:val="none"/>
                <w:lang w:val="en-US" w:eastAsia="zh-CN" w:bidi="ar"/>
              </w:rPr>
              <w:t>二级指标</w:t>
            </w:r>
          </w:p>
        </w:tc>
        <w:tc>
          <w:tcPr>
            <w:tcW w:w="3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b/>
                <w:bCs/>
                <w:i w:val="0"/>
                <w:color w:val="auto"/>
                <w:sz w:val="20"/>
                <w:szCs w:val="20"/>
                <w:highlight w:val="none"/>
                <w:u w:val="none"/>
              </w:rPr>
            </w:pPr>
            <w:r>
              <w:rPr>
                <w:rFonts w:hint="default" w:ascii="Times New Roman" w:hAnsi="Times New Roman" w:eastAsia="宋体" w:cs="Times New Roman"/>
                <w:b/>
                <w:bCs/>
                <w:i w:val="0"/>
                <w:color w:val="auto"/>
                <w:kern w:val="0"/>
                <w:sz w:val="20"/>
                <w:szCs w:val="20"/>
                <w:highlight w:val="none"/>
                <w:u w:val="none"/>
                <w:lang w:val="en-US" w:eastAsia="zh-CN" w:bidi="ar"/>
              </w:rPr>
              <w:t>三级指标</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b/>
                <w:bCs/>
                <w:i w:val="0"/>
                <w:color w:val="auto"/>
                <w:sz w:val="20"/>
                <w:szCs w:val="20"/>
                <w:highlight w:val="none"/>
                <w:u w:val="none"/>
              </w:rPr>
            </w:pPr>
            <w:r>
              <w:rPr>
                <w:rFonts w:hint="default" w:ascii="Times New Roman" w:hAnsi="Times New Roman" w:eastAsia="宋体" w:cs="Times New Roman"/>
                <w:b/>
                <w:bCs/>
                <w:i w:val="0"/>
                <w:color w:val="auto"/>
                <w:kern w:val="0"/>
                <w:sz w:val="20"/>
                <w:szCs w:val="20"/>
                <w:highlight w:val="none"/>
                <w:u w:val="none"/>
                <w:lang w:val="en-US" w:eastAsia="zh-CN" w:bidi="ar"/>
              </w:rPr>
              <w:t>分值</w:t>
            </w:r>
          </w:p>
        </w:tc>
        <w:tc>
          <w:tcPr>
            <w:tcW w:w="1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b/>
                <w:bCs/>
                <w:i w:val="0"/>
                <w:color w:val="auto"/>
                <w:sz w:val="20"/>
                <w:szCs w:val="20"/>
                <w:highlight w:val="none"/>
                <w:u w:val="none"/>
              </w:rPr>
            </w:pPr>
            <w:r>
              <w:rPr>
                <w:rFonts w:hint="default" w:ascii="Times New Roman" w:hAnsi="Times New Roman" w:eastAsia="宋体" w:cs="Times New Roman"/>
                <w:b/>
                <w:bCs/>
                <w:i w:val="0"/>
                <w:color w:val="auto"/>
                <w:kern w:val="0"/>
                <w:sz w:val="20"/>
                <w:szCs w:val="20"/>
                <w:highlight w:val="none"/>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5" w:hRule="atLeast"/>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b/>
                <w:bCs/>
                <w:i w:val="0"/>
                <w:color w:val="auto"/>
                <w:sz w:val="20"/>
                <w:szCs w:val="20"/>
                <w:highlight w:val="none"/>
                <w:u w:val="none"/>
              </w:rPr>
            </w:pPr>
            <w:r>
              <w:rPr>
                <w:rFonts w:hint="default" w:ascii="Times New Roman" w:hAnsi="Times New Roman" w:eastAsia="宋体" w:cs="Times New Roman"/>
                <w:b/>
                <w:bCs/>
                <w:i w:val="0"/>
                <w:color w:val="auto"/>
                <w:kern w:val="0"/>
                <w:sz w:val="20"/>
                <w:szCs w:val="20"/>
                <w:highlight w:val="none"/>
                <w:u w:val="none"/>
                <w:lang w:val="en-US" w:eastAsia="zh-CN" w:bidi="ar"/>
              </w:rPr>
              <w:t>管理</w:t>
            </w:r>
            <w:r>
              <w:rPr>
                <w:rFonts w:hint="default" w:ascii="Times New Roman" w:hAnsi="Times New Roman" w:eastAsia="宋体" w:cs="Times New Roman"/>
                <w:b/>
                <w:bCs/>
                <w:i w:val="0"/>
                <w:color w:val="auto"/>
                <w:kern w:val="0"/>
                <w:sz w:val="20"/>
                <w:szCs w:val="20"/>
                <w:highlight w:val="none"/>
                <w:u w:val="none"/>
                <w:lang w:val="en-US" w:eastAsia="zh-CN" w:bidi="ar"/>
              </w:rPr>
              <w:br w:type="textWrapping"/>
            </w:r>
            <w:r>
              <w:rPr>
                <w:rFonts w:hint="default" w:ascii="Times New Roman" w:hAnsi="Times New Roman" w:eastAsia="宋体" w:cs="Times New Roman"/>
                <w:b/>
                <w:bCs/>
                <w:i w:val="0"/>
                <w:color w:val="auto"/>
                <w:kern w:val="0"/>
                <w:sz w:val="20"/>
                <w:szCs w:val="20"/>
                <w:highlight w:val="none"/>
                <w:u w:val="none"/>
                <w:lang w:val="en-US" w:eastAsia="zh-CN" w:bidi="ar"/>
              </w:rPr>
              <w:t>指标</w:t>
            </w:r>
          </w:p>
        </w:tc>
        <w:tc>
          <w:tcPr>
            <w:tcW w:w="19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项目管理指标</w:t>
            </w:r>
          </w:p>
        </w:tc>
        <w:tc>
          <w:tcPr>
            <w:tcW w:w="3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加强统筹管理</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10</w:t>
            </w:r>
            <w:r>
              <w:rPr>
                <w:rStyle w:val="60"/>
                <w:rFonts w:hint="default" w:ascii="Times New Roman" w:hAnsi="Times New Roman" w:eastAsia="宋体" w:cs="Times New Roman"/>
                <w:color w:val="auto"/>
                <w:sz w:val="20"/>
                <w:szCs w:val="20"/>
                <w:highlight w:val="none"/>
                <w:lang w:val="en-US" w:eastAsia="zh-CN" w:bidi="ar"/>
              </w:rPr>
              <w:t>分</w:t>
            </w:r>
          </w:p>
        </w:tc>
        <w:tc>
          <w:tcPr>
            <w:tcW w:w="1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10</w:t>
            </w:r>
            <w:r>
              <w:rPr>
                <w:rStyle w:val="60"/>
                <w:rFonts w:hint="default" w:ascii="Times New Roman" w:hAnsi="Times New Roman" w:eastAsia="宋体" w:cs="Times New Roman"/>
                <w:color w:val="auto"/>
                <w:sz w:val="20"/>
                <w:szCs w:val="20"/>
                <w:highlight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240" w:lineRule="auto"/>
              <w:ind w:left="0" w:leftChars="0" w:right="0" w:rightChars="0"/>
              <w:jc w:val="center"/>
              <w:outlineLvl w:val="9"/>
              <w:rPr>
                <w:rFonts w:hint="default" w:ascii="Times New Roman" w:hAnsi="Times New Roman" w:eastAsia="宋体" w:cs="Times New Roman"/>
                <w:b/>
                <w:bCs/>
                <w:i w:val="0"/>
                <w:color w:val="auto"/>
                <w:sz w:val="20"/>
                <w:szCs w:val="20"/>
                <w:highlight w:val="none"/>
                <w:u w:val="none"/>
              </w:rPr>
            </w:pPr>
          </w:p>
        </w:tc>
        <w:tc>
          <w:tcPr>
            <w:tcW w:w="19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资金管理指标</w:t>
            </w:r>
          </w:p>
        </w:tc>
        <w:tc>
          <w:tcPr>
            <w:tcW w:w="3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资金及时拨付到位</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10</w:t>
            </w:r>
            <w:r>
              <w:rPr>
                <w:rStyle w:val="60"/>
                <w:rFonts w:hint="default" w:ascii="Times New Roman" w:hAnsi="Times New Roman" w:eastAsia="宋体" w:cs="Times New Roman"/>
                <w:color w:val="auto"/>
                <w:sz w:val="20"/>
                <w:szCs w:val="20"/>
                <w:highlight w:val="none"/>
                <w:lang w:val="en-US" w:eastAsia="zh-CN" w:bidi="ar"/>
              </w:rPr>
              <w:t>分</w:t>
            </w:r>
          </w:p>
        </w:tc>
        <w:tc>
          <w:tcPr>
            <w:tcW w:w="1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10</w:t>
            </w:r>
            <w:r>
              <w:rPr>
                <w:rStyle w:val="61"/>
                <w:rFonts w:hint="default" w:ascii="Times New Roman" w:hAnsi="Times New Roman" w:eastAsia="宋体" w:cs="Times New Roman"/>
                <w:color w:val="auto"/>
                <w:sz w:val="20"/>
                <w:szCs w:val="20"/>
                <w:highlight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b/>
                <w:bCs/>
                <w:i w:val="0"/>
                <w:color w:val="auto"/>
                <w:sz w:val="20"/>
                <w:szCs w:val="20"/>
                <w:highlight w:val="none"/>
                <w:u w:val="none"/>
              </w:rPr>
            </w:pPr>
            <w:r>
              <w:rPr>
                <w:rFonts w:hint="default" w:ascii="Times New Roman" w:hAnsi="Times New Roman" w:eastAsia="宋体" w:cs="Times New Roman"/>
                <w:b/>
                <w:bCs/>
                <w:i w:val="0"/>
                <w:color w:val="auto"/>
                <w:kern w:val="0"/>
                <w:sz w:val="20"/>
                <w:szCs w:val="20"/>
                <w:highlight w:val="none"/>
                <w:u w:val="none"/>
                <w:lang w:val="en-US" w:eastAsia="zh-CN" w:bidi="ar"/>
              </w:rPr>
              <w:t>完</w:t>
            </w:r>
            <w:r>
              <w:rPr>
                <w:rFonts w:hint="default" w:ascii="Times New Roman" w:hAnsi="Times New Roman" w:eastAsia="宋体" w:cs="Times New Roman"/>
                <w:b/>
                <w:bCs/>
                <w:i w:val="0"/>
                <w:color w:val="auto"/>
                <w:kern w:val="0"/>
                <w:sz w:val="20"/>
                <w:szCs w:val="20"/>
                <w:highlight w:val="none"/>
                <w:u w:val="none"/>
                <w:lang w:val="en-US" w:eastAsia="zh-CN" w:bidi="ar"/>
              </w:rPr>
              <w:br w:type="textWrapping"/>
            </w:r>
            <w:r>
              <w:rPr>
                <w:rFonts w:hint="default" w:ascii="Times New Roman" w:hAnsi="Times New Roman" w:eastAsia="宋体" w:cs="Times New Roman"/>
                <w:b/>
                <w:bCs/>
                <w:i w:val="0"/>
                <w:color w:val="auto"/>
                <w:kern w:val="0"/>
                <w:sz w:val="20"/>
                <w:szCs w:val="20"/>
                <w:highlight w:val="none"/>
                <w:u w:val="none"/>
                <w:lang w:val="en-US" w:eastAsia="zh-CN" w:bidi="ar"/>
              </w:rPr>
              <w:t>成</w:t>
            </w:r>
            <w:r>
              <w:rPr>
                <w:rFonts w:hint="default" w:ascii="Times New Roman" w:hAnsi="Times New Roman" w:eastAsia="宋体" w:cs="Times New Roman"/>
                <w:b/>
                <w:bCs/>
                <w:i w:val="0"/>
                <w:color w:val="auto"/>
                <w:kern w:val="0"/>
                <w:sz w:val="20"/>
                <w:szCs w:val="20"/>
                <w:highlight w:val="none"/>
                <w:u w:val="none"/>
                <w:lang w:val="en-US" w:eastAsia="zh-CN" w:bidi="ar"/>
              </w:rPr>
              <w:br w:type="textWrapping"/>
            </w:r>
            <w:r>
              <w:rPr>
                <w:rFonts w:hint="default" w:ascii="Times New Roman" w:hAnsi="Times New Roman" w:eastAsia="宋体" w:cs="Times New Roman"/>
                <w:b/>
                <w:bCs/>
                <w:i w:val="0"/>
                <w:color w:val="auto"/>
                <w:kern w:val="0"/>
                <w:sz w:val="20"/>
                <w:szCs w:val="20"/>
                <w:highlight w:val="none"/>
                <w:u w:val="none"/>
                <w:lang w:val="en-US" w:eastAsia="zh-CN" w:bidi="ar"/>
              </w:rPr>
              <w:t>指</w:t>
            </w:r>
            <w:r>
              <w:rPr>
                <w:rFonts w:hint="default" w:ascii="Times New Roman" w:hAnsi="Times New Roman" w:eastAsia="宋体" w:cs="Times New Roman"/>
                <w:b/>
                <w:bCs/>
                <w:i w:val="0"/>
                <w:color w:val="auto"/>
                <w:kern w:val="0"/>
                <w:sz w:val="20"/>
                <w:szCs w:val="20"/>
                <w:highlight w:val="none"/>
                <w:u w:val="none"/>
                <w:lang w:val="en-US" w:eastAsia="zh-CN" w:bidi="ar"/>
              </w:rPr>
              <w:br w:type="textWrapping"/>
            </w:r>
            <w:r>
              <w:rPr>
                <w:rFonts w:hint="default" w:ascii="Times New Roman" w:hAnsi="Times New Roman" w:eastAsia="宋体" w:cs="Times New Roman"/>
                <w:b/>
                <w:bCs/>
                <w:i w:val="0"/>
                <w:color w:val="auto"/>
                <w:kern w:val="0"/>
                <w:sz w:val="20"/>
                <w:szCs w:val="20"/>
                <w:highlight w:val="none"/>
                <w:u w:val="none"/>
                <w:lang w:val="en-US" w:eastAsia="zh-CN" w:bidi="ar"/>
              </w:rPr>
              <w:t>标</w:t>
            </w:r>
          </w:p>
        </w:tc>
        <w:tc>
          <w:tcPr>
            <w:tcW w:w="19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数量指标</w:t>
            </w:r>
          </w:p>
        </w:tc>
        <w:tc>
          <w:tcPr>
            <w:tcW w:w="3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四川省营商环境评价报告</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25</w:t>
            </w:r>
            <w:r>
              <w:rPr>
                <w:rStyle w:val="60"/>
                <w:rFonts w:hint="default" w:ascii="Times New Roman" w:hAnsi="Times New Roman" w:eastAsia="宋体" w:cs="Times New Roman"/>
                <w:color w:val="auto"/>
                <w:sz w:val="20"/>
                <w:szCs w:val="20"/>
                <w:highlight w:val="none"/>
                <w:lang w:val="en-US" w:eastAsia="zh-CN" w:bidi="ar"/>
              </w:rPr>
              <w:t>分</w:t>
            </w:r>
          </w:p>
        </w:tc>
        <w:tc>
          <w:tcPr>
            <w:tcW w:w="1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25</w:t>
            </w:r>
            <w:r>
              <w:rPr>
                <w:rStyle w:val="60"/>
                <w:rFonts w:hint="default" w:ascii="Times New Roman" w:hAnsi="Times New Roman" w:eastAsia="宋体" w:cs="Times New Roman"/>
                <w:color w:val="auto"/>
                <w:sz w:val="20"/>
                <w:szCs w:val="20"/>
                <w:highlight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240" w:lineRule="auto"/>
              <w:ind w:left="0" w:leftChars="0" w:right="0" w:rightChars="0"/>
              <w:jc w:val="center"/>
              <w:outlineLvl w:val="9"/>
              <w:rPr>
                <w:rFonts w:hint="default" w:ascii="Times New Roman" w:hAnsi="Times New Roman" w:eastAsia="宋体" w:cs="Times New Roman"/>
                <w:b/>
                <w:bCs/>
                <w:i w:val="0"/>
                <w:color w:val="auto"/>
                <w:sz w:val="20"/>
                <w:szCs w:val="20"/>
                <w:highlight w:val="none"/>
                <w:u w:val="none"/>
              </w:rPr>
            </w:pPr>
          </w:p>
        </w:tc>
        <w:tc>
          <w:tcPr>
            <w:tcW w:w="19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bidi="ar"/>
              </w:rPr>
            </w:pPr>
          </w:p>
        </w:tc>
        <w:tc>
          <w:tcPr>
            <w:tcW w:w="3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四川省营商环境评价报告—民营经济发展报告</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5</w:t>
            </w:r>
            <w:r>
              <w:rPr>
                <w:rStyle w:val="60"/>
                <w:rFonts w:hint="default" w:ascii="Times New Roman" w:hAnsi="Times New Roman" w:eastAsia="宋体" w:cs="Times New Roman"/>
                <w:color w:val="auto"/>
                <w:sz w:val="20"/>
                <w:szCs w:val="20"/>
                <w:highlight w:val="none"/>
                <w:lang w:val="en-US" w:eastAsia="zh-CN" w:bidi="ar"/>
              </w:rPr>
              <w:t>分</w:t>
            </w:r>
          </w:p>
        </w:tc>
        <w:tc>
          <w:tcPr>
            <w:tcW w:w="1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5</w:t>
            </w:r>
            <w:r>
              <w:rPr>
                <w:rStyle w:val="60"/>
                <w:rFonts w:hint="default" w:ascii="Times New Roman" w:hAnsi="Times New Roman" w:eastAsia="宋体" w:cs="Times New Roman"/>
                <w:color w:val="auto"/>
                <w:sz w:val="20"/>
                <w:szCs w:val="20"/>
                <w:highlight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9"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240" w:lineRule="auto"/>
              <w:ind w:left="0" w:leftChars="0" w:right="0" w:rightChars="0"/>
              <w:jc w:val="center"/>
              <w:outlineLvl w:val="9"/>
              <w:rPr>
                <w:rFonts w:hint="default" w:ascii="Times New Roman" w:hAnsi="Times New Roman" w:eastAsia="宋体" w:cs="Times New Roman"/>
                <w:b/>
                <w:bCs/>
                <w:i w:val="0"/>
                <w:color w:val="auto"/>
                <w:sz w:val="20"/>
                <w:szCs w:val="20"/>
                <w:highlight w:val="none"/>
                <w:u w:val="none"/>
              </w:rPr>
            </w:pPr>
          </w:p>
        </w:tc>
        <w:tc>
          <w:tcPr>
            <w:tcW w:w="19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质量指标</w:t>
            </w:r>
          </w:p>
        </w:tc>
        <w:tc>
          <w:tcPr>
            <w:tcW w:w="3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课题专家评审合格</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15</w:t>
            </w:r>
            <w:r>
              <w:rPr>
                <w:rStyle w:val="60"/>
                <w:rFonts w:hint="default" w:ascii="Times New Roman" w:hAnsi="Times New Roman" w:eastAsia="宋体" w:cs="Times New Roman"/>
                <w:color w:val="auto"/>
                <w:sz w:val="20"/>
                <w:szCs w:val="20"/>
                <w:highlight w:val="none"/>
                <w:lang w:val="en-US" w:eastAsia="zh-CN" w:bidi="ar"/>
              </w:rPr>
              <w:t>分</w:t>
            </w:r>
          </w:p>
        </w:tc>
        <w:tc>
          <w:tcPr>
            <w:tcW w:w="1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15</w:t>
            </w:r>
            <w:r>
              <w:rPr>
                <w:rStyle w:val="60"/>
                <w:rFonts w:hint="default" w:ascii="Times New Roman" w:hAnsi="Times New Roman" w:eastAsia="宋体" w:cs="Times New Roman"/>
                <w:color w:val="auto"/>
                <w:sz w:val="20"/>
                <w:szCs w:val="20"/>
                <w:highlight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240" w:lineRule="auto"/>
              <w:ind w:left="0" w:leftChars="0" w:right="0" w:rightChars="0"/>
              <w:jc w:val="center"/>
              <w:outlineLvl w:val="9"/>
              <w:rPr>
                <w:rFonts w:hint="default" w:ascii="Times New Roman" w:hAnsi="Times New Roman" w:eastAsia="宋体" w:cs="Times New Roman"/>
                <w:b/>
                <w:bCs/>
                <w:i w:val="0"/>
                <w:color w:val="auto"/>
                <w:sz w:val="20"/>
                <w:szCs w:val="20"/>
                <w:highlight w:val="none"/>
                <w:u w:val="none"/>
              </w:rPr>
            </w:pPr>
          </w:p>
        </w:tc>
        <w:tc>
          <w:tcPr>
            <w:tcW w:w="19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时效指标</w:t>
            </w:r>
          </w:p>
        </w:tc>
        <w:tc>
          <w:tcPr>
            <w:tcW w:w="3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按时完成</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5</w:t>
            </w:r>
            <w:r>
              <w:rPr>
                <w:rStyle w:val="60"/>
                <w:rFonts w:hint="default" w:ascii="Times New Roman" w:hAnsi="Times New Roman" w:eastAsia="宋体" w:cs="Times New Roman"/>
                <w:color w:val="auto"/>
                <w:sz w:val="20"/>
                <w:szCs w:val="20"/>
                <w:highlight w:val="none"/>
                <w:lang w:val="en-US" w:eastAsia="zh-CN" w:bidi="ar"/>
              </w:rPr>
              <w:t>分</w:t>
            </w:r>
          </w:p>
        </w:tc>
        <w:tc>
          <w:tcPr>
            <w:tcW w:w="1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5</w:t>
            </w:r>
            <w:r>
              <w:rPr>
                <w:rStyle w:val="60"/>
                <w:rFonts w:hint="default" w:ascii="Times New Roman" w:hAnsi="Times New Roman" w:eastAsia="宋体" w:cs="Times New Roman"/>
                <w:color w:val="auto"/>
                <w:sz w:val="20"/>
                <w:szCs w:val="20"/>
                <w:highlight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3" w:hRule="atLeast"/>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b/>
                <w:bCs/>
                <w:i w:val="0"/>
                <w:color w:val="auto"/>
                <w:sz w:val="20"/>
                <w:szCs w:val="20"/>
                <w:highlight w:val="none"/>
                <w:u w:val="none"/>
              </w:rPr>
            </w:pPr>
            <w:r>
              <w:rPr>
                <w:rFonts w:hint="default" w:ascii="Times New Roman" w:hAnsi="Times New Roman" w:eastAsia="宋体" w:cs="Times New Roman"/>
                <w:b/>
                <w:bCs/>
                <w:i w:val="0"/>
                <w:color w:val="auto"/>
                <w:kern w:val="0"/>
                <w:sz w:val="20"/>
                <w:szCs w:val="20"/>
                <w:highlight w:val="none"/>
                <w:u w:val="none"/>
                <w:lang w:val="en-US" w:eastAsia="zh-CN" w:bidi="ar"/>
              </w:rPr>
              <w:t>效</w:t>
            </w:r>
            <w:r>
              <w:rPr>
                <w:rFonts w:hint="default" w:ascii="Times New Roman" w:hAnsi="Times New Roman" w:eastAsia="宋体" w:cs="Times New Roman"/>
                <w:b/>
                <w:bCs/>
                <w:i w:val="0"/>
                <w:color w:val="auto"/>
                <w:kern w:val="0"/>
                <w:sz w:val="20"/>
                <w:szCs w:val="20"/>
                <w:highlight w:val="none"/>
                <w:u w:val="none"/>
                <w:lang w:val="en-US" w:eastAsia="zh-CN" w:bidi="ar"/>
              </w:rPr>
              <w:br w:type="textWrapping"/>
            </w:r>
            <w:r>
              <w:rPr>
                <w:rFonts w:hint="default" w:ascii="Times New Roman" w:hAnsi="Times New Roman" w:eastAsia="宋体" w:cs="Times New Roman"/>
                <w:b/>
                <w:bCs/>
                <w:i w:val="0"/>
                <w:color w:val="auto"/>
                <w:kern w:val="0"/>
                <w:sz w:val="20"/>
                <w:szCs w:val="20"/>
                <w:highlight w:val="none"/>
                <w:u w:val="none"/>
                <w:lang w:val="en-US" w:eastAsia="zh-CN" w:bidi="ar"/>
              </w:rPr>
              <w:t>益</w:t>
            </w:r>
            <w:r>
              <w:rPr>
                <w:rFonts w:hint="default" w:ascii="Times New Roman" w:hAnsi="Times New Roman" w:eastAsia="宋体" w:cs="Times New Roman"/>
                <w:b/>
                <w:bCs/>
                <w:i w:val="0"/>
                <w:color w:val="auto"/>
                <w:kern w:val="0"/>
                <w:sz w:val="20"/>
                <w:szCs w:val="20"/>
                <w:highlight w:val="none"/>
                <w:u w:val="none"/>
                <w:lang w:val="en-US" w:eastAsia="zh-CN" w:bidi="ar"/>
              </w:rPr>
              <w:br w:type="textWrapping"/>
            </w:r>
            <w:r>
              <w:rPr>
                <w:rFonts w:hint="default" w:ascii="Times New Roman" w:hAnsi="Times New Roman" w:eastAsia="宋体" w:cs="Times New Roman"/>
                <w:b/>
                <w:bCs/>
                <w:i w:val="0"/>
                <w:color w:val="auto"/>
                <w:kern w:val="0"/>
                <w:sz w:val="20"/>
                <w:szCs w:val="20"/>
                <w:highlight w:val="none"/>
                <w:u w:val="none"/>
                <w:lang w:val="en-US" w:eastAsia="zh-CN" w:bidi="ar"/>
              </w:rPr>
              <w:t>指</w:t>
            </w:r>
            <w:r>
              <w:rPr>
                <w:rFonts w:hint="default" w:ascii="Times New Roman" w:hAnsi="Times New Roman" w:eastAsia="宋体" w:cs="Times New Roman"/>
                <w:b/>
                <w:bCs/>
                <w:i w:val="0"/>
                <w:color w:val="auto"/>
                <w:kern w:val="0"/>
                <w:sz w:val="20"/>
                <w:szCs w:val="20"/>
                <w:highlight w:val="none"/>
                <w:u w:val="none"/>
                <w:lang w:val="en-US" w:eastAsia="zh-CN" w:bidi="ar"/>
              </w:rPr>
              <w:br w:type="textWrapping"/>
            </w:r>
            <w:r>
              <w:rPr>
                <w:rFonts w:hint="default" w:ascii="Times New Roman" w:hAnsi="Times New Roman" w:eastAsia="宋体" w:cs="Times New Roman"/>
                <w:b/>
                <w:bCs/>
                <w:i w:val="0"/>
                <w:color w:val="auto"/>
                <w:kern w:val="0"/>
                <w:sz w:val="20"/>
                <w:szCs w:val="20"/>
                <w:highlight w:val="none"/>
                <w:u w:val="none"/>
                <w:lang w:val="en-US" w:eastAsia="zh-CN" w:bidi="ar"/>
              </w:rPr>
              <w:t>标</w:t>
            </w:r>
          </w:p>
        </w:tc>
        <w:tc>
          <w:tcPr>
            <w:tcW w:w="19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经济效益指标</w:t>
            </w:r>
          </w:p>
        </w:tc>
        <w:tc>
          <w:tcPr>
            <w:tcW w:w="3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总结提炼了典型做法，明确短板制约，提出了针对性改进建议</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10</w:t>
            </w:r>
            <w:r>
              <w:rPr>
                <w:rStyle w:val="60"/>
                <w:rFonts w:hint="default" w:ascii="Times New Roman" w:hAnsi="Times New Roman" w:eastAsia="宋体" w:cs="Times New Roman"/>
                <w:color w:val="auto"/>
                <w:sz w:val="20"/>
                <w:szCs w:val="20"/>
                <w:highlight w:val="none"/>
                <w:lang w:val="en-US" w:eastAsia="zh-CN" w:bidi="ar"/>
              </w:rPr>
              <w:t>分</w:t>
            </w:r>
          </w:p>
        </w:tc>
        <w:tc>
          <w:tcPr>
            <w:tcW w:w="1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10</w:t>
            </w:r>
            <w:r>
              <w:rPr>
                <w:rStyle w:val="60"/>
                <w:rFonts w:hint="default" w:ascii="Times New Roman" w:hAnsi="Times New Roman" w:eastAsia="宋体" w:cs="Times New Roman"/>
                <w:color w:val="auto"/>
                <w:sz w:val="20"/>
                <w:szCs w:val="20"/>
                <w:highlight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0"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240" w:lineRule="auto"/>
              <w:ind w:left="0" w:leftChars="0" w:right="0" w:rightChars="0"/>
              <w:jc w:val="center"/>
              <w:outlineLvl w:val="9"/>
              <w:rPr>
                <w:rFonts w:hint="default" w:ascii="Times New Roman" w:hAnsi="Times New Roman" w:eastAsia="宋体" w:cs="Times New Roman"/>
                <w:i w:val="0"/>
                <w:color w:val="auto"/>
                <w:sz w:val="20"/>
                <w:szCs w:val="20"/>
                <w:highlight w:val="none"/>
                <w:u w:val="none"/>
              </w:rPr>
            </w:pPr>
          </w:p>
        </w:tc>
        <w:tc>
          <w:tcPr>
            <w:tcW w:w="19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社会效益指标</w:t>
            </w:r>
          </w:p>
        </w:tc>
        <w:tc>
          <w:tcPr>
            <w:tcW w:w="3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为各地各有关部门（单位）对标整改、优化提升提供重要参考。</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10分</w:t>
            </w:r>
          </w:p>
        </w:tc>
        <w:tc>
          <w:tcPr>
            <w:tcW w:w="1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240" w:lineRule="auto"/>
              <w:ind w:left="0" w:leftChars="0" w:right="0" w:rightChars="0"/>
              <w:jc w:val="center"/>
              <w:outlineLvl w:val="9"/>
              <w:rPr>
                <w:rFonts w:hint="default" w:ascii="Times New Roman" w:hAnsi="Times New Roman" w:eastAsia="宋体" w:cs="Times New Roman"/>
                <w:i w:val="0"/>
                <w:color w:val="auto"/>
                <w:sz w:val="20"/>
                <w:szCs w:val="20"/>
                <w:highlight w:val="none"/>
                <w:u w:val="none"/>
              </w:rPr>
            </w:pPr>
          </w:p>
        </w:tc>
        <w:tc>
          <w:tcPr>
            <w:tcW w:w="19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可持续影响指标</w:t>
            </w:r>
          </w:p>
        </w:tc>
        <w:tc>
          <w:tcPr>
            <w:tcW w:w="3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成果影响年限≥</w:t>
            </w:r>
            <w:r>
              <w:rPr>
                <w:rFonts w:hint="default" w:ascii="Times New Roman" w:hAnsi="Times New Roman" w:cs="Times New Roman"/>
                <w:i w:val="0"/>
                <w:color w:val="auto"/>
                <w:kern w:val="0"/>
                <w:sz w:val="20"/>
                <w:szCs w:val="20"/>
                <w:highlight w:val="none"/>
                <w:u w:val="none"/>
                <w:lang w:val="en-US" w:eastAsia="zh-CN" w:bidi="ar"/>
              </w:rPr>
              <w:t>2</w:t>
            </w:r>
            <w:r>
              <w:rPr>
                <w:rFonts w:hint="default" w:ascii="Times New Roman" w:hAnsi="Times New Roman" w:eastAsia="宋体" w:cs="Times New Roman"/>
                <w:i w:val="0"/>
                <w:color w:val="auto"/>
                <w:kern w:val="0"/>
                <w:sz w:val="20"/>
                <w:szCs w:val="20"/>
                <w:highlight w:val="none"/>
                <w:u w:val="none"/>
                <w:lang w:val="en-US" w:eastAsia="zh-CN" w:bidi="ar"/>
              </w:rPr>
              <w:t>年</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10</w:t>
            </w:r>
            <w:r>
              <w:rPr>
                <w:rStyle w:val="60"/>
                <w:rFonts w:hint="default" w:ascii="Times New Roman" w:hAnsi="Times New Roman" w:eastAsia="宋体" w:cs="Times New Roman"/>
                <w:color w:val="auto"/>
                <w:sz w:val="20"/>
                <w:szCs w:val="20"/>
                <w:highlight w:val="none"/>
                <w:lang w:val="en-US" w:eastAsia="zh-CN" w:bidi="ar"/>
              </w:rPr>
              <w:t>分</w:t>
            </w:r>
          </w:p>
        </w:tc>
        <w:tc>
          <w:tcPr>
            <w:tcW w:w="1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10</w:t>
            </w:r>
            <w:r>
              <w:rPr>
                <w:rStyle w:val="60"/>
                <w:rFonts w:hint="default" w:ascii="Times New Roman" w:hAnsi="Times New Roman" w:eastAsia="宋体" w:cs="Times New Roman"/>
                <w:color w:val="auto"/>
                <w:sz w:val="20"/>
                <w:szCs w:val="20"/>
                <w:highlight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73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合计</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100分</w:t>
            </w:r>
          </w:p>
        </w:tc>
        <w:tc>
          <w:tcPr>
            <w:tcW w:w="1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240" w:lineRule="auto"/>
              <w:ind w:left="0" w:leftChars="0" w:right="0" w:rightChars="0"/>
              <w:jc w:val="center"/>
              <w:textAlignment w:val="center"/>
              <w:outlineLvl w:val="9"/>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100分</w:t>
            </w:r>
          </w:p>
        </w:tc>
      </w:tr>
    </w:tbl>
    <w:p>
      <w:pPr>
        <w:pageBreakBefore w:val="0"/>
        <w:kinsoku/>
        <w:wordWrap/>
        <w:overflowPunct/>
        <w:topLinePunct w:val="0"/>
        <w:bidi w:val="0"/>
        <w:snapToGrid w:val="0"/>
        <w:spacing w:line="540" w:lineRule="exact"/>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202</w:t>
      </w:r>
      <w:r>
        <w:rPr>
          <w:rFonts w:hint="default" w:ascii="Times New Roman" w:hAnsi="Times New Roman" w:eastAsia="方正小标宋简体" w:cs="Times New Roman"/>
          <w:color w:val="auto"/>
          <w:sz w:val="44"/>
          <w:szCs w:val="44"/>
          <w:highlight w:val="none"/>
          <w:lang w:val="en-US" w:eastAsia="zh-CN"/>
        </w:rPr>
        <w:t>0</w:t>
      </w:r>
      <w:r>
        <w:rPr>
          <w:rFonts w:hint="default" w:ascii="Times New Roman" w:hAnsi="Times New Roman" w:eastAsia="方正小标宋简体" w:cs="Times New Roman"/>
          <w:color w:val="auto"/>
          <w:sz w:val="44"/>
          <w:szCs w:val="44"/>
          <w:highlight w:val="none"/>
        </w:rPr>
        <w:t>年部门预算项目支出绩效自评报告</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outlineLvl w:val="9"/>
        <w:rPr>
          <w:rFonts w:hint="default" w:ascii="Times New Roman" w:hAnsi="Times New Roman" w:eastAsia="CESI小标宋-GB2312" w:cs="Times New Roman"/>
          <w:color w:val="auto"/>
          <w:sz w:val="44"/>
          <w:szCs w:val="44"/>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四川省易地扶贫搬迁购买服务费用项目</w:t>
      </w:r>
      <w:r>
        <w:rPr>
          <w:rFonts w:hint="default" w:ascii="Times New Roman" w:hAnsi="Times New Roman" w:eastAsia="仿宋_GB2312" w:cs="Times New Roman"/>
          <w:color w:val="auto"/>
          <w:sz w:val="32"/>
          <w:szCs w:val="32"/>
          <w:highlight w:val="none"/>
        </w:rPr>
        <w:t>）</w:t>
      </w:r>
    </w:p>
    <w:p>
      <w:pPr>
        <w:keepNext w:val="0"/>
        <w:keepLines w:val="0"/>
        <w:pageBreakBefore w:val="0"/>
        <w:kinsoku/>
        <w:wordWrap/>
        <w:overflowPunct/>
        <w:topLinePunct w:val="0"/>
        <w:bidi w:val="0"/>
        <w:spacing w:line="540" w:lineRule="exact"/>
        <w:ind w:firstLine="642" w:firstLineChars="200"/>
        <w:rPr>
          <w:rFonts w:hint="default" w:ascii="Times New Roman" w:hAnsi="Times New Roman" w:cs="Times New Roman"/>
          <w:b/>
          <w:color w:val="auto"/>
          <w:sz w:val="32"/>
          <w:szCs w:val="32"/>
          <w:highlight w:val="none"/>
        </w:rPr>
      </w:pPr>
    </w:p>
    <w:p>
      <w:pPr>
        <w:pStyle w:val="62"/>
        <w:keepNext w:val="0"/>
        <w:keepLines w:val="0"/>
        <w:pageBreakBefore w:val="0"/>
        <w:kinsoku/>
        <w:wordWrap/>
        <w:overflowPunct/>
        <w:topLinePunct w:val="0"/>
        <w:bidi w:val="0"/>
        <w:adjustRightInd w:val="0"/>
        <w:snapToGrid w:val="0"/>
        <w:spacing w:line="540" w:lineRule="exact"/>
        <w:ind w:firstLine="640" w:firstLineChars="200"/>
        <w:rPr>
          <w:rFonts w:hint="default" w:ascii="Times New Roman" w:hAnsi="Times New Roman" w:eastAsia="黑体" w:cs="Times New Roman"/>
          <w:color w:val="auto"/>
          <w:kern w:val="2"/>
          <w:sz w:val="32"/>
          <w:szCs w:val="32"/>
          <w:highlight w:val="none"/>
          <w:lang w:val="en-US" w:eastAsia="zh-CN" w:bidi="ar-SA"/>
        </w:rPr>
      </w:pPr>
      <w:r>
        <w:rPr>
          <w:rFonts w:hint="default" w:ascii="Times New Roman" w:hAnsi="Times New Roman" w:eastAsia="黑体" w:cs="Times New Roman"/>
          <w:color w:val="auto"/>
          <w:kern w:val="2"/>
          <w:sz w:val="32"/>
          <w:szCs w:val="32"/>
          <w:highlight w:val="none"/>
          <w:lang w:val="en-US" w:eastAsia="zh-CN" w:bidi="ar-SA"/>
        </w:rPr>
        <w:t>一、基本情况</w:t>
      </w:r>
    </w:p>
    <w:p>
      <w:pPr>
        <w:keepNext w:val="0"/>
        <w:keepLines w:val="0"/>
        <w:pageBreakBefore w:val="0"/>
        <w:kinsoku/>
        <w:wordWrap/>
        <w:overflowPunct/>
        <w:topLinePunct w:val="0"/>
        <w:bidi w:val="0"/>
        <w:adjustRightInd w:val="0"/>
        <w:snapToGrid w:val="0"/>
        <w:spacing w:line="54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2017年4月，省政府第146次常务会议明确省国农公司是为完成易地扶贫搬迁专门设立的省级投融资平台公司，是单一的功能性平台公司，不得开展其它业务。同意由省发展改革委采取政府购买服务方式，向省国农公司购买易地扶贫搬迁项目投融资服务，所需购买服务费用，纳入省级财政年度预算；购买服务费用具体数额，由省发展改革委、财政厅、省国资委、省扶贫移民局，根据公司承担的易地扶贫搬迁投融资业务量、合理的人员设置、成本管理要求及有关省属国有公司的规定确定。依照经省政府领导同意的《关于政府购买易地扶贫搬迁服务费的请示》（四川省人民政府办公厅办文通知B〔2017〕4996-1号），从2017年至2020年，按485万元/年的额度纳入省级预算。</w:t>
      </w:r>
    </w:p>
    <w:p>
      <w:pPr>
        <w:keepNext w:val="0"/>
        <w:keepLines w:val="0"/>
        <w:pageBreakBefore w:val="0"/>
        <w:kinsoku/>
        <w:wordWrap/>
        <w:overflowPunct/>
        <w:topLinePunct w:val="0"/>
        <w:bidi w:val="0"/>
        <w:adjustRightInd w:val="0"/>
        <w:snapToGrid w:val="0"/>
        <w:spacing w:line="54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2018年3月，为加强全省易地扶贫搬迁政府购买服务的规范化管理，保障资金安全，规范购买服务费支付流程，提高财政资金使用效益，省发展改革委研究制定了《四川省易地扶贫搬迁政府购买服务绩效评价办法》《四川易地扶贫搬迁政府购买服务费用支付规范》，针对易地扶贫搬迁工作实际和省国农公司职能职责，明确绩效评价指标主要包括5个方面：即资金承接</w:t>
      </w:r>
      <w:r>
        <w:rPr>
          <w:rFonts w:hint="default" w:ascii="Times New Roman" w:hAnsi="Times New Roman" w:cs="Times New Roman"/>
          <w:color w:val="auto"/>
          <w:sz w:val="32"/>
          <w:szCs w:val="32"/>
          <w:highlight w:val="none"/>
          <w:lang w:val="en-US" w:eastAsia="zh-CN"/>
        </w:rPr>
        <w:t>落实</w:t>
      </w:r>
      <w:r>
        <w:rPr>
          <w:rFonts w:hint="default" w:ascii="Times New Roman" w:hAnsi="Times New Roman" w:eastAsia="仿宋_GB2312" w:cs="Times New Roman"/>
          <w:color w:val="auto"/>
          <w:sz w:val="32"/>
          <w:szCs w:val="32"/>
          <w:highlight w:val="none"/>
          <w:lang w:val="en-US" w:eastAsia="zh-CN"/>
        </w:rPr>
        <w:t>情况、资金归集偿还情况、规范化管理情况、其他交办任务完成情况、满意度评价情况。</w:t>
      </w:r>
    </w:p>
    <w:p>
      <w:pPr>
        <w:keepNext w:val="0"/>
        <w:keepLines w:val="0"/>
        <w:pageBreakBefore w:val="0"/>
        <w:kinsoku/>
        <w:wordWrap/>
        <w:overflowPunct/>
        <w:topLinePunct w:val="0"/>
        <w:bidi w:val="0"/>
        <w:adjustRightInd w:val="0"/>
        <w:snapToGrid w:val="0"/>
        <w:spacing w:line="54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2020年底，省发展改革委在组织开展绩效评价后，向省国农公司完成支付易地扶贫搬迁购买服务费用485万元。</w:t>
      </w:r>
    </w:p>
    <w:p>
      <w:pPr>
        <w:keepNext w:val="0"/>
        <w:keepLines w:val="0"/>
        <w:pageBreakBefore w:val="0"/>
        <w:kinsoku/>
        <w:wordWrap/>
        <w:overflowPunct/>
        <w:topLinePunct w:val="0"/>
        <w:bidi w:val="0"/>
        <w:adjustRightInd w:val="0"/>
        <w:snapToGrid w:val="0"/>
        <w:spacing w:line="540" w:lineRule="exact"/>
        <w:ind w:firstLine="640" w:firstLineChars="200"/>
        <w:rPr>
          <w:rFonts w:hint="default" w:ascii="Times New Roman" w:hAnsi="Times New Roman" w:eastAsia="黑体" w:cs="Times New Roman"/>
          <w:color w:val="auto"/>
          <w:kern w:val="2"/>
          <w:sz w:val="32"/>
          <w:szCs w:val="32"/>
          <w:highlight w:val="none"/>
          <w:lang w:val="en-US" w:eastAsia="zh-CN" w:bidi="ar-SA"/>
        </w:rPr>
      </w:pPr>
      <w:r>
        <w:rPr>
          <w:rFonts w:hint="default" w:ascii="Times New Roman" w:hAnsi="Times New Roman" w:eastAsia="黑体" w:cs="Times New Roman"/>
          <w:color w:val="auto"/>
          <w:kern w:val="2"/>
          <w:sz w:val="32"/>
          <w:szCs w:val="32"/>
          <w:highlight w:val="none"/>
          <w:lang w:val="en-US" w:eastAsia="zh-CN" w:bidi="ar-SA"/>
        </w:rPr>
        <w:t>二、评价工作开展情况</w:t>
      </w:r>
    </w:p>
    <w:p>
      <w:pPr>
        <w:keepNext w:val="0"/>
        <w:keepLines w:val="0"/>
        <w:pageBreakBefore w:val="0"/>
        <w:kinsoku/>
        <w:wordWrap/>
        <w:overflowPunct/>
        <w:topLinePunct w:val="0"/>
        <w:bidi w:val="0"/>
        <w:adjustRightInd w:val="0"/>
        <w:snapToGrid w:val="0"/>
        <w:spacing w:line="54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2020年12月，省发展改革委会同省扶贫开发局、自然资源厅、人行成都分行等部门组成易地扶贫搬迁政府购买服务绩效评价工作组，通过听汇报、查资料、</w:t>
      </w:r>
      <w:r>
        <w:rPr>
          <w:rFonts w:hint="default" w:ascii="Times New Roman" w:hAnsi="Times New Roman" w:cs="Times New Roman"/>
          <w:color w:val="auto"/>
          <w:sz w:val="32"/>
          <w:szCs w:val="32"/>
          <w:highlight w:val="none"/>
          <w:lang w:val="en-US" w:eastAsia="zh-CN"/>
        </w:rPr>
        <w:t>开展</w:t>
      </w:r>
      <w:r>
        <w:rPr>
          <w:rFonts w:hint="default" w:ascii="Times New Roman" w:hAnsi="Times New Roman" w:eastAsia="仿宋_GB2312" w:cs="Times New Roman"/>
          <w:color w:val="auto"/>
          <w:sz w:val="32"/>
          <w:szCs w:val="32"/>
          <w:highlight w:val="none"/>
          <w:lang w:val="en-US" w:eastAsia="zh-CN"/>
        </w:rPr>
        <w:t>市县满意度测评等方式，对省国农公司资金承接落实情况</w:t>
      </w:r>
      <w:r>
        <w:rPr>
          <w:rFonts w:hint="default"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资金归集偿还情况、规范化管理情况、其他交办任务完成情况等</w:t>
      </w:r>
      <w:r>
        <w:rPr>
          <w:rFonts w:hint="default" w:ascii="Times New Roman" w:hAnsi="Times New Roman" w:cs="Times New Roman"/>
          <w:color w:val="auto"/>
          <w:sz w:val="32"/>
          <w:szCs w:val="32"/>
          <w:highlight w:val="none"/>
          <w:lang w:val="en-US" w:eastAsia="zh-CN"/>
        </w:rPr>
        <w:t>四</w:t>
      </w:r>
      <w:r>
        <w:rPr>
          <w:rFonts w:hint="default" w:ascii="Times New Roman" w:hAnsi="Times New Roman" w:eastAsia="仿宋_GB2312" w:cs="Times New Roman"/>
          <w:color w:val="auto"/>
          <w:sz w:val="32"/>
          <w:szCs w:val="32"/>
          <w:highlight w:val="none"/>
          <w:lang w:val="en-US" w:eastAsia="zh-CN"/>
        </w:rPr>
        <w:t>个方面进行实地绩效评价</w:t>
      </w:r>
      <w:r>
        <w:rPr>
          <w:rFonts w:hint="default"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并</w:t>
      </w:r>
      <w:r>
        <w:rPr>
          <w:rFonts w:hint="default" w:ascii="Times New Roman" w:hAnsi="Times New Roman" w:cs="Times New Roman"/>
          <w:color w:val="auto"/>
          <w:sz w:val="32"/>
          <w:szCs w:val="32"/>
          <w:highlight w:val="none"/>
          <w:lang w:val="en-US" w:eastAsia="zh-CN"/>
        </w:rPr>
        <w:t>抽取</w:t>
      </w:r>
      <w:r>
        <w:rPr>
          <w:rFonts w:hint="default" w:ascii="Times New Roman" w:hAnsi="Times New Roman" w:eastAsia="仿宋_GB2312" w:cs="Times New Roman"/>
          <w:color w:val="auto"/>
          <w:sz w:val="32"/>
          <w:szCs w:val="32"/>
          <w:highlight w:val="none"/>
          <w:lang w:val="en-US" w:eastAsia="zh-CN"/>
        </w:rPr>
        <w:t>20个市（州）</w:t>
      </w:r>
      <w:r>
        <w:rPr>
          <w:rFonts w:hint="default" w:ascii="Times New Roman" w:hAnsi="Times New Roman" w:cs="Times New Roman"/>
          <w:color w:val="auto"/>
          <w:sz w:val="32"/>
          <w:szCs w:val="32"/>
          <w:highlight w:val="none"/>
          <w:lang w:val="en-US" w:eastAsia="zh-CN"/>
        </w:rPr>
        <w:t>或</w:t>
      </w:r>
      <w:r>
        <w:rPr>
          <w:rFonts w:hint="default" w:ascii="Times New Roman" w:hAnsi="Times New Roman" w:eastAsia="仿宋_GB2312" w:cs="Times New Roman"/>
          <w:color w:val="auto"/>
          <w:sz w:val="32"/>
          <w:szCs w:val="32"/>
          <w:highlight w:val="none"/>
          <w:lang w:val="en-US" w:eastAsia="zh-CN"/>
        </w:rPr>
        <w:t>县（市）平台公司</w:t>
      </w:r>
      <w:r>
        <w:rPr>
          <w:rFonts w:hint="default" w:ascii="Times New Roman" w:hAnsi="Times New Roman" w:cs="Times New Roman"/>
          <w:color w:val="auto"/>
          <w:sz w:val="32"/>
          <w:szCs w:val="32"/>
          <w:highlight w:val="none"/>
          <w:lang w:val="en-US" w:eastAsia="zh-CN"/>
        </w:rPr>
        <w:t>以</w:t>
      </w:r>
      <w:r>
        <w:rPr>
          <w:rFonts w:hint="default" w:ascii="Times New Roman" w:hAnsi="Times New Roman" w:eastAsia="仿宋_GB2312" w:cs="Times New Roman"/>
          <w:color w:val="auto"/>
          <w:sz w:val="32"/>
          <w:szCs w:val="32"/>
          <w:highlight w:val="none"/>
          <w:lang w:val="en-US" w:eastAsia="zh-CN"/>
        </w:rPr>
        <w:t>及</w:t>
      </w:r>
      <w:r>
        <w:rPr>
          <w:rFonts w:hint="default" w:ascii="Times New Roman" w:hAnsi="Times New Roman" w:cs="Times New Roman"/>
          <w:color w:val="auto"/>
          <w:sz w:val="32"/>
          <w:szCs w:val="32"/>
          <w:highlight w:val="none"/>
          <w:lang w:val="en-US" w:eastAsia="zh-CN"/>
        </w:rPr>
        <w:t>相关</w:t>
      </w:r>
      <w:r>
        <w:rPr>
          <w:rFonts w:hint="default" w:ascii="Times New Roman" w:hAnsi="Times New Roman" w:eastAsia="仿宋_GB2312" w:cs="Times New Roman"/>
          <w:color w:val="auto"/>
          <w:sz w:val="32"/>
          <w:szCs w:val="32"/>
          <w:highlight w:val="none"/>
          <w:lang w:val="en-US" w:eastAsia="zh-CN"/>
        </w:rPr>
        <w:t>金融单位开展满意度测评</w:t>
      </w:r>
      <w:r>
        <w:rPr>
          <w:rFonts w:hint="default"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出具了绩效评价报告。</w:t>
      </w:r>
    </w:p>
    <w:p>
      <w:pPr>
        <w:keepNext w:val="0"/>
        <w:keepLines w:val="0"/>
        <w:pageBreakBefore w:val="0"/>
        <w:kinsoku/>
        <w:wordWrap/>
        <w:overflowPunct/>
        <w:topLinePunct w:val="0"/>
        <w:bidi w:val="0"/>
        <w:adjustRightInd w:val="0"/>
        <w:snapToGrid w:val="0"/>
        <w:spacing w:line="540" w:lineRule="exact"/>
        <w:ind w:firstLine="640" w:firstLineChars="200"/>
        <w:rPr>
          <w:rFonts w:hint="default" w:ascii="Times New Roman" w:hAnsi="Times New Roman" w:eastAsia="黑体" w:cs="Times New Roman"/>
          <w:color w:val="auto"/>
          <w:kern w:val="2"/>
          <w:sz w:val="32"/>
          <w:szCs w:val="32"/>
          <w:highlight w:val="none"/>
          <w:lang w:val="en-US" w:eastAsia="zh-CN" w:bidi="ar-SA"/>
        </w:rPr>
      </w:pPr>
      <w:r>
        <w:rPr>
          <w:rFonts w:hint="default" w:ascii="Times New Roman" w:hAnsi="Times New Roman" w:eastAsia="黑体" w:cs="Times New Roman"/>
          <w:color w:val="auto"/>
          <w:kern w:val="2"/>
          <w:sz w:val="32"/>
          <w:szCs w:val="32"/>
          <w:highlight w:val="none"/>
          <w:lang w:val="en-US" w:eastAsia="zh-CN" w:bidi="ar-SA"/>
        </w:rPr>
        <w:t>三、综合评价结论</w:t>
      </w:r>
    </w:p>
    <w:p>
      <w:pPr>
        <w:keepNext w:val="0"/>
        <w:keepLines w:val="0"/>
        <w:pageBreakBefore w:val="0"/>
        <w:kinsoku/>
        <w:wordWrap/>
        <w:overflowPunct/>
        <w:topLinePunct w:val="0"/>
        <w:bidi w:val="0"/>
        <w:adjustRightInd w:val="0"/>
        <w:snapToGrid w:val="0"/>
        <w:spacing w:line="54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从检查情况看，省国农公司对易地扶贫搬迁投融资管理工作高度重视，定位准确，管理规范，制度健全，工作资料完备，工作成效明显，全面完成了2020年度投融资服务工作，较好地完成了省委、省政府及省级有关部门交办任务，地方平台公司评价满意度高。经工作组评价打分，绩效评价得分为99分。</w:t>
      </w:r>
    </w:p>
    <w:p>
      <w:pPr>
        <w:pStyle w:val="37"/>
        <w:keepNext w:val="0"/>
        <w:keepLines w:val="0"/>
        <w:pageBreakBefore w:val="0"/>
        <w:kinsoku/>
        <w:wordWrap/>
        <w:overflowPunct/>
        <w:topLinePunct w:val="0"/>
        <w:bidi w:val="0"/>
        <w:spacing w:line="540" w:lineRule="exact"/>
        <w:ind w:firstLine="640" w:firstLineChars="200"/>
        <w:rPr>
          <w:rFonts w:hint="default" w:ascii="Times New Roman" w:hAnsi="Times New Roman" w:cs="Times New Roman"/>
          <w:color w:val="auto"/>
          <w:highlight w:val="none"/>
          <w:lang w:val="en-US" w:eastAsia="zh-CN"/>
        </w:rPr>
      </w:pPr>
      <w:r>
        <w:rPr>
          <w:rFonts w:hint="default" w:ascii="Times New Roman" w:hAnsi="Times New Roman" w:eastAsia="黑体" w:cs="Times New Roman"/>
          <w:color w:val="auto"/>
          <w:kern w:val="2"/>
          <w:sz w:val="32"/>
          <w:szCs w:val="32"/>
          <w:highlight w:val="none"/>
          <w:lang w:val="en-US" w:eastAsia="zh-CN" w:bidi="ar-SA"/>
        </w:rPr>
        <w:t>四、绩效评价分析</w:t>
      </w:r>
    </w:p>
    <w:p>
      <w:pPr>
        <w:keepNext w:val="0"/>
        <w:keepLines w:val="0"/>
        <w:pageBreakBefore w:val="0"/>
        <w:kinsoku/>
        <w:wordWrap/>
        <w:overflowPunct/>
        <w:topLinePunct w:val="0"/>
        <w:bidi w:val="0"/>
        <w:adjustRightInd w:val="0"/>
        <w:snapToGrid w:val="0"/>
        <w:spacing w:line="540" w:lineRule="exact"/>
        <w:ind w:firstLine="642"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（一）资金归集偿还方面。</w:t>
      </w:r>
      <w:r>
        <w:rPr>
          <w:rFonts w:hint="default" w:ascii="Times New Roman" w:hAnsi="Times New Roman" w:eastAsia="仿宋_GB2312" w:cs="Times New Roman"/>
          <w:b/>
          <w:bCs/>
          <w:color w:val="auto"/>
          <w:sz w:val="32"/>
          <w:szCs w:val="32"/>
          <w:highlight w:val="none"/>
          <w:lang w:val="en-US" w:eastAsia="zh-CN"/>
        </w:rPr>
        <w:t>一是</w:t>
      </w:r>
      <w:r>
        <w:rPr>
          <w:rFonts w:hint="default" w:ascii="Times New Roman" w:hAnsi="Times New Roman" w:eastAsia="仿宋_GB2312" w:cs="Times New Roman"/>
          <w:color w:val="auto"/>
          <w:sz w:val="32"/>
          <w:szCs w:val="32"/>
          <w:highlight w:val="none"/>
          <w:lang w:val="en-US" w:eastAsia="zh-CN"/>
        </w:rPr>
        <w:t>完成易地扶贫搬迁长期贷款提前偿还工作。完成了相关5个市（州）、县（市、区）土地增减挂钩收益用于易地扶贫搬迁长期低息贷款提前偿还工作，偿还金额6.88亿元 ；根据10个市（州）、县（市、区）提前偿还长期低息贷款的申请，协调相关经办银行并报省级相关部门批准后，提前偿还易地扶贫搬迁长期低息贷款2.68亿元；按照《四川省财政厅关于印发易地扶贫搬迁长期低息贷款2020年前还款计划的通知》要求，提前偿还2017年7月14日以后承接易地扶贫搬迁长期低息贷款8.66亿元。2020年度，公司提前偿还易地扶贫搬迁长期贷款合计18.22亿元，其中：国开行7.89亿元，农发行10.33亿元。</w:t>
      </w:r>
      <w:r>
        <w:rPr>
          <w:rFonts w:hint="default" w:ascii="Times New Roman" w:hAnsi="Times New Roman" w:cs="Times New Roman"/>
          <w:b/>
          <w:bCs/>
          <w:color w:val="auto"/>
          <w:sz w:val="32"/>
          <w:szCs w:val="32"/>
          <w:highlight w:val="none"/>
          <w:shd w:val="clear" w:color="auto" w:fill="FFFFFF"/>
          <w:lang w:val="en-US" w:eastAsia="zh-CN"/>
        </w:rPr>
        <w:t>二是</w:t>
      </w:r>
      <w:r>
        <w:rPr>
          <w:rFonts w:hint="default" w:ascii="Times New Roman" w:hAnsi="Times New Roman" w:eastAsia="仿宋_GB2312" w:cs="Times New Roman"/>
          <w:color w:val="auto"/>
          <w:sz w:val="32"/>
          <w:szCs w:val="32"/>
          <w:highlight w:val="none"/>
          <w:lang w:val="en-US" w:eastAsia="zh-CN"/>
        </w:rPr>
        <w:t>完成2020年度易地扶贫搬迁项目资金利息归集偿付工作。公司按季度开展易地扶贫搬迁项目资金利息归集及偿付工作，此项工作涉及21个市（州）、146个县（市、区）及平台公司，共归集偿付利息10.04亿元（其中，第一季度利息2.58亿元、第二季度利息2.52亿元、第三季度利息2.52亿元、第四季度利息2.45亿元）。</w:t>
      </w:r>
    </w:p>
    <w:p>
      <w:pPr>
        <w:keepNext w:val="0"/>
        <w:keepLines w:val="0"/>
        <w:pageBreakBefore w:val="0"/>
        <w:kinsoku/>
        <w:wordWrap/>
        <w:overflowPunct/>
        <w:topLinePunct w:val="0"/>
        <w:bidi w:val="0"/>
        <w:adjustRightInd w:val="0"/>
        <w:snapToGrid w:val="0"/>
        <w:spacing w:line="540" w:lineRule="exact"/>
        <w:ind w:firstLine="642"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（二）规范化管理方面。</w:t>
      </w:r>
      <w:r>
        <w:rPr>
          <w:rFonts w:hint="default" w:ascii="Times New Roman" w:hAnsi="Times New Roman" w:eastAsia="仿宋_GB2312" w:cs="Times New Roman"/>
          <w:b/>
          <w:bCs/>
          <w:color w:val="auto"/>
          <w:sz w:val="32"/>
          <w:szCs w:val="32"/>
          <w:highlight w:val="none"/>
          <w:lang w:eastAsia="zh-CN"/>
        </w:rPr>
        <w:t>一是</w:t>
      </w:r>
      <w:r>
        <w:rPr>
          <w:rFonts w:hint="default" w:ascii="Times New Roman" w:hAnsi="Times New Roman" w:eastAsia="仿宋_GB2312" w:cs="Times New Roman"/>
          <w:color w:val="auto"/>
          <w:sz w:val="32"/>
          <w:szCs w:val="32"/>
          <w:highlight w:val="none"/>
          <w:lang w:val="en-US" w:eastAsia="zh-CN"/>
        </w:rPr>
        <w:t>修订和完善了《四川省国农投资管理有限责任公司“三重一大”制度实施办法》《四川省国农投资管理有限责任公司党支部学习制度》和《四川省国农投资管理有限责任公司请（休）假制度》等10项内部管理制度，初步形成了较为科学完整的公司内部管理制度机制，为做好易地扶贫搬迁投融资服务工作奠定了良好基础</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b/>
          <w:bCs/>
          <w:color w:val="auto"/>
          <w:sz w:val="32"/>
          <w:szCs w:val="32"/>
          <w:highlight w:val="none"/>
          <w:lang w:eastAsia="zh-CN"/>
        </w:rPr>
        <w:t>二是</w:t>
      </w:r>
      <w:r>
        <w:rPr>
          <w:rFonts w:hint="default" w:ascii="Times New Roman" w:hAnsi="Times New Roman" w:eastAsia="仿宋_GB2312" w:cs="Times New Roman"/>
          <w:color w:val="auto"/>
          <w:sz w:val="32"/>
          <w:szCs w:val="32"/>
          <w:highlight w:val="none"/>
          <w:lang w:val="en-US" w:eastAsia="zh-CN"/>
        </w:rPr>
        <w:t>开展易地扶贫搬迁项目资金规范管理工作，根据《四川省易地扶贫搬迁有偿资金使用管理办法》，及时修</w:t>
      </w:r>
      <w:r>
        <w:rPr>
          <w:rFonts w:hint="eastAsia" w:eastAsia="仿宋_GB2312" w:cs="Times New Roman"/>
          <w:color w:val="auto"/>
          <w:sz w:val="32"/>
          <w:szCs w:val="32"/>
          <w:highlight w:val="none"/>
          <w:lang w:val="en-US" w:eastAsia="zh-CN"/>
        </w:rPr>
        <w:t>订</w:t>
      </w:r>
      <w:r>
        <w:rPr>
          <w:rFonts w:hint="default" w:ascii="Times New Roman" w:hAnsi="Times New Roman" w:eastAsia="仿宋_GB2312" w:cs="Times New Roman"/>
          <w:color w:val="auto"/>
          <w:sz w:val="32"/>
          <w:szCs w:val="32"/>
          <w:highlight w:val="none"/>
          <w:lang w:val="en-US" w:eastAsia="zh-CN"/>
        </w:rPr>
        <w:t>了相应的易地扶贫搬迁项目资金管理制度和办法，规范投融资管理，对易地扶贫搬迁项目资金管理规范进行调整，完成解除《政府购买服务协议》、完善《资金使用协议》相关工作。</w:t>
      </w:r>
      <w:r>
        <w:rPr>
          <w:rFonts w:hint="default" w:ascii="Times New Roman" w:hAnsi="Times New Roman" w:eastAsia="仿宋_GB2312" w:cs="Times New Roman"/>
          <w:b/>
          <w:bCs w:val="0"/>
          <w:color w:val="auto"/>
          <w:sz w:val="32"/>
          <w:szCs w:val="32"/>
          <w:highlight w:val="none"/>
          <w:lang w:eastAsia="zh-CN"/>
        </w:rPr>
        <w:t>三是</w:t>
      </w:r>
      <w:r>
        <w:rPr>
          <w:rFonts w:hint="default" w:ascii="Times New Roman" w:hAnsi="Times New Roman" w:eastAsia="仿宋_GB2312" w:cs="Times New Roman"/>
          <w:color w:val="auto"/>
          <w:sz w:val="32"/>
          <w:szCs w:val="32"/>
          <w:highlight w:val="none"/>
          <w:lang w:val="en-US" w:eastAsia="zh-CN"/>
        </w:rPr>
        <w:t>落实项目资金对账制度和通报制度。定期与经办银行和各地平台公司开展对账工作，统计汇总各地项目资金使用情况，并形成分析报告，上报省脱贫办、省发展改革委、财政厅、省扶贫开发局等有关部门和单位，截至2020年度，累计发送全省易地扶贫搬迁项目资金使用情况通报12期，全省易地扶贫搬迁项目资金利息的归集情况通报4期。</w:t>
      </w:r>
    </w:p>
    <w:p>
      <w:pPr>
        <w:keepNext w:val="0"/>
        <w:keepLines w:val="0"/>
        <w:pageBreakBefore w:val="0"/>
        <w:kinsoku/>
        <w:wordWrap/>
        <w:overflowPunct/>
        <w:topLinePunct w:val="0"/>
        <w:bidi w:val="0"/>
        <w:adjustRightInd w:val="0"/>
        <w:snapToGrid w:val="0"/>
        <w:spacing w:line="540" w:lineRule="exact"/>
        <w:ind w:firstLine="642"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（三）其他交办任务完成方面。</w:t>
      </w:r>
      <w:r>
        <w:rPr>
          <w:rFonts w:hint="default" w:ascii="Times New Roman" w:hAnsi="Times New Roman" w:eastAsia="仿宋_GB2312" w:cs="Times New Roman"/>
          <w:b/>
          <w:bCs/>
          <w:color w:val="auto"/>
          <w:sz w:val="32"/>
          <w:szCs w:val="32"/>
          <w:highlight w:val="none"/>
          <w:lang w:eastAsia="zh-CN"/>
        </w:rPr>
        <w:t>一是</w:t>
      </w:r>
      <w:r>
        <w:rPr>
          <w:rFonts w:hint="default" w:ascii="Times New Roman" w:hAnsi="Times New Roman" w:eastAsia="仿宋_GB2312" w:cs="Times New Roman"/>
          <w:color w:val="auto"/>
          <w:sz w:val="32"/>
          <w:szCs w:val="32"/>
          <w:highlight w:val="none"/>
          <w:lang w:val="en-US" w:eastAsia="zh-CN"/>
        </w:rPr>
        <w:t>认真贯彻落实省脱贫攻坚领导小组工作部署，作为省脱贫攻坚领导小组成员单位，主要负责同志2020年度共参加省脱贫攻坚领导小组和省发展改革委组织召开的会议9次，组织公司全体员工认真学习省委省政府有关脱贫攻坚政策精神和决策部署共9次。</w:t>
      </w:r>
      <w:r>
        <w:rPr>
          <w:rFonts w:hint="default" w:ascii="Times New Roman" w:hAnsi="Times New Roman" w:eastAsia="仿宋_GB2312" w:cs="Times New Roman"/>
          <w:b/>
          <w:bCs/>
          <w:color w:val="auto"/>
          <w:sz w:val="32"/>
          <w:szCs w:val="32"/>
          <w:highlight w:val="none"/>
          <w:lang w:eastAsia="zh-CN"/>
        </w:rPr>
        <w:t>二是</w:t>
      </w:r>
      <w:r>
        <w:rPr>
          <w:rFonts w:hint="default" w:ascii="Times New Roman" w:hAnsi="Times New Roman" w:eastAsia="仿宋_GB2312" w:cs="Times New Roman"/>
          <w:color w:val="auto"/>
          <w:sz w:val="32"/>
          <w:szCs w:val="32"/>
          <w:highlight w:val="none"/>
          <w:lang w:val="en-US" w:eastAsia="zh-CN"/>
        </w:rPr>
        <w:t>推进专项建设基金提前偿还及减资工作。按照《研究省国农公司易地扶贫搬迁投融资有关工作座谈会会议纪要》（川发改阅〔2019〕46号），并征得省委相关领导批示同意，变更专项建设基金原有的投资回收方式，采取公司减少注册资本（以下简称“减资”）的方式进行回收暨以减资方式偿还银行融资债务中的专项建设基金项目。从2020年开始，公司每年开展一次“减资”工作。</w:t>
      </w:r>
      <w:r>
        <w:rPr>
          <w:rFonts w:hint="default" w:ascii="Times New Roman" w:hAnsi="Times New Roman" w:eastAsia="仿宋_GB2312" w:cs="Times New Roman"/>
          <w:b/>
          <w:bCs/>
          <w:color w:val="auto"/>
          <w:sz w:val="32"/>
          <w:szCs w:val="32"/>
          <w:highlight w:val="none"/>
          <w:lang w:eastAsia="zh-CN"/>
        </w:rPr>
        <w:t>三是</w:t>
      </w:r>
      <w:r>
        <w:rPr>
          <w:rFonts w:hint="default" w:ascii="Times New Roman" w:hAnsi="Times New Roman" w:eastAsia="仿宋_GB2312" w:cs="Times New Roman"/>
          <w:color w:val="auto"/>
          <w:sz w:val="32"/>
          <w:szCs w:val="32"/>
          <w:highlight w:val="none"/>
          <w:lang w:val="en-US" w:eastAsia="zh-CN"/>
        </w:rPr>
        <w:t>配合开展易地扶贫搬迁督查及调研工作。派出2名员工赴凉山州金阳县参加为期3个月的易地扶贫搬迁挂牌督战工作；配合省发展改革委赴泸州市叙永县开展易地扶贫搬迁全面评估核查现场督导工作；配合省发展改革委做好国家发展改革委调研组对广元市、南充市等区域的易地扶贫搬迁后续扶持调研工作；公司主动赴巴中市、通江县等地开展易地扶贫搬迁工作专题调研，应邀参加国家发展改革委主办的扶贫日易地扶贫搬迁论坛活动。</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（四）满意度测评方面。</w:t>
      </w:r>
      <w:r>
        <w:rPr>
          <w:rFonts w:hint="default" w:ascii="Times New Roman" w:hAnsi="Times New Roman" w:eastAsia="仿宋_GB2312" w:cs="Times New Roman"/>
          <w:color w:val="auto"/>
          <w:sz w:val="32"/>
          <w:szCs w:val="32"/>
          <w:highlight w:val="none"/>
          <w:lang w:val="en-US" w:eastAsia="zh-CN"/>
        </w:rPr>
        <w:t>我们就公司2020年度易地扶贫搬迁投融资服务的满意程度，征求了9个市（州）、9个县（市、区）以及2家金融机构（国开行省分行、农发行省分行）的意见建议，20家单位反馈均为满意。</w:t>
      </w:r>
    </w:p>
    <w:p>
      <w:pPr>
        <w:pStyle w:val="37"/>
        <w:keepNext w:val="0"/>
        <w:keepLines w:val="0"/>
        <w:pageBreakBefore w:val="0"/>
        <w:numPr>
          <w:ilvl w:val="0"/>
          <w:numId w:val="5"/>
        </w:numPr>
        <w:kinsoku/>
        <w:wordWrap/>
        <w:overflowPunct/>
        <w:topLinePunct w:val="0"/>
        <w:bidi w:val="0"/>
        <w:spacing w:line="540" w:lineRule="exact"/>
        <w:ind w:firstLine="640" w:firstLineChars="200"/>
        <w:rPr>
          <w:rFonts w:hint="default" w:ascii="Times New Roman" w:hAnsi="Times New Roman" w:eastAsia="黑体" w:cs="Times New Roman"/>
          <w:color w:val="auto"/>
          <w:kern w:val="2"/>
          <w:sz w:val="32"/>
          <w:szCs w:val="32"/>
          <w:highlight w:val="none"/>
          <w:lang w:val="en-US" w:eastAsia="zh-CN" w:bidi="ar-SA"/>
        </w:rPr>
      </w:pPr>
      <w:r>
        <w:rPr>
          <w:rFonts w:hint="default" w:ascii="Times New Roman" w:hAnsi="Times New Roman" w:eastAsia="黑体" w:cs="Times New Roman"/>
          <w:color w:val="auto"/>
          <w:kern w:val="2"/>
          <w:sz w:val="32"/>
          <w:szCs w:val="32"/>
          <w:highlight w:val="none"/>
          <w:lang w:val="en-US" w:eastAsia="zh-CN" w:bidi="ar-SA"/>
        </w:rPr>
        <w:t>存在主要问题</w:t>
      </w:r>
    </w:p>
    <w:p>
      <w:pPr>
        <w:keepNext w:val="0"/>
        <w:keepLines w:val="0"/>
        <w:pageBreakBefore w:val="0"/>
        <w:kinsoku/>
        <w:wordWrap/>
        <w:overflowPunct/>
        <w:topLinePunct w:val="0"/>
        <w:bidi w:val="0"/>
        <w:adjustRightInd w:val="0"/>
        <w:snapToGrid w:val="0"/>
        <w:spacing w:line="54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通过绩效评价，我委发现</w:t>
      </w:r>
      <w:r>
        <w:rPr>
          <w:rFonts w:hint="default" w:ascii="Times New Roman" w:hAnsi="Times New Roman" w:cs="Times New Roman"/>
          <w:color w:val="auto"/>
          <w:sz w:val="32"/>
          <w:szCs w:val="32"/>
          <w:highlight w:val="none"/>
          <w:lang w:val="en-US" w:eastAsia="zh-CN"/>
        </w:rPr>
        <w:t>省国农</w:t>
      </w:r>
      <w:r>
        <w:rPr>
          <w:rFonts w:hint="default" w:ascii="Times New Roman" w:hAnsi="Times New Roman" w:eastAsia="仿宋_GB2312" w:cs="Times New Roman"/>
          <w:color w:val="auto"/>
          <w:sz w:val="32"/>
          <w:szCs w:val="32"/>
          <w:highlight w:val="none"/>
          <w:lang w:val="en-US" w:eastAsia="zh-CN"/>
        </w:rPr>
        <w:t>公司</w:t>
      </w:r>
      <w:r>
        <w:rPr>
          <w:rFonts w:hint="default" w:ascii="Times New Roman" w:hAnsi="Times New Roman" w:cs="Times New Roman"/>
          <w:color w:val="auto"/>
          <w:sz w:val="32"/>
          <w:szCs w:val="32"/>
          <w:highlight w:val="none"/>
          <w:lang w:val="en-US" w:eastAsia="zh-CN"/>
        </w:rPr>
        <w:t>在易地扶贫搬迁购买服务中，存在</w:t>
      </w:r>
      <w:r>
        <w:rPr>
          <w:rFonts w:hint="default" w:ascii="Times New Roman" w:hAnsi="Times New Roman" w:eastAsia="仿宋_GB2312" w:cs="Times New Roman"/>
          <w:color w:val="auto"/>
          <w:sz w:val="32"/>
          <w:szCs w:val="32"/>
          <w:highlight w:val="none"/>
          <w:lang w:val="en-US" w:eastAsia="zh-CN"/>
        </w:rPr>
        <w:t>资金偿还台账</w:t>
      </w:r>
      <w:r>
        <w:rPr>
          <w:rFonts w:hint="default" w:ascii="Times New Roman" w:hAnsi="Times New Roman" w:cs="Times New Roman"/>
          <w:color w:val="auto"/>
          <w:sz w:val="32"/>
          <w:szCs w:val="32"/>
          <w:highlight w:val="none"/>
          <w:lang w:val="en-US" w:eastAsia="zh-CN"/>
        </w:rPr>
        <w:t>还</w:t>
      </w:r>
      <w:r>
        <w:rPr>
          <w:rFonts w:hint="default" w:ascii="Times New Roman" w:hAnsi="Times New Roman" w:eastAsia="仿宋_GB2312" w:cs="Times New Roman"/>
          <w:color w:val="auto"/>
          <w:sz w:val="32"/>
          <w:szCs w:val="32"/>
          <w:highlight w:val="none"/>
          <w:lang w:val="en-US" w:eastAsia="zh-CN"/>
        </w:rPr>
        <w:t>不够详细</w:t>
      </w:r>
      <w:r>
        <w:rPr>
          <w:rFonts w:hint="default" w:ascii="Times New Roman" w:hAnsi="Times New Roman" w:cs="Times New Roman"/>
          <w:color w:val="auto"/>
          <w:sz w:val="32"/>
          <w:szCs w:val="32"/>
          <w:highlight w:val="none"/>
          <w:lang w:val="en-US" w:eastAsia="zh-CN"/>
        </w:rPr>
        <w:t>和</w:t>
      </w:r>
      <w:r>
        <w:rPr>
          <w:rFonts w:hint="default" w:ascii="Times New Roman" w:hAnsi="Times New Roman" w:eastAsia="仿宋_GB2312" w:cs="Times New Roman"/>
          <w:color w:val="auto"/>
          <w:sz w:val="32"/>
          <w:szCs w:val="32"/>
          <w:highlight w:val="none"/>
          <w:lang w:val="en-US" w:eastAsia="zh-CN"/>
        </w:rPr>
        <w:t>部分档案管理不</w:t>
      </w:r>
      <w:r>
        <w:rPr>
          <w:rFonts w:hint="default" w:ascii="Times New Roman" w:hAnsi="Times New Roman" w:cs="Times New Roman"/>
          <w:color w:val="auto"/>
          <w:sz w:val="32"/>
          <w:szCs w:val="32"/>
          <w:highlight w:val="none"/>
          <w:lang w:val="en-US" w:eastAsia="zh-CN"/>
        </w:rPr>
        <w:t>够</w:t>
      </w:r>
      <w:r>
        <w:rPr>
          <w:rFonts w:hint="default" w:ascii="Times New Roman" w:hAnsi="Times New Roman" w:eastAsia="仿宋_GB2312" w:cs="Times New Roman"/>
          <w:color w:val="auto"/>
          <w:sz w:val="32"/>
          <w:szCs w:val="32"/>
          <w:highlight w:val="none"/>
          <w:lang w:val="en-US" w:eastAsia="zh-CN"/>
        </w:rPr>
        <w:t>规范</w:t>
      </w:r>
      <w:r>
        <w:rPr>
          <w:rFonts w:hint="default" w:ascii="Times New Roman" w:hAnsi="Times New Roman" w:cs="Times New Roman"/>
          <w:color w:val="auto"/>
          <w:sz w:val="32"/>
          <w:szCs w:val="32"/>
          <w:highlight w:val="none"/>
          <w:lang w:val="en-US" w:eastAsia="zh-CN"/>
        </w:rPr>
        <w:t>的</w:t>
      </w:r>
      <w:r>
        <w:rPr>
          <w:rFonts w:hint="default" w:ascii="Times New Roman" w:hAnsi="Times New Roman" w:eastAsia="仿宋_GB2312" w:cs="Times New Roman"/>
          <w:color w:val="auto"/>
          <w:sz w:val="32"/>
          <w:szCs w:val="32"/>
          <w:highlight w:val="none"/>
          <w:lang w:val="en-US" w:eastAsia="zh-CN"/>
        </w:rPr>
        <w:t>现象。</w:t>
      </w:r>
    </w:p>
    <w:p>
      <w:pPr>
        <w:pStyle w:val="37"/>
        <w:keepNext w:val="0"/>
        <w:keepLines w:val="0"/>
        <w:pageBreakBefore w:val="0"/>
        <w:numPr>
          <w:ilvl w:val="0"/>
          <w:numId w:val="0"/>
        </w:numPr>
        <w:kinsoku/>
        <w:wordWrap/>
        <w:overflowPunct/>
        <w:topLinePunct w:val="0"/>
        <w:bidi w:val="0"/>
        <w:spacing w:line="54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color w:val="auto"/>
          <w:kern w:val="2"/>
          <w:sz w:val="32"/>
          <w:szCs w:val="32"/>
          <w:highlight w:val="none"/>
          <w:lang w:val="en-US" w:eastAsia="zh-CN" w:bidi="ar-SA"/>
        </w:rPr>
        <w:t>六、相关措施建议</w:t>
      </w:r>
    </w:p>
    <w:p>
      <w:pPr>
        <w:pStyle w:val="37"/>
        <w:keepNext w:val="0"/>
        <w:keepLines w:val="0"/>
        <w:pageBreakBefore w:val="0"/>
        <w:widowControl w:val="0"/>
        <w:numPr>
          <w:ilvl w:val="0"/>
          <w:numId w:val="0"/>
        </w:numPr>
        <w:kinsoku/>
        <w:wordWrap/>
        <w:overflowPunct/>
        <w:topLinePunct w:val="0"/>
        <w:autoSpaceDE w:val="0"/>
        <w:autoSpaceDN w:val="0"/>
        <w:bidi w:val="0"/>
        <w:adjustRightInd w:val="0"/>
        <w:spacing w:line="540" w:lineRule="exact"/>
        <w:ind w:firstLine="640" w:firstLineChars="200"/>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val="0"/>
          <w:bCs w:val="0"/>
          <w:color w:val="auto"/>
          <w:sz w:val="32"/>
          <w:szCs w:val="32"/>
          <w:highlight w:val="none"/>
          <w:lang w:val="en-US" w:eastAsia="zh-CN"/>
        </w:rPr>
        <w:t>针对绩效评价工作中发现的问题，我委已向省国农公司印发《易地扶贫搬迁2020年政府购买服务绩效评价有关情况的通报》，要求省国农公司对照通报中反馈的有关问题，加紧完善整改，细化工作流程，</w:t>
      </w:r>
      <w:r>
        <w:rPr>
          <w:rFonts w:hint="default" w:ascii="Times New Roman" w:hAnsi="Times New Roman" w:eastAsia="仿宋_GB2312" w:cs="Times New Roman"/>
          <w:color w:val="auto"/>
          <w:sz w:val="32"/>
          <w:szCs w:val="32"/>
          <w:highlight w:val="none"/>
          <w:lang w:val="en-US" w:eastAsia="zh-CN"/>
        </w:rPr>
        <w:t>加强全省易地扶贫搬迁政府购买服务的规范化管理，</w:t>
      </w:r>
      <w:r>
        <w:rPr>
          <w:rFonts w:hint="default" w:ascii="Times New Roman" w:hAnsi="Times New Roman" w:eastAsia="仿宋_GB2312" w:cs="Times New Roman"/>
          <w:color w:val="auto"/>
          <w:kern w:val="2"/>
          <w:sz w:val="32"/>
          <w:szCs w:val="32"/>
          <w:highlight w:val="none"/>
          <w:lang w:val="en-US" w:eastAsia="zh-CN" w:bidi="ar-SA"/>
        </w:rPr>
        <w:t>确保政府购买易地扶贫搬迁服务各项工作高质量完成。</w:t>
      </w:r>
    </w:p>
    <w:p>
      <w:pPr>
        <w:pStyle w:val="2"/>
        <w:rPr>
          <w:rFonts w:hint="default"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outlineLvl w:val="9"/>
        <w:rPr>
          <w:rFonts w:hint="default" w:ascii="Times New Roman" w:hAnsi="Times New Roman" w:eastAsia="方正小标宋简体" w:cs="Times New Roman"/>
          <w:color w:val="auto"/>
          <w:sz w:val="32"/>
          <w:szCs w:val="32"/>
          <w:highlight w:val="none"/>
          <w:lang w:val="en-US" w:eastAsia="zh-CN"/>
        </w:rPr>
      </w:pPr>
      <w:r>
        <w:rPr>
          <w:rFonts w:hint="default" w:ascii="Times New Roman" w:hAnsi="Times New Roman" w:eastAsia="方正小标宋简体" w:cs="Times New Roman"/>
          <w:color w:val="auto"/>
          <w:sz w:val="32"/>
          <w:szCs w:val="32"/>
          <w:highlight w:val="none"/>
          <w:lang w:val="en-US" w:eastAsia="zh-CN"/>
        </w:rPr>
        <w:t>2020年度易地扶贫搬迁购买服务费用项目支出绩效自评表</w:t>
      </w:r>
    </w:p>
    <w:p>
      <w:pPr>
        <w:pStyle w:val="2"/>
        <w:rPr>
          <w:rFonts w:hint="default" w:ascii="Times New Roman" w:hAnsi="Times New Roman" w:cs="Times New Roman"/>
          <w:color w:val="auto"/>
          <w:highlight w:val="none"/>
          <w:lang w:val="en-US" w:eastAsia="zh-CN"/>
        </w:rPr>
      </w:pPr>
    </w:p>
    <w:tbl>
      <w:tblPr>
        <w:tblStyle w:val="30"/>
        <w:tblW w:w="8775" w:type="dxa"/>
        <w:jc w:val="center"/>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862"/>
        <w:gridCol w:w="738"/>
        <w:gridCol w:w="2521"/>
        <w:gridCol w:w="3178"/>
        <w:gridCol w:w="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750" w:type="dxa"/>
            <w:vAlign w:val="center"/>
          </w:tcPr>
          <w:p>
            <w:pPr>
              <w:pageBreakBefore w:val="0"/>
              <w:kinsoku/>
              <w:wordWrap/>
              <w:overflowPunct/>
              <w:topLinePunct w:val="0"/>
              <w:bidi w:val="0"/>
              <w:spacing w:line="240" w:lineRule="auto"/>
              <w:jc w:val="center"/>
              <w:rPr>
                <w:rFonts w:hint="default" w:ascii="Times New Roman" w:hAnsi="Times New Roman" w:eastAsia="黑体" w:cs="Times New Roman"/>
                <w:b/>
                <w:bCs/>
                <w:color w:val="auto"/>
                <w:sz w:val="20"/>
                <w:szCs w:val="20"/>
                <w:highlight w:val="none"/>
              </w:rPr>
            </w:pPr>
            <w:r>
              <w:rPr>
                <w:rFonts w:hint="default" w:ascii="Times New Roman" w:hAnsi="Times New Roman" w:eastAsia="黑体" w:cs="Times New Roman"/>
                <w:b/>
                <w:bCs/>
                <w:color w:val="auto"/>
                <w:sz w:val="20"/>
                <w:szCs w:val="20"/>
                <w:highlight w:val="none"/>
              </w:rPr>
              <w:t>序号</w:t>
            </w:r>
          </w:p>
        </w:tc>
        <w:tc>
          <w:tcPr>
            <w:tcW w:w="862" w:type="dxa"/>
            <w:vAlign w:val="center"/>
          </w:tcPr>
          <w:p>
            <w:pPr>
              <w:pageBreakBefore w:val="0"/>
              <w:kinsoku/>
              <w:wordWrap/>
              <w:overflowPunct/>
              <w:topLinePunct w:val="0"/>
              <w:bidi w:val="0"/>
              <w:spacing w:line="240" w:lineRule="auto"/>
              <w:jc w:val="center"/>
              <w:rPr>
                <w:rFonts w:hint="default" w:ascii="Times New Roman" w:hAnsi="Times New Roman" w:eastAsia="黑体" w:cs="Times New Roman"/>
                <w:b/>
                <w:bCs/>
                <w:color w:val="auto"/>
                <w:sz w:val="20"/>
                <w:szCs w:val="20"/>
                <w:highlight w:val="none"/>
              </w:rPr>
            </w:pPr>
            <w:r>
              <w:rPr>
                <w:rFonts w:hint="default" w:ascii="Times New Roman" w:hAnsi="Times New Roman" w:eastAsia="黑体" w:cs="Times New Roman"/>
                <w:b/>
                <w:bCs/>
                <w:color w:val="auto"/>
                <w:sz w:val="20"/>
                <w:szCs w:val="20"/>
                <w:highlight w:val="none"/>
              </w:rPr>
              <w:t>主要</w:t>
            </w:r>
          </w:p>
          <w:p>
            <w:pPr>
              <w:pageBreakBefore w:val="0"/>
              <w:kinsoku/>
              <w:wordWrap/>
              <w:overflowPunct/>
              <w:topLinePunct w:val="0"/>
              <w:bidi w:val="0"/>
              <w:spacing w:line="240" w:lineRule="auto"/>
              <w:jc w:val="center"/>
              <w:rPr>
                <w:rFonts w:hint="default" w:ascii="Times New Roman" w:hAnsi="Times New Roman" w:eastAsia="黑体" w:cs="Times New Roman"/>
                <w:b/>
                <w:bCs/>
                <w:color w:val="auto"/>
                <w:sz w:val="20"/>
                <w:szCs w:val="20"/>
                <w:highlight w:val="none"/>
              </w:rPr>
            </w:pPr>
            <w:r>
              <w:rPr>
                <w:rFonts w:hint="default" w:ascii="Times New Roman" w:hAnsi="Times New Roman" w:eastAsia="黑体" w:cs="Times New Roman"/>
                <w:b/>
                <w:bCs/>
                <w:color w:val="auto"/>
                <w:sz w:val="20"/>
                <w:szCs w:val="20"/>
                <w:highlight w:val="none"/>
              </w:rPr>
              <w:t>指标</w:t>
            </w:r>
          </w:p>
        </w:tc>
        <w:tc>
          <w:tcPr>
            <w:tcW w:w="738" w:type="dxa"/>
            <w:vAlign w:val="center"/>
          </w:tcPr>
          <w:p>
            <w:pPr>
              <w:pageBreakBefore w:val="0"/>
              <w:kinsoku/>
              <w:wordWrap/>
              <w:overflowPunct/>
              <w:topLinePunct w:val="0"/>
              <w:bidi w:val="0"/>
              <w:spacing w:line="240" w:lineRule="auto"/>
              <w:jc w:val="center"/>
              <w:rPr>
                <w:rFonts w:hint="default" w:ascii="Times New Roman" w:hAnsi="Times New Roman" w:eastAsia="黑体" w:cs="Times New Roman"/>
                <w:b/>
                <w:bCs/>
                <w:color w:val="auto"/>
                <w:sz w:val="20"/>
                <w:szCs w:val="20"/>
                <w:highlight w:val="none"/>
              </w:rPr>
            </w:pPr>
            <w:r>
              <w:rPr>
                <w:rFonts w:hint="default" w:ascii="Times New Roman" w:hAnsi="Times New Roman" w:eastAsia="黑体" w:cs="Times New Roman"/>
                <w:b/>
                <w:bCs/>
                <w:color w:val="auto"/>
                <w:sz w:val="20"/>
                <w:szCs w:val="20"/>
                <w:highlight w:val="none"/>
              </w:rPr>
              <w:t>分值</w:t>
            </w:r>
          </w:p>
        </w:tc>
        <w:tc>
          <w:tcPr>
            <w:tcW w:w="2521" w:type="dxa"/>
            <w:vAlign w:val="center"/>
          </w:tcPr>
          <w:p>
            <w:pPr>
              <w:pageBreakBefore w:val="0"/>
              <w:kinsoku/>
              <w:wordWrap/>
              <w:overflowPunct/>
              <w:topLinePunct w:val="0"/>
              <w:bidi w:val="0"/>
              <w:spacing w:line="240" w:lineRule="auto"/>
              <w:jc w:val="center"/>
              <w:rPr>
                <w:rFonts w:hint="default" w:ascii="Times New Roman" w:hAnsi="Times New Roman" w:eastAsia="黑体" w:cs="Times New Roman"/>
                <w:b/>
                <w:bCs/>
                <w:color w:val="auto"/>
                <w:sz w:val="20"/>
                <w:szCs w:val="20"/>
                <w:highlight w:val="none"/>
              </w:rPr>
            </w:pPr>
            <w:r>
              <w:rPr>
                <w:rFonts w:hint="default" w:ascii="Times New Roman" w:hAnsi="Times New Roman" w:eastAsia="黑体" w:cs="Times New Roman"/>
                <w:b/>
                <w:bCs/>
                <w:color w:val="auto"/>
                <w:sz w:val="20"/>
                <w:szCs w:val="20"/>
                <w:highlight w:val="none"/>
              </w:rPr>
              <w:t>评价内容</w:t>
            </w:r>
          </w:p>
        </w:tc>
        <w:tc>
          <w:tcPr>
            <w:tcW w:w="3178" w:type="dxa"/>
            <w:vAlign w:val="center"/>
          </w:tcPr>
          <w:p>
            <w:pPr>
              <w:pageBreakBefore w:val="0"/>
              <w:kinsoku/>
              <w:wordWrap/>
              <w:overflowPunct/>
              <w:topLinePunct w:val="0"/>
              <w:bidi w:val="0"/>
              <w:spacing w:line="240" w:lineRule="auto"/>
              <w:jc w:val="center"/>
              <w:rPr>
                <w:rFonts w:hint="default" w:ascii="Times New Roman" w:hAnsi="Times New Roman" w:eastAsia="黑体" w:cs="Times New Roman"/>
                <w:b/>
                <w:bCs/>
                <w:color w:val="auto"/>
                <w:sz w:val="20"/>
                <w:szCs w:val="20"/>
                <w:highlight w:val="none"/>
              </w:rPr>
            </w:pPr>
            <w:r>
              <w:rPr>
                <w:rFonts w:hint="default" w:ascii="Times New Roman" w:hAnsi="Times New Roman" w:eastAsia="黑体" w:cs="Times New Roman"/>
                <w:b/>
                <w:bCs/>
                <w:color w:val="auto"/>
                <w:sz w:val="20"/>
                <w:szCs w:val="20"/>
                <w:highlight w:val="none"/>
              </w:rPr>
              <w:t>得分标准</w:t>
            </w:r>
          </w:p>
        </w:tc>
        <w:tc>
          <w:tcPr>
            <w:tcW w:w="726" w:type="dxa"/>
            <w:vAlign w:val="center"/>
          </w:tcPr>
          <w:p>
            <w:pPr>
              <w:pageBreakBefore w:val="0"/>
              <w:kinsoku/>
              <w:wordWrap/>
              <w:overflowPunct/>
              <w:topLinePunct w:val="0"/>
              <w:bidi w:val="0"/>
              <w:spacing w:line="240" w:lineRule="auto"/>
              <w:jc w:val="center"/>
              <w:rPr>
                <w:rFonts w:hint="default" w:ascii="Times New Roman" w:hAnsi="Times New Roman" w:eastAsia="黑体" w:cs="Times New Roman"/>
                <w:b/>
                <w:bCs/>
                <w:color w:val="auto"/>
                <w:sz w:val="20"/>
                <w:szCs w:val="20"/>
                <w:highlight w:val="none"/>
              </w:rPr>
            </w:pPr>
            <w:r>
              <w:rPr>
                <w:rFonts w:hint="default" w:ascii="Times New Roman" w:hAnsi="Times New Roman" w:eastAsia="黑体" w:cs="Times New Roman"/>
                <w:b/>
                <w:bCs/>
                <w:color w:val="auto"/>
                <w:sz w:val="20"/>
                <w:szCs w:val="20"/>
                <w:highlight w:val="none"/>
              </w:rPr>
              <w:t>自评</w:t>
            </w:r>
          </w:p>
          <w:p>
            <w:pPr>
              <w:pageBreakBefore w:val="0"/>
              <w:kinsoku/>
              <w:wordWrap/>
              <w:overflowPunct/>
              <w:topLinePunct w:val="0"/>
              <w:bidi w:val="0"/>
              <w:spacing w:line="240" w:lineRule="auto"/>
              <w:jc w:val="center"/>
              <w:rPr>
                <w:rFonts w:hint="default" w:ascii="Times New Roman" w:hAnsi="Times New Roman" w:eastAsia="黑体" w:cs="Times New Roman"/>
                <w:b/>
                <w:bCs/>
                <w:color w:val="auto"/>
                <w:sz w:val="20"/>
                <w:szCs w:val="20"/>
                <w:highlight w:val="none"/>
              </w:rPr>
            </w:pPr>
            <w:r>
              <w:rPr>
                <w:rFonts w:hint="default" w:ascii="Times New Roman" w:hAnsi="Times New Roman" w:eastAsia="黑体" w:cs="Times New Roman"/>
                <w:b/>
                <w:bCs/>
                <w:color w:val="auto"/>
                <w:sz w:val="20"/>
                <w:szCs w:val="20"/>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750"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rPr>
            </w:pPr>
            <w:r>
              <w:rPr>
                <w:rFonts w:hint="default" w:ascii="Times New Roman" w:hAnsi="Times New Roman" w:eastAsia="仿宋_GB2312" w:cs="Times New Roman"/>
                <w:color w:val="auto"/>
                <w:sz w:val="20"/>
                <w:szCs w:val="20"/>
                <w:highlight w:val="none"/>
              </w:rPr>
              <w:t>1</w:t>
            </w:r>
          </w:p>
        </w:tc>
        <w:tc>
          <w:tcPr>
            <w:tcW w:w="862"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rPr>
            </w:pPr>
            <w:r>
              <w:rPr>
                <w:rFonts w:hint="default" w:ascii="Times New Roman" w:hAnsi="Times New Roman" w:eastAsia="仿宋_GB2312" w:cs="Times New Roman"/>
                <w:color w:val="auto"/>
                <w:sz w:val="20"/>
                <w:szCs w:val="20"/>
                <w:highlight w:val="none"/>
              </w:rPr>
              <w:t>资金承接落实情况</w:t>
            </w:r>
          </w:p>
        </w:tc>
        <w:tc>
          <w:tcPr>
            <w:tcW w:w="738"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rPr>
            </w:pPr>
            <w:r>
              <w:rPr>
                <w:rFonts w:hint="default" w:ascii="Times New Roman" w:hAnsi="Times New Roman" w:eastAsia="仿宋_GB2312" w:cs="Times New Roman"/>
                <w:color w:val="auto"/>
                <w:sz w:val="20"/>
                <w:szCs w:val="20"/>
                <w:highlight w:val="none"/>
              </w:rPr>
              <w:t>25</w:t>
            </w:r>
          </w:p>
        </w:tc>
        <w:tc>
          <w:tcPr>
            <w:tcW w:w="2521" w:type="dxa"/>
            <w:vAlign w:val="center"/>
          </w:tcPr>
          <w:p>
            <w:pPr>
              <w:pageBreakBefore w:val="0"/>
              <w:kinsoku/>
              <w:wordWrap/>
              <w:overflowPunct/>
              <w:topLinePunct w:val="0"/>
              <w:bidi w:val="0"/>
              <w:spacing w:line="240" w:lineRule="auto"/>
              <w:rPr>
                <w:rFonts w:hint="default" w:ascii="Times New Roman" w:hAnsi="Times New Roman" w:eastAsia="仿宋_GB2312" w:cs="Times New Roman"/>
                <w:color w:val="auto"/>
                <w:sz w:val="20"/>
                <w:szCs w:val="20"/>
                <w:highlight w:val="none"/>
              </w:rPr>
            </w:pPr>
            <w:r>
              <w:rPr>
                <w:rFonts w:hint="default" w:ascii="Times New Roman" w:hAnsi="Times New Roman" w:eastAsia="仿宋_GB2312" w:cs="Times New Roman"/>
                <w:color w:val="auto"/>
                <w:sz w:val="20"/>
                <w:szCs w:val="20"/>
                <w:highlight w:val="none"/>
              </w:rPr>
              <w:t>根据省发展改革委、省扶贫开发局、财政厅和人行成都分行下达各地的资金调整计划，及时调整转拨至市（州）、县（市）投融资主体的完成情况。</w:t>
            </w:r>
          </w:p>
        </w:tc>
        <w:tc>
          <w:tcPr>
            <w:tcW w:w="3178" w:type="dxa"/>
            <w:vAlign w:val="center"/>
          </w:tcPr>
          <w:p>
            <w:pPr>
              <w:pageBreakBefore w:val="0"/>
              <w:kinsoku/>
              <w:wordWrap/>
              <w:overflowPunct/>
              <w:topLinePunct w:val="0"/>
              <w:bidi w:val="0"/>
              <w:spacing w:line="240" w:lineRule="auto"/>
              <w:rPr>
                <w:rFonts w:hint="default" w:ascii="Times New Roman" w:hAnsi="Times New Roman" w:eastAsia="仿宋_GB2312" w:cs="Times New Roman"/>
                <w:color w:val="auto"/>
                <w:sz w:val="20"/>
                <w:szCs w:val="20"/>
                <w:highlight w:val="none"/>
              </w:rPr>
            </w:pPr>
            <w:r>
              <w:rPr>
                <w:rFonts w:hint="default" w:ascii="Times New Roman" w:hAnsi="Times New Roman" w:eastAsia="仿宋_GB2312" w:cs="Times New Roman"/>
                <w:color w:val="auto"/>
                <w:sz w:val="20"/>
                <w:szCs w:val="20"/>
                <w:highlight w:val="none"/>
              </w:rPr>
              <w:t>按时按质圆满完成资金调整任务得满分；未遵照省级部门通知开展资金调整拨付得0分；未下达通知后20个工作日内完成资金调整任务，存在1个市（州）或县（市）扣1分，扣完为止。</w:t>
            </w:r>
          </w:p>
        </w:tc>
        <w:tc>
          <w:tcPr>
            <w:tcW w:w="726"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rPr>
            </w:pPr>
            <w:r>
              <w:rPr>
                <w:rFonts w:hint="default" w:ascii="Times New Roman" w:hAnsi="Times New Roman" w:eastAsia="仿宋_GB2312" w:cs="Times New Roman"/>
                <w:color w:val="auto"/>
                <w:sz w:val="20"/>
                <w:szCs w:val="20"/>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4" w:hRule="atLeast"/>
          <w:jc w:val="center"/>
        </w:trPr>
        <w:tc>
          <w:tcPr>
            <w:tcW w:w="750"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rPr>
            </w:pPr>
            <w:r>
              <w:rPr>
                <w:rFonts w:hint="default" w:ascii="Times New Roman" w:hAnsi="Times New Roman" w:eastAsia="仿宋_GB2312" w:cs="Times New Roman"/>
                <w:color w:val="auto"/>
                <w:sz w:val="20"/>
                <w:szCs w:val="20"/>
                <w:highlight w:val="none"/>
              </w:rPr>
              <w:t>2</w:t>
            </w:r>
          </w:p>
        </w:tc>
        <w:tc>
          <w:tcPr>
            <w:tcW w:w="862"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rPr>
            </w:pPr>
            <w:r>
              <w:rPr>
                <w:rFonts w:hint="default" w:ascii="Times New Roman" w:hAnsi="Times New Roman" w:eastAsia="仿宋_GB2312" w:cs="Times New Roman"/>
                <w:color w:val="auto"/>
                <w:sz w:val="20"/>
                <w:szCs w:val="20"/>
                <w:highlight w:val="none"/>
              </w:rPr>
              <w:t>资金归集偿还情况</w:t>
            </w:r>
          </w:p>
        </w:tc>
        <w:tc>
          <w:tcPr>
            <w:tcW w:w="738"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rPr>
            </w:pPr>
            <w:r>
              <w:rPr>
                <w:rFonts w:hint="default" w:ascii="Times New Roman" w:hAnsi="Times New Roman" w:eastAsia="仿宋_GB2312" w:cs="Times New Roman"/>
                <w:color w:val="auto"/>
                <w:sz w:val="20"/>
                <w:szCs w:val="20"/>
                <w:highlight w:val="none"/>
              </w:rPr>
              <w:t>25</w:t>
            </w:r>
          </w:p>
        </w:tc>
        <w:tc>
          <w:tcPr>
            <w:tcW w:w="2521" w:type="dxa"/>
            <w:vAlign w:val="center"/>
          </w:tcPr>
          <w:p>
            <w:pPr>
              <w:pageBreakBefore w:val="0"/>
              <w:kinsoku/>
              <w:wordWrap/>
              <w:overflowPunct/>
              <w:topLinePunct w:val="0"/>
              <w:bidi w:val="0"/>
              <w:spacing w:line="240" w:lineRule="auto"/>
              <w:rPr>
                <w:rFonts w:hint="default" w:ascii="Times New Roman" w:hAnsi="Times New Roman" w:eastAsia="仿宋_GB2312" w:cs="Times New Roman"/>
                <w:color w:val="auto"/>
                <w:sz w:val="20"/>
                <w:szCs w:val="20"/>
                <w:highlight w:val="none"/>
              </w:rPr>
            </w:pPr>
            <w:r>
              <w:rPr>
                <w:rFonts w:hint="default" w:ascii="Times New Roman" w:hAnsi="Times New Roman" w:eastAsia="仿宋_GB2312" w:cs="Times New Roman"/>
                <w:color w:val="auto"/>
                <w:sz w:val="20"/>
                <w:szCs w:val="20"/>
                <w:highlight w:val="none"/>
              </w:rPr>
              <w:t>省国农公司落实银行约定，按期偿还易地扶贫搬迁长期低息贷款本金及利息、专项建设基金回购资金及投资收益的完成情况。</w:t>
            </w:r>
          </w:p>
        </w:tc>
        <w:tc>
          <w:tcPr>
            <w:tcW w:w="3178" w:type="dxa"/>
            <w:vAlign w:val="center"/>
          </w:tcPr>
          <w:p>
            <w:pPr>
              <w:pageBreakBefore w:val="0"/>
              <w:kinsoku/>
              <w:wordWrap/>
              <w:overflowPunct/>
              <w:topLinePunct w:val="0"/>
              <w:bidi w:val="0"/>
              <w:spacing w:line="240" w:lineRule="auto"/>
              <w:rPr>
                <w:rFonts w:hint="default" w:ascii="Times New Roman" w:hAnsi="Times New Roman" w:eastAsia="仿宋_GB2312" w:cs="Times New Roman"/>
                <w:color w:val="auto"/>
                <w:sz w:val="20"/>
                <w:szCs w:val="20"/>
                <w:highlight w:val="none"/>
              </w:rPr>
            </w:pPr>
            <w:r>
              <w:rPr>
                <w:rFonts w:hint="default" w:ascii="Times New Roman" w:hAnsi="Times New Roman" w:eastAsia="仿宋_GB2312" w:cs="Times New Roman"/>
                <w:color w:val="auto"/>
                <w:sz w:val="20"/>
                <w:szCs w:val="20"/>
                <w:highlight w:val="none"/>
              </w:rPr>
              <w:t>按时完成年度项目资金本息归集偿还工作得满分，未完成年度项目资金本息归集偿还工作得0分；未按时足额偿还银行资金本息，一次扣5分。</w:t>
            </w:r>
          </w:p>
        </w:tc>
        <w:tc>
          <w:tcPr>
            <w:tcW w:w="726"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rPr>
            </w:pPr>
            <w:r>
              <w:rPr>
                <w:rFonts w:hint="default" w:ascii="Times New Roman" w:hAnsi="Times New Roman" w:eastAsia="仿宋_GB2312" w:cs="Times New Roman"/>
                <w:color w:val="auto"/>
                <w:sz w:val="20"/>
                <w:szCs w:val="20"/>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2" w:hRule="atLeast"/>
          <w:jc w:val="center"/>
        </w:trPr>
        <w:tc>
          <w:tcPr>
            <w:tcW w:w="750"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rPr>
            </w:pPr>
            <w:r>
              <w:rPr>
                <w:rFonts w:hint="default" w:ascii="Times New Roman" w:hAnsi="Times New Roman" w:eastAsia="仿宋_GB2312" w:cs="Times New Roman"/>
                <w:color w:val="auto"/>
                <w:sz w:val="20"/>
                <w:szCs w:val="20"/>
                <w:highlight w:val="none"/>
              </w:rPr>
              <w:t>3</w:t>
            </w:r>
          </w:p>
        </w:tc>
        <w:tc>
          <w:tcPr>
            <w:tcW w:w="862"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rPr>
            </w:pPr>
            <w:r>
              <w:rPr>
                <w:rFonts w:hint="default" w:ascii="Times New Roman" w:hAnsi="Times New Roman" w:eastAsia="仿宋_GB2312" w:cs="Times New Roman"/>
                <w:color w:val="auto"/>
                <w:sz w:val="20"/>
                <w:szCs w:val="20"/>
                <w:highlight w:val="none"/>
              </w:rPr>
              <w:t>规范化管理情况</w:t>
            </w:r>
          </w:p>
        </w:tc>
        <w:tc>
          <w:tcPr>
            <w:tcW w:w="738"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rPr>
            </w:pPr>
            <w:r>
              <w:rPr>
                <w:rFonts w:hint="default" w:ascii="Times New Roman" w:hAnsi="Times New Roman" w:eastAsia="仿宋_GB2312" w:cs="Times New Roman"/>
                <w:color w:val="auto"/>
                <w:sz w:val="20"/>
                <w:szCs w:val="20"/>
                <w:highlight w:val="none"/>
              </w:rPr>
              <w:t>20</w:t>
            </w:r>
          </w:p>
        </w:tc>
        <w:tc>
          <w:tcPr>
            <w:tcW w:w="2521" w:type="dxa"/>
            <w:vAlign w:val="center"/>
          </w:tcPr>
          <w:p>
            <w:pPr>
              <w:pageBreakBefore w:val="0"/>
              <w:kinsoku/>
              <w:wordWrap/>
              <w:overflowPunct/>
              <w:topLinePunct w:val="0"/>
              <w:bidi w:val="0"/>
              <w:spacing w:line="240" w:lineRule="auto"/>
              <w:rPr>
                <w:rFonts w:hint="default" w:ascii="Times New Roman" w:hAnsi="Times New Roman" w:eastAsia="仿宋_GB2312" w:cs="Times New Roman"/>
                <w:color w:val="auto"/>
                <w:sz w:val="20"/>
                <w:szCs w:val="20"/>
                <w:highlight w:val="none"/>
              </w:rPr>
            </w:pPr>
            <w:r>
              <w:rPr>
                <w:rFonts w:hint="default" w:ascii="Times New Roman" w:hAnsi="Times New Roman" w:eastAsia="仿宋_GB2312" w:cs="Times New Roman"/>
                <w:color w:val="auto"/>
                <w:sz w:val="20"/>
                <w:szCs w:val="20"/>
                <w:highlight w:val="none"/>
              </w:rPr>
              <w:t>省国农公司落实相关规定，对各市（州）、县（市）投融资主体及经办银行的资金借入、使用和偿还的投融资业务及财务等规范化管理情况。</w:t>
            </w:r>
          </w:p>
        </w:tc>
        <w:tc>
          <w:tcPr>
            <w:tcW w:w="3178" w:type="dxa"/>
            <w:vAlign w:val="center"/>
          </w:tcPr>
          <w:p>
            <w:pPr>
              <w:pageBreakBefore w:val="0"/>
              <w:kinsoku/>
              <w:wordWrap/>
              <w:overflowPunct/>
              <w:topLinePunct w:val="0"/>
              <w:bidi w:val="0"/>
              <w:spacing w:line="240" w:lineRule="auto"/>
              <w:rPr>
                <w:rFonts w:hint="default" w:ascii="Times New Roman" w:hAnsi="Times New Roman" w:eastAsia="仿宋_GB2312" w:cs="Times New Roman"/>
                <w:color w:val="auto"/>
                <w:sz w:val="20"/>
                <w:szCs w:val="20"/>
                <w:highlight w:val="none"/>
              </w:rPr>
            </w:pPr>
            <w:r>
              <w:rPr>
                <w:rFonts w:hint="default" w:ascii="Times New Roman" w:hAnsi="Times New Roman" w:eastAsia="仿宋_GB2312" w:cs="Times New Roman"/>
                <w:color w:val="auto"/>
                <w:sz w:val="20"/>
                <w:szCs w:val="20"/>
                <w:highlight w:val="none"/>
              </w:rPr>
              <w:t>投融资规范化管理制度健全，有关项目资金承接拨付、本息归集偿付凭证和相关投融资协议等档料完整，管理规范无误得满分；投融资规范化管理制度存在明显缺陷扣5分；投融资保障中存在明显资料缺失，管理不规范等问题，涉及1个项目市（州）或县（市）扣1分。</w:t>
            </w:r>
          </w:p>
        </w:tc>
        <w:tc>
          <w:tcPr>
            <w:tcW w:w="726"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lang w:val="en-US" w:eastAsia="zh-CN"/>
              </w:rPr>
            </w:pPr>
            <w:r>
              <w:rPr>
                <w:rFonts w:hint="default" w:ascii="Times New Roman" w:hAnsi="Times New Roman" w:eastAsia="仿宋_GB2312" w:cs="Times New Roman"/>
                <w:color w:val="auto"/>
                <w:sz w:val="20"/>
                <w:szCs w:val="20"/>
                <w:highlight w:val="none"/>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4" w:hRule="atLeast"/>
          <w:jc w:val="center"/>
        </w:trPr>
        <w:tc>
          <w:tcPr>
            <w:tcW w:w="750"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rPr>
            </w:pPr>
            <w:r>
              <w:rPr>
                <w:rFonts w:hint="default" w:ascii="Times New Roman" w:hAnsi="Times New Roman" w:eastAsia="仿宋_GB2312" w:cs="Times New Roman"/>
                <w:color w:val="auto"/>
                <w:sz w:val="20"/>
                <w:szCs w:val="20"/>
                <w:highlight w:val="none"/>
              </w:rPr>
              <w:t>4</w:t>
            </w:r>
          </w:p>
        </w:tc>
        <w:tc>
          <w:tcPr>
            <w:tcW w:w="862"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rPr>
            </w:pPr>
            <w:r>
              <w:rPr>
                <w:rFonts w:hint="default" w:ascii="Times New Roman" w:hAnsi="Times New Roman" w:eastAsia="仿宋_GB2312" w:cs="Times New Roman"/>
                <w:color w:val="auto"/>
                <w:sz w:val="20"/>
                <w:szCs w:val="20"/>
                <w:highlight w:val="none"/>
              </w:rPr>
              <w:t>其他交办任务完成情况</w:t>
            </w:r>
          </w:p>
        </w:tc>
        <w:tc>
          <w:tcPr>
            <w:tcW w:w="738"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rPr>
            </w:pPr>
            <w:r>
              <w:rPr>
                <w:rFonts w:hint="default" w:ascii="Times New Roman" w:hAnsi="Times New Roman" w:eastAsia="仿宋_GB2312" w:cs="Times New Roman"/>
                <w:color w:val="auto"/>
                <w:sz w:val="20"/>
                <w:szCs w:val="20"/>
                <w:highlight w:val="none"/>
              </w:rPr>
              <w:t>15</w:t>
            </w:r>
          </w:p>
        </w:tc>
        <w:tc>
          <w:tcPr>
            <w:tcW w:w="2521" w:type="dxa"/>
            <w:vAlign w:val="center"/>
          </w:tcPr>
          <w:p>
            <w:pPr>
              <w:pageBreakBefore w:val="0"/>
              <w:kinsoku/>
              <w:wordWrap/>
              <w:overflowPunct/>
              <w:topLinePunct w:val="0"/>
              <w:bidi w:val="0"/>
              <w:spacing w:line="240" w:lineRule="auto"/>
              <w:rPr>
                <w:rFonts w:hint="default" w:ascii="Times New Roman" w:hAnsi="Times New Roman" w:eastAsia="仿宋_GB2312" w:cs="Times New Roman"/>
                <w:color w:val="auto"/>
                <w:sz w:val="20"/>
                <w:szCs w:val="20"/>
                <w:highlight w:val="none"/>
              </w:rPr>
            </w:pPr>
            <w:r>
              <w:rPr>
                <w:rFonts w:hint="default" w:ascii="Times New Roman" w:hAnsi="Times New Roman" w:eastAsia="仿宋_GB2312" w:cs="Times New Roman"/>
                <w:color w:val="auto"/>
                <w:sz w:val="20"/>
                <w:szCs w:val="20"/>
                <w:highlight w:val="none"/>
              </w:rPr>
              <w:t>省国农公司按时按质完成省委、省政府及省发展改革委等相关部门交办的，与易地扶贫搬迁项目资金保障相关，未在购买服务协议中具体明确的工作任务情况。</w:t>
            </w:r>
          </w:p>
        </w:tc>
        <w:tc>
          <w:tcPr>
            <w:tcW w:w="3178" w:type="dxa"/>
            <w:vAlign w:val="center"/>
          </w:tcPr>
          <w:p>
            <w:pPr>
              <w:pageBreakBefore w:val="0"/>
              <w:kinsoku/>
              <w:wordWrap/>
              <w:overflowPunct/>
              <w:topLinePunct w:val="0"/>
              <w:bidi w:val="0"/>
              <w:spacing w:line="240" w:lineRule="auto"/>
              <w:rPr>
                <w:rFonts w:hint="default" w:ascii="Times New Roman" w:hAnsi="Times New Roman" w:eastAsia="仿宋_GB2312" w:cs="Times New Roman"/>
                <w:color w:val="auto"/>
                <w:sz w:val="20"/>
                <w:szCs w:val="20"/>
                <w:highlight w:val="none"/>
              </w:rPr>
            </w:pPr>
            <w:r>
              <w:rPr>
                <w:rFonts w:hint="default" w:ascii="Times New Roman" w:hAnsi="Times New Roman" w:eastAsia="仿宋_GB2312" w:cs="Times New Roman"/>
                <w:color w:val="auto"/>
                <w:sz w:val="20"/>
                <w:szCs w:val="20"/>
                <w:highlight w:val="none"/>
              </w:rPr>
              <w:t>按时按质完成省委、省政府及省发展改革委等相关部门交办的工作任务得满分；未完成正式通知交办的工作任务，1次扣2分，扣完为止。</w:t>
            </w:r>
          </w:p>
        </w:tc>
        <w:tc>
          <w:tcPr>
            <w:tcW w:w="726"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rPr>
            </w:pPr>
            <w:r>
              <w:rPr>
                <w:rFonts w:hint="default" w:ascii="Times New Roman" w:hAnsi="Times New Roman" w:eastAsia="仿宋_GB2312" w:cs="Times New Roman"/>
                <w:color w:val="auto"/>
                <w:sz w:val="20"/>
                <w:szCs w:val="20"/>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2" w:hRule="atLeast"/>
          <w:jc w:val="center"/>
        </w:trPr>
        <w:tc>
          <w:tcPr>
            <w:tcW w:w="750"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rPr>
            </w:pPr>
            <w:r>
              <w:rPr>
                <w:rFonts w:hint="default" w:ascii="Times New Roman" w:hAnsi="Times New Roman" w:eastAsia="仿宋_GB2312" w:cs="Times New Roman"/>
                <w:color w:val="auto"/>
                <w:sz w:val="20"/>
                <w:szCs w:val="20"/>
                <w:highlight w:val="none"/>
              </w:rPr>
              <w:t>5</w:t>
            </w:r>
          </w:p>
        </w:tc>
        <w:tc>
          <w:tcPr>
            <w:tcW w:w="862"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rPr>
            </w:pPr>
            <w:r>
              <w:rPr>
                <w:rFonts w:hint="default" w:ascii="Times New Roman" w:hAnsi="Times New Roman" w:eastAsia="仿宋_GB2312" w:cs="Times New Roman"/>
                <w:color w:val="auto"/>
                <w:sz w:val="20"/>
                <w:szCs w:val="20"/>
                <w:highlight w:val="none"/>
              </w:rPr>
              <w:t>满意度测评情况</w:t>
            </w:r>
          </w:p>
        </w:tc>
        <w:tc>
          <w:tcPr>
            <w:tcW w:w="738"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rPr>
            </w:pPr>
            <w:r>
              <w:rPr>
                <w:rFonts w:hint="default" w:ascii="Times New Roman" w:hAnsi="Times New Roman" w:eastAsia="仿宋_GB2312" w:cs="Times New Roman"/>
                <w:color w:val="auto"/>
                <w:sz w:val="20"/>
                <w:szCs w:val="20"/>
                <w:highlight w:val="none"/>
              </w:rPr>
              <w:t>15</w:t>
            </w:r>
          </w:p>
        </w:tc>
        <w:tc>
          <w:tcPr>
            <w:tcW w:w="2521" w:type="dxa"/>
            <w:vAlign w:val="center"/>
          </w:tcPr>
          <w:p>
            <w:pPr>
              <w:pageBreakBefore w:val="0"/>
              <w:kinsoku/>
              <w:wordWrap/>
              <w:overflowPunct/>
              <w:topLinePunct w:val="0"/>
              <w:bidi w:val="0"/>
              <w:spacing w:line="240" w:lineRule="auto"/>
              <w:rPr>
                <w:rFonts w:hint="default" w:ascii="Times New Roman" w:hAnsi="Times New Roman" w:eastAsia="仿宋_GB2312" w:cs="Times New Roman"/>
                <w:color w:val="auto"/>
                <w:sz w:val="20"/>
                <w:szCs w:val="20"/>
                <w:highlight w:val="none"/>
              </w:rPr>
            </w:pPr>
            <w:r>
              <w:rPr>
                <w:rFonts w:hint="default" w:ascii="Times New Roman" w:hAnsi="Times New Roman" w:eastAsia="仿宋_GB2312" w:cs="Times New Roman"/>
                <w:color w:val="auto"/>
                <w:sz w:val="20"/>
                <w:szCs w:val="20"/>
                <w:highlight w:val="none"/>
              </w:rPr>
              <w:t>省国农公司在易地扶贫搬迁投融资服务过程中，有关银行和市（州）、县（市）平台公司对其投融资保障服务的满意度情况。</w:t>
            </w:r>
          </w:p>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rPr>
            </w:pPr>
          </w:p>
        </w:tc>
        <w:tc>
          <w:tcPr>
            <w:tcW w:w="3178" w:type="dxa"/>
            <w:vAlign w:val="center"/>
          </w:tcPr>
          <w:p>
            <w:pPr>
              <w:pageBreakBefore w:val="0"/>
              <w:kinsoku/>
              <w:wordWrap/>
              <w:overflowPunct/>
              <w:topLinePunct w:val="0"/>
              <w:bidi w:val="0"/>
              <w:spacing w:line="240" w:lineRule="auto"/>
              <w:rPr>
                <w:rFonts w:hint="default" w:ascii="Times New Roman" w:hAnsi="Times New Roman" w:eastAsia="仿宋_GB2312" w:cs="Times New Roman"/>
                <w:color w:val="auto"/>
                <w:sz w:val="20"/>
                <w:szCs w:val="20"/>
                <w:highlight w:val="none"/>
              </w:rPr>
            </w:pPr>
            <w:r>
              <w:rPr>
                <w:rFonts w:hint="default" w:ascii="Times New Roman" w:hAnsi="Times New Roman" w:eastAsia="仿宋_GB2312" w:cs="Times New Roman"/>
                <w:color w:val="auto"/>
                <w:sz w:val="20"/>
                <w:szCs w:val="20"/>
                <w:highlight w:val="none"/>
              </w:rPr>
              <w:t>每年抽取20个有省国农公司资金承接拨付任务的相关银行及项目市（州）、县（市）平台公司，进行满意度测评，按满意为5分，基本满意为4分，不满意为0分标准计分，将20个公司的累计得分乘以15％，作为省国农公司满意度得分。</w:t>
            </w:r>
          </w:p>
        </w:tc>
        <w:tc>
          <w:tcPr>
            <w:tcW w:w="726"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lang w:val="en-US" w:eastAsia="zh-CN"/>
              </w:rPr>
            </w:pPr>
            <w:r>
              <w:rPr>
                <w:rFonts w:hint="default" w:ascii="Times New Roman" w:hAnsi="Times New Roman" w:eastAsia="仿宋_GB2312" w:cs="Times New Roman"/>
                <w:color w:val="auto"/>
                <w:sz w:val="20"/>
                <w:szCs w:val="20"/>
                <w:highlight w:val="none"/>
                <w:lang w:val="en-US" w:eastAsia="zh-CN"/>
              </w:rPr>
              <w:t>15</w:t>
            </w:r>
          </w:p>
        </w:tc>
      </w:tr>
    </w:tbl>
    <w:p>
      <w:pPr>
        <w:pageBreakBefore w:val="0"/>
        <w:kinsoku/>
        <w:wordWrap/>
        <w:overflowPunct/>
        <w:topLinePunct w:val="0"/>
        <w:bidi w:val="0"/>
        <w:spacing w:line="540" w:lineRule="exact"/>
        <w:jc w:val="center"/>
        <w:rPr>
          <w:rFonts w:hint="default" w:ascii="Times New Roman" w:hAnsi="Times New Roman" w:eastAsia="方正小标宋简体" w:cs="Times New Roman"/>
          <w:color w:val="auto"/>
          <w:sz w:val="44"/>
          <w:szCs w:val="44"/>
          <w:highlight w:val="none"/>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lang w:val="en-US" w:eastAsia="zh-CN"/>
        </w:rPr>
        <w:t>2020年部门预算项目支出绩效自评报告</w:t>
      </w:r>
    </w:p>
    <w:p>
      <w:pPr>
        <w:keepNext w:val="0"/>
        <w:keepLines w:val="0"/>
        <w:pageBreakBefore w:val="0"/>
        <w:widowControl w:val="0"/>
        <w:tabs>
          <w:tab w:val="left" w:pos="3885"/>
        </w:tabs>
        <w:kinsoku/>
        <w:wordWrap/>
        <w:overflowPunct/>
        <w:topLinePunct w:val="0"/>
        <w:autoSpaceDE/>
        <w:autoSpaceDN/>
        <w:bidi w:val="0"/>
        <w:adjustRightInd/>
        <w:snapToGrid w:val="0"/>
        <w:spacing w:line="600" w:lineRule="exact"/>
        <w:jc w:val="center"/>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（委机关办公用房维护专项资金（上年结转）项目）</w:t>
      </w:r>
    </w:p>
    <w:p>
      <w:pPr>
        <w:keepNext w:val="0"/>
        <w:keepLines w:val="0"/>
        <w:pageBreakBefore w:val="0"/>
        <w:widowControl w:val="0"/>
        <w:numPr>
          <w:ilvl w:val="0"/>
          <w:numId w:val="0"/>
        </w:numPr>
        <w:tabs>
          <w:tab w:val="left" w:pos="3885"/>
        </w:tabs>
        <w:kinsoku/>
        <w:wordWrap/>
        <w:overflowPunct/>
        <w:topLinePunct w:val="0"/>
        <w:autoSpaceDE/>
        <w:autoSpaceDN/>
        <w:bidi w:val="0"/>
        <w:adjustRightInd/>
        <w:snapToGrid w:val="0"/>
        <w:spacing w:line="540" w:lineRule="exact"/>
        <w:jc w:val="left"/>
        <w:textAlignment w:val="auto"/>
        <w:outlineLvl w:val="9"/>
        <w:rPr>
          <w:rFonts w:hint="default" w:ascii="Times New Roman" w:hAnsi="Times New Roman" w:eastAsia="黑体" w:cs="Times New Roman"/>
          <w:color w:val="auto"/>
          <w:sz w:val="32"/>
          <w:szCs w:val="21"/>
          <w:highlight w:val="none"/>
          <w:lang w:val="en-US" w:eastAsia="zh-CN"/>
        </w:rPr>
      </w:pPr>
      <w:r>
        <w:rPr>
          <w:rFonts w:hint="default" w:ascii="Times New Roman" w:hAnsi="Times New Roman" w:eastAsia="黑体" w:cs="Times New Roman"/>
          <w:color w:val="auto"/>
          <w:sz w:val="32"/>
          <w:szCs w:val="21"/>
          <w:highlight w:val="none"/>
          <w:lang w:val="en-US" w:eastAsia="zh-CN"/>
        </w:rPr>
        <w:t xml:space="preserve">  </w:t>
      </w:r>
    </w:p>
    <w:p>
      <w:pPr>
        <w:keepNext w:val="0"/>
        <w:keepLines w:val="0"/>
        <w:pageBreakBefore w:val="0"/>
        <w:widowControl w:val="0"/>
        <w:numPr>
          <w:ilvl w:val="0"/>
          <w:numId w:val="0"/>
        </w:numPr>
        <w:tabs>
          <w:tab w:val="left" w:pos="3885"/>
        </w:tabs>
        <w:kinsoku/>
        <w:wordWrap/>
        <w:overflowPunct/>
        <w:topLinePunct w:val="0"/>
        <w:autoSpaceDE/>
        <w:autoSpaceDN/>
        <w:bidi w:val="0"/>
        <w:adjustRightInd/>
        <w:snapToGrid w:val="0"/>
        <w:spacing w:line="540" w:lineRule="exact"/>
        <w:jc w:val="left"/>
        <w:textAlignment w:val="auto"/>
        <w:outlineLvl w:val="9"/>
        <w:rPr>
          <w:rFonts w:hint="default" w:ascii="Times New Roman" w:hAnsi="Times New Roman" w:eastAsia="黑体" w:cs="Times New Roman"/>
          <w:color w:val="auto"/>
          <w:sz w:val="32"/>
          <w:szCs w:val="21"/>
          <w:highlight w:val="none"/>
          <w:lang w:eastAsia="zh-CN"/>
        </w:rPr>
      </w:pPr>
      <w:r>
        <w:rPr>
          <w:rFonts w:hint="default" w:ascii="Times New Roman" w:hAnsi="Times New Roman" w:eastAsia="黑体" w:cs="Times New Roman"/>
          <w:color w:val="auto"/>
          <w:sz w:val="32"/>
          <w:szCs w:val="21"/>
          <w:highlight w:val="none"/>
          <w:lang w:val="en-US" w:eastAsia="zh-CN"/>
        </w:rPr>
        <w:t xml:space="preserve">    一、</w:t>
      </w:r>
      <w:r>
        <w:rPr>
          <w:rFonts w:hint="default" w:ascii="Times New Roman" w:hAnsi="Times New Roman" w:eastAsia="黑体" w:cs="Times New Roman"/>
          <w:color w:val="auto"/>
          <w:sz w:val="32"/>
          <w:szCs w:val="21"/>
          <w:highlight w:val="none"/>
          <w:lang w:eastAsia="zh-CN"/>
        </w:rPr>
        <w:t>基本情况</w:t>
      </w:r>
    </w:p>
    <w:p>
      <w:pPr>
        <w:keepNext w:val="0"/>
        <w:keepLines w:val="0"/>
        <w:pageBreakBefore w:val="0"/>
        <w:widowControl w:val="0"/>
        <w:numPr>
          <w:ilvl w:val="0"/>
          <w:numId w:val="0"/>
        </w:numPr>
        <w:tabs>
          <w:tab w:val="left" w:pos="3885"/>
        </w:tabs>
        <w:kinsoku/>
        <w:wordWrap/>
        <w:overflowPunct/>
        <w:topLinePunct w:val="0"/>
        <w:autoSpaceDE/>
        <w:autoSpaceDN/>
        <w:bidi w:val="0"/>
        <w:adjustRightInd/>
        <w:snapToGrid w:val="0"/>
        <w:spacing w:line="540" w:lineRule="exact"/>
        <w:ind w:firstLine="640" w:firstLineChars="200"/>
        <w:jc w:val="left"/>
        <w:textAlignment w:val="auto"/>
        <w:outlineLvl w:val="9"/>
        <w:rPr>
          <w:rFonts w:hint="default" w:ascii="Times New Roman" w:hAnsi="Times New Roman" w:eastAsia="仿宋_GB2312" w:cs="Times New Roman"/>
          <w:b w:val="0"/>
          <w:bCs w:val="0"/>
          <w:color w:val="auto"/>
          <w:sz w:val="32"/>
          <w:szCs w:val="21"/>
          <w:highlight w:val="none"/>
          <w:lang w:val="en-US" w:eastAsia="zh-CN"/>
        </w:rPr>
      </w:pPr>
      <w:r>
        <w:rPr>
          <w:rFonts w:hint="default" w:ascii="Times New Roman" w:hAnsi="Times New Roman" w:eastAsia="仿宋_GB2312" w:cs="Times New Roman"/>
          <w:b w:val="0"/>
          <w:bCs w:val="0"/>
          <w:color w:val="auto"/>
          <w:sz w:val="32"/>
          <w:szCs w:val="21"/>
          <w:highlight w:val="none"/>
          <w:lang w:val="en-US" w:eastAsia="zh-CN"/>
        </w:rPr>
        <w:t>省发展改革委办公大楼发展大厦自投入使用以来，相关设施老化、损坏问题突出，加之经历汶川和芦山地震，大楼防水、玻璃幕墙、室内地砖、墙面、门扇等出现大面积不同程度损坏。2019年省机关事务管理安排资金207.81万元，主要对大楼平台、职工餐厅、办公室等区域的室内外防水处理、瓷砖更换、墙面修补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left"/>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绩效目标为：一是解决委机关食堂厨房区域地面排水及渗水等问题；二是改善食堂厨房环境，在原有基础上将墙面，顶棚及设备管线更换，整体达到卫生及安全使用要求；三是更换老化的办公室门；四是发展大厦大楼四楼六楼裙楼平台防水处理及更换瓷砖。</w:t>
      </w:r>
      <w:r>
        <w:rPr>
          <w:rFonts w:hint="default" w:ascii="Times New Roman" w:hAnsi="Times New Roman" w:eastAsia="仿宋_GB2312" w:cs="Times New Roman"/>
          <w:bCs/>
          <w:color w:val="auto"/>
          <w:sz w:val="32"/>
          <w:szCs w:val="32"/>
          <w:highlight w:val="none"/>
        </w:rPr>
        <w:t>项目绩效目标制定三级指标1</w:t>
      </w:r>
      <w:r>
        <w:rPr>
          <w:rFonts w:hint="default" w:ascii="Times New Roman" w:hAnsi="Times New Roman" w:eastAsia="仿宋_GB2312" w:cs="Times New Roman"/>
          <w:bCs/>
          <w:color w:val="auto"/>
          <w:sz w:val="32"/>
          <w:szCs w:val="32"/>
          <w:highlight w:val="none"/>
          <w:lang w:val="en-US" w:eastAsia="zh-CN"/>
        </w:rPr>
        <w:t>4</w:t>
      </w:r>
      <w:r>
        <w:rPr>
          <w:rFonts w:hint="default" w:ascii="Times New Roman" w:hAnsi="Times New Roman" w:eastAsia="仿宋_GB2312" w:cs="Times New Roman"/>
          <w:bCs/>
          <w:color w:val="auto"/>
          <w:sz w:val="32"/>
          <w:szCs w:val="32"/>
          <w:highlight w:val="none"/>
        </w:rPr>
        <w:t>个，其中数量指标</w:t>
      </w:r>
      <w:r>
        <w:rPr>
          <w:rFonts w:hint="default" w:ascii="Times New Roman" w:hAnsi="Times New Roman" w:eastAsia="仿宋_GB2312" w:cs="Times New Roman"/>
          <w:bCs/>
          <w:color w:val="auto"/>
          <w:sz w:val="32"/>
          <w:szCs w:val="32"/>
          <w:highlight w:val="none"/>
          <w:lang w:val="en-US" w:eastAsia="zh-CN"/>
        </w:rPr>
        <w:t>8</w:t>
      </w:r>
      <w:r>
        <w:rPr>
          <w:rFonts w:hint="default" w:ascii="Times New Roman" w:hAnsi="Times New Roman" w:eastAsia="仿宋_GB2312" w:cs="Times New Roman"/>
          <w:bCs/>
          <w:color w:val="auto"/>
          <w:sz w:val="32"/>
          <w:szCs w:val="32"/>
          <w:highlight w:val="none"/>
        </w:rPr>
        <w:t>个，质量指标2个，可持续影响指标3个，满意度指标1个。</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left"/>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该项目预算金额207.81万元，实际支付183.36万元</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val="en-US" w:eastAsia="zh-CN"/>
        </w:rPr>
        <w:t>预算执行88.23%</w:t>
      </w:r>
      <w:r>
        <w:rPr>
          <w:rFonts w:hint="default" w:ascii="Times New Roman" w:hAnsi="Times New Roman" w:eastAsia="仿宋_GB2312" w:cs="Times New Roman"/>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outlineLvl w:val="9"/>
        <w:rPr>
          <w:rFonts w:hint="default" w:ascii="Times New Roman" w:hAnsi="Times New Roman" w:eastAsia="仿宋_GB2312" w:cs="Times New Roman"/>
          <w:color w:val="auto"/>
          <w:sz w:val="32"/>
          <w:szCs w:val="21"/>
          <w:highlight w:val="none"/>
          <w:lang w:eastAsia="zh-CN"/>
        </w:rPr>
      </w:pPr>
      <w:r>
        <w:rPr>
          <w:rFonts w:hint="default" w:ascii="Times New Roman" w:hAnsi="Times New Roman" w:eastAsia="黑体" w:cs="Times New Roman"/>
          <w:color w:val="auto"/>
          <w:sz w:val="32"/>
          <w:szCs w:val="21"/>
          <w:highlight w:val="none"/>
          <w:lang w:eastAsia="zh-CN"/>
        </w:rPr>
        <w:t>二、评价工作开展情况</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认真组织学习财政部《项目支出绩效评价管理办法》和财政厅《四川省省级项目支出绩效管理办法》，按照财政厅《关于开展</w:t>
      </w:r>
      <w:r>
        <w:rPr>
          <w:rFonts w:hint="default" w:ascii="Times New Roman" w:hAnsi="Times New Roman" w:eastAsia="仿宋_GB2312" w:cs="Times New Roman"/>
          <w:color w:val="auto"/>
          <w:sz w:val="32"/>
          <w:szCs w:val="32"/>
          <w:highlight w:val="none"/>
          <w:lang w:val="en-US" w:eastAsia="zh-CN"/>
        </w:rPr>
        <w:t>2021年部门、政策和项目支出绩效评价工作的通知</w:t>
      </w:r>
      <w:r>
        <w:rPr>
          <w:rFonts w:hint="default" w:ascii="Times New Roman" w:hAnsi="Times New Roman" w:eastAsia="仿宋_GB2312" w:cs="Times New Roman"/>
          <w:color w:val="auto"/>
          <w:sz w:val="32"/>
          <w:szCs w:val="32"/>
          <w:highlight w:val="none"/>
          <w:lang w:eastAsia="zh-CN"/>
        </w:rPr>
        <w:t>》要求，全面梳理</w:t>
      </w:r>
      <w:r>
        <w:rPr>
          <w:rFonts w:hint="default" w:ascii="Times New Roman" w:hAnsi="Times New Roman" w:eastAsia="仿宋_GB2312" w:cs="Times New Roman"/>
          <w:color w:val="auto"/>
          <w:sz w:val="32"/>
          <w:szCs w:val="32"/>
          <w:highlight w:val="none"/>
        </w:rPr>
        <w:t>项目</w:t>
      </w:r>
      <w:r>
        <w:rPr>
          <w:rFonts w:hint="default" w:ascii="Times New Roman" w:hAnsi="Times New Roman" w:eastAsia="仿宋_GB2312" w:cs="Times New Roman"/>
          <w:color w:val="auto"/>
          <w:sz w:val="32"/>
          <w:szCs w:val="32"/>
          <w:highlight w:val="none"/>
          <w:lang w:eastAsia="zh-CN"/>
        </w:rPr>
        <w:t>决策、实施、资金使用、产出效益等相关情况，</w:t>
      </w:r>
      <w:r>
        <w:rPr>
          <w:rFonts w:hint="default" w:ascii="Times New Roman" w:hAnsi="Times New Roman" w:eastAsia="仿宋_GB2312" w:cs="Times New Roman"/>
          <w:color w:val="auto"/>
          <w:sz w:val="32"/>
          <w:szCs w:val="32"/>
          <w:highlight w:val="none"/>
          <w:lang w:val="en-US" w:eastAsia="zh-CN"/>
        </w:rPr>
        <w:t>认真分析绩效实施情况。形成了自评报告。</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outlineLvl w:val="9"/>
        <w:rPr>
          <w:rFonts w:hint="default" w:ascii="Times New Roman" w:hAnsi="Times New Roman" w:eastAsia="黑体" w:cs="Times New Roman"/>
          <w:color w:val="auto"/>
          <w:sz w:val="32"/>
          <w:szCs w:val="21"/>
          <w:highlight w:val="none"/>
        </w:rPr>
      </w:pPr>
      <w:r>
        <w:rPr>
          <w:rFonts w:hint="default" w:ascii="Times New Roman" w:hAnsi="Times New Roman" w:eastAsia="黑体" w:cs="Times New Roman"/>
          <w:color w:val="auto"/>
          <w:sz w:val="32"/>
          <w:szCs w:val="21"/>
          <w:highlight w:val="none"/>
          <w:lang w:eastAsia="zh-CN"/>
        </w:rPr>
        <w:t>三</w:t>
      </w:r>
      <w:r>
        <w:rPr>
          <w:rFonts w:hint="default" w:ascii="Times New Roman" w:hAnsi="Times New Roman" w:eastAsia="黑体" w:cs="Times New Roman"/>
          <w:color w:val="auto"/>
          <w:sz w:val="32"/>
          <w:szCs w:val="21"/>
          <w:highlight w:val="none"/>
        </w:rPr>
        <w:t>、</w:t>
      </w:r>
      <w:r>
        <w:rPr>
          <w:rFonts w:hint="default" w:ascii="Times New Roman" w:hAnsi="Times New Roman" w:eastAsia="黑体" w:cs="Times New Roman"/>
          <w:color w:val="auto"/>
          <w:sz w:val="32"/>
          <w:szCs w:val="21"/>
          <w:highlight w:val="none"/>
          <w:lang w:eastAsia="zh-CN"/>
        </w:rPr>
        <w:t>综合</w:t>
      </w:r>
      <w:r>
        <w:rPr>
          <w:rFonts w:hint="default" w:ascii="Times New Roman" w:hAnsi="Times New Roman" w:eastAsia="黑体" w:cs="Times New Roman"/>
          <w:color w:val="auto"/>
          <w:sz w:val="32"/>
          <w:szCs w:val="21"/>
          <w:highlight w:val="none"/>
        </w:rPr>
        <w:t>评价结论</w:t>
      </w:r>
    </w:p>
    <w:p>
      <w:pPr>
        <w:keepNext w:val="0"/>
        <w:pageBreakBefore w:val="0"/>
        <w:kinsoku/>
        <w:wordWrap/>
        <w:overflowPunct/>
        <w:topLinePunct w:val="0"/>
        <w:autoSpaceDE/>
        <w:autoSpaceDN/>
        <w:bidi w:val="0"/>
        <w:snapToGrid w:val="0"/>
        <w:spacing w:line="54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该项目</w:t>
      </w:r>
      <w:r>
        <w:rPr>
          <w:rFonts w:hint="default" w:ascii="Times New Roman" w:hAnsi="Times New Roman" w:eastAsia="仿宋_GB2312" w:cs="Times New Roman"/>
          <w:color w:val="auto"/>
          <w:sz w:val="32"/>
          <w:szCs w:val="32"/>
          <w:highlight w:val="none"/>
        </w:rPr>
        <w:t>严格落实预算管理制度，</w:t>
      </w:r>
      <w:r>
        <w:rPr>
          <w:rFonts w:hint="default" w:ascii="Times New Roman" w:hAnsi="Times New Roman" w:eastAsia="仿宋_GB2312" w:cs="Times New Roman"/>
          <w:color w:val="auto"/>
          <w:sz w:val="32"/>
          <w:szCs w:val="32"/>
          <w:highlight w:val="none"/>
          <w:lang w:val="en-US" w:eastAsia="zh-CN"/>
        </w:rPr>
        <w:t>支出</w:t>
      </w:r>
      <w:r>
        <w:rPr>
          <w:rFonts w:hint="default" w:ascii="Times New Roman" w:hAnsi="Times New Roman" w:eastAsia="仿宋_GB2312" w:cs="Times New Roman"/>
          <w:color w:val="auto"/>
          <w:sz w:val="32"/>
          <w:szCs w:val="32"/>
          <w:highlight w:val="none"/>
        </w:rPr>
        <w:t>规范，</w:t>
      </w:r>
      <w:r>
        <w:rPr>
          <w:rFonts w:hint="default" w:ascii="Times New Roman" w:hAnsi="Times New Roman" w:eastAsia="仿宋_GB2312" w:cs="Times New Roman"/>
          <w:color w:val="auto"/>
          <w:sz w:val="32"/>
          <w:szCs w:val="32"/>
          <w:highlight w:val="none"/>
          <w:lang w:val="en-US" w:eastAsia="zh-CN"/>
        </w:rPr>
        <w:t>按预期保质保量完成工程任务</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基本实现</w:t>
      </w:r>
      <w:r>
        <w:rPr>
          <w:rFonts w:hint="default" w:ascii="Times New Roman" w:hAnsi="Times New Roman" w:eastAsia="仿宋_GB2312" w:cs="Times New Roman"/>
          <w:color w:val="auto"/>
          <w:sz w:val="32"/>
          <w:szCs w:val="32"/>
          <w:highlight w:val="none"/>
        </w:rPr>
        <w:t>了预期绩效目标。</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outlineLvl w:val="9"/>
        <w:rPr>
          <w:rFonts w:hint="default" w:ascii="Times New Roman" w:hAnsi="Times New Roman" w:eastAsia="黑体" w:cs="Times New Roman"/>
          <w:b w:val="0"/>
          <w:bCs/>
          <w:color w:val="auto"/>
          <w:sz w:val="32"/>
          <w:szCs w:val="21"/>
          <w:highlight w:val="none"/>
          <w:lang w:eastAsia="zh-CN"/>
        </w:rPr>
      </w:pPr>
      <w:r>
        <w:rPr>
          <w:rFonts w:hint="default" w:ascii="Times New Roman" w:hAnsi="Times New Roman" w:eastAsia="黑体" w:cs="Times New Roman"/>
          <w:b w:val="0"/>
          <w:bCs/>
          <w:color w:val="auto"/>
          <w:sz w:val="32"/>
          <w:szCs w:val="21"/>
          <w:highlight w:val="none"/>
          <w:lang w:eastAsia="zh-CN"/>
        </w:rPr>
        <w:t>四、绩效评价分析</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outlineLvl w:val="9"/>
        <w:rPr>
          <w:rFonts w:hint="default" w:ascii="Times New Roman" w:hAnsi="Times New Roman" w:eastAsia="楷体_GB2312" w:cs="Times New Roman"/>
          <w:bCs/>
          <w:color w:val="auto"/>
          <w:sz w:val="32"/>
          <w:szCs w:val="32"/>
          <w:highlight w:val="none"/>
        </w:rPr>
      </w:pPr>
      <w:r>
        <w:rPr>
          <w:rFonts w:hint="default" w:ascii="Times New Roman" w:hAnsi="Times New Roman" w:eastAsia="楷体_GB2312" w:cs="Times New Roman"/>
          <w:bCs/>
          <w:color w:val="auto"/>
          <w:sz w:val="32"/>
          <w:szCs w:val="32"/>
          <w:highlight w:val="none"/>
          <w:lang w:val="en-US" w:eastAsia="zh-CN"/>
        </w:rPr>
        <w:t>（一）</w:t>
      </w:r>
      <w:r>
        <w:rPr>
          <w:rFonts w:hint="default" w:ascii="Times New Roman" w:hAnsi="Times New Roman" w:eastAsia="楷体_GB2312" w:cs="Times New Roman"/>
          <w:bCs/>
          <w:color w:val="auto"/>
          <w:sz w:val="32"/>
          <w:szCs w:val="32"/>
          <w:highlight w:val="none"/>
        </w:rPr>
        <w:t>立项必要性</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outlineLvl w:val="9"/>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通过此次办公用房维修改造：一是解决委机关食堂厨房区域地面排水及渗水等问题；二是改善食堂厨房环境，在原有基础上将墙面，顶棚及设备管线更换，整体达到卫生及安全使用要求；三是更换老化的办公室门；四是发展大厦大楼四楼六楼裙楼平台防水处理及更换瓷砖。</w:t>
      </w:r>
      <w:r>
        <w:rPr>
          <w:rFonts w:hint="eastAsia" w:eastAsia="仿宋_GB2312" w:cs="Times New Roman"/>
          <w:bCs/>
          <w:color w:val="auto"/>
          <w:sz w:val="32"/>
          <w:szCs w:val="32"/>
          <w:highlight w:val="none"/>
          <w:lang w:val="en-US" w:eastAsia="zh-CN"/>
        </w:rPr>
        <w:t>满足</w:t>
      </w:r>
      <w:r>
        <w:rPr>
          <w:rFonts w:hint="default" w:ascii="Times New Roman" w:hAnsi="Times New Roman" w:eastAsia="仿宋_GB2312" w:cs="Times New Roman"/>
          <w:bCs/>
          <w:color w:val="auto"/>
          <w:sz w:val="32"/>
          <w:szCs w:val="32"/>
          <w:highlight w:val="none"/>
        </w:rPr>
        <w:t>部门</w:t>
      </w:r>
      <w:r>
        <w:rPr>
          <w:rFonts w:hint="eastAsia" w:eastAsia="仿宋_GB2312" w:cs="Times New Roman"/>
          <w:bCs/>
          <w:color w:val="auto"/>
          <w:sz w:val="32"/>
          <w:szCs w:val="32"/>
          <w:highlight w:val="none"/>
          <w:lang w:val="en-US" w:eastAsia="zh-CN"/>
        </w:rPr>
        <w:t>履行</w:t>
      </w:r>
      <w:r>
        <w:rPr>
          <w:rFonts w:hint="default" w:ascii="Times New Roman" w:hAnsi="Times New Roman" w:eastAsia="仿宋_GB2312" w:cs="Times New Roman"/>
          <w:bCs/>
          <w:color w:val="auto"/>
          <w:sz w:val="32"/>
          <w:szCs w:val="32"/>
          <w:highlight w:val="none"/>
        </w:rPr>
        <w:t>职能职责</w:t>
      </w:r>
      <w:r>
        <w:rPr>
          <w:rFonts w:hint="eastAsia" w:eastAsia="仿宋_GB2312" w:cs="Times New Roman"/>
          <w:bCs/>
          <w:color w:val="auto"/>
          <w:sz w:val="32"/>
          <w:szCs w:val="32"/>
          <w:highlight w:val="none"/>
          <w:lang w:val="en-US" w:eastAsia="zh-CN"/>
        </w:rPr>
        <w:t>必要办公条件的需要</w:t>
      </w:r>
      <w:r>
        <w:rPr>
          <w:rFonts w:hint="default" w:ascii="Times New Roman" w:hAnsi="Times New Roman" w:eastAsia="仿宋_GB2312" w:cs="Times New Roman"/>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outlineLvl w:val="9"/>
        <w:rPr>
          <w:rFonts w:hint="default" w:ascii="Times New Roman" w:hAnsi="Times New Roman" w:eastAsia="楷体_GB2312" w:cs="Times New Roman"/>
          <w:bCs/>
          <w:color w:val="auto"/>
          <w:sz w:val="32"/>
          <w:szCs w:val="32"/>
          <w:highlight w:val="none"/>
        </w:rPr>
      </w:pP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二</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rPr>
        <w:t>预算科学性</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outlineLvl w:val="9"/>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该专项项目资金未列入2020年初部门预算，后经《四川省财政厅关于下达省发展改革委经费预算的通知》（川财建﹝2020﹞136号）列入2020年中期调整预算，预算金额</w:t>
      </w:r>
      <w:r>
        <w:rPr>
          <w:rFonts w:hint="default" w:ascii="Times New Roman" w:hAnsi="Times New Roman" w:eastAsia="仿宋_GB2312" w:cs="Times New Roman"/>
          <w:color w:val="auto"/>
          <w:sz w:val="32"/>
          <w:szCs w:val="32"/>
          <w:highlight w:val="none"/>
        </w:rPr>
        <w:t>207.81</w:t>
      </w:r>
      <w:r>
        <w:rPr>
          <w:rFonts w:hint="default" w:ascii="Times New Roman" w:hAnsi="Times New Roman" w:eastAsia="仿宋_GB2312" w:cs="Times New Roman"/>
          <w:bCs/>
          <w:color w:val="auto"/>
          <w:sz w:val="32"/>
          <w:szCs w:val="32"/>
          <w:highlight w:val="none"/>
        </w:rPr>
        <w:t>万元（委机关）；申报预算测算依据为项目建设内容、规模等。用于办公用房维修改造，边界清晰，与其他项目不存在重叠交叉现象。</w:t>
      </w:r>
    </w:p>
    <w:p>
      <w:pPr>
        <w:keepNext w:val="0"/>
        <w:keepLines/>
        <w:pageBreakBefore w:val="0"/>
        <w:kinsoku/>
        <w:wordWrap/>
        <w:overflowPunct/>
        <w:topLinePunct w:val="0"/>
        <w:autoSpaceDE/>
        <w:autoSpaceDN/>
        <w:bidi w:val="0"/>
        <w:spacing w:before="87" w:beforeLines="20" w:after="43" w:afterLines="10" w:line="540" w:lineRule="exact"/>
        <w:ind w:firstLine="640" w:firstLineChars="200"/>
        <w:jc w:val="both"/>
        <w:textAlignment w:val="auto"/>
        <w:outlineLvl w:val="9"/>
        <w:rPr>
          <w:rFonts w:hint="default" w:ascii="Times New Roman" w:hAnsi="Times New Roman" w:eastAsia="楷体_GB2312" w:cs="Times New Roman"/>
          <w:bCs/>
          <w:color w:val="auto"/>
          <w:sz w:val="32"/>
          <w:szCs w:val="32"/>
          <w:highlight w:val="none"/>
        </w:rPr>
      </w:pP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三</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rPr>
        <w:t xml:space="preserve">绩效目标编制质量 </w:t>
      </w:r>
    </w:p>
    <w:p>
      <w:pPr>
        <w:keepNext w:val="0"/>
        <w:keepLines w:val="0"/>
        <w:pageBreakBefore w:val="0"/>
        <w:widowControl w:val="0"/>
        <w:kinsoku/>
        <w:wordWrap/>
        <w:overflowPunct/>
        <w:topLinePunct w:val="0"/>
        <w:autoSpaceDE/>
        <w:autoSpaceDN/>
        <w:bidi w:val="0"/>
        <w:adjustRightInd/>
        <w:snapToGrid/>
        <w:spacing w:before="63" w:beforeLines="20" w:after="32" w:afterLines="10" w:line="540" w:lineRule="exact"/>
        <w:ind w:left="0" w:leftChars="0" w:right="0" w:rightChars="0" w:firstLine="640" w:firstLineChars="200"/>
        <w:jc w:val="both"/>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该</w:t>
      </w:r>
      <w:r>
        <w:rPr>
          <w:rFonts w:hint="default" w:ascii="Times New Roman" w:hAnsi="Times New Roman" w:eastAsia="仿宋_GB2312" w:cs="Times New Roman"/>
          <w:bCs/>
          <w:color w:val="auto"/>
          <w:sz w:val="32"/>
          <w:szCs w:val="32"/>
          <w:highlight w:val="none"/>
        </w:rPr>
        <w:t>项目绩效目标制定三级指标1</w:t>
      </w:r>
      <w:r>
        <w:rPr>
          <w:rFonts w:hint="default" w:ascii="Times New Roman" w:hAnsi="Times New Roman" w:eastAsia="仿宋_GB2312" w:cs="Times New Roman"/>
          <w:bCs/>
          <w:color w:val="auto"/>
          <w:sz w:val="32"/>
          <w:szCs w:val="32"/>
          <w:highlight w:val="none"/>
          <w:lang w:val="en-US" w:eastAsia="zh-CN"/>
        </w:rPr>
        <w:t>4</w:t>
      </w:r>
      <w:r>
        <w:rPr>
          <w:rFonts w:hint="default" w:ascii="Times New Roman" w:hAnsi="Times New Roman" w:eastAsia="仿宋_GB2312" w:cs="Times New Roman"/>
          <w:bCs/>
          <w:color w:val="auto"/>
          <w:sz w:val="32"/>
          <w:szCs w:val="32"/>
          <w:highlight w:val="none"/>
        </w:rPr>
        <w:t>个，其中数量指标</w:t>
      </w:r>
      <w:r>
        <w:rPr>
          <w:rFonts w:hint="default" w:ascii="Times New Roman" w:hAnsi="Times New Roman" w:eastAsia="仿宋_GB2312" w:cs="Times New Roman"/>
          <w:bCs/>
          <w:color w:val="auto"/>
          <w:sz w:val="32"/>
          <w:szCs w:val="32"/>
          <w:highlight w:val="none"/>
          <w:lang w:val="en-US" w:eastAsia="zh-CN"/>
        </w:rPr>
        <w:t>8</w:t>
      </w:r>
      <w:r>
        <w:rPr>
          <w:rFonts w:hint="default" w:ascii="Times New Roman" w:hAnsi="Times New Roman" w:eastAsia="仿宋_GB2312" w:cs="Times New Roman"/>
          <w:bCs/>
          <w:color w:val="auto"/>
          <w:sz w:val="32"/>
          <w:szCs w:val="32"/>
          <w:highlight w:val="none"/>
        </w:rPr>
        <w:t>个，质量指标2个，可持续影响指标3个，满意度指标1个。</w:t>
      </w:r>
      <w:r>
        <w:rPr>
          <w:rFonts w:hint="default" w:ascii="Times New Roman" w:hAnsi="Times New Roman" w:eastAsia="仿宋_GB2312" w:cs="Times New Roman"/>
          <w:bCs/>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63" w:beforeLines="20" w:after="32" w:afterLines="10" w:line="540" w:lineRule="exact"/>
        <w:ind w:left="0" w:leftChars="0" w:right="0" w:rightChars="0" w:firstLine="640" w:firstLineChars="200"/>
        <w:jc w:val="both"/>
        <w:textAlignment w:val="auto"/>
        <w:outlineLvl w:val="9"/>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上述绩效目标体现了项目功能与服务产出数量、质量；项目目标一定程度上体现了成本效益原则，目标设计具备可考核性；项目大体有分阶段实施计划和目标；绩效目标与项目预计解决的问题、现实需求比较匹配，目标具有绩效促进作用；绩效指标比较细化量化。</w:t>
      </w:r>
    </w:p>
    <w:p>
      <w:pPr>
        <w:keepNext w:val="0"/>
        <w:pageBreakBefore w:val="0"/>
        <w:widowControl/>
        <w:numPr>
          <w:ilvl w:val="0"/>
          <w:numId w:val="6"/>
        </w:numPr>
        <w:kinsoku/>
        <w:wordWrap/>
        <w:overflowPunct/>
        <w:topLinePunct w:val="0"/>
        <w:autoSpaceDE/>
        <w:autoSpaceDN/>
        <w:bidi w:val="0"/>
        <w:adjustRightInd w:val="0"/>
        <w:snapToGrid w:val="0"/>
        <w:spacing w:before="87" w:beforeLines="20" w:after="43" w:afterLines="10" w:line="540" w:lineRule="exact"/>
        <w:ind w:firstLine="640" w:firstLineChars="200"/>
        <w:jc w:val="both"/>
        <w:textAlignment w:val="auto"/>
        <w:outlineLvl w:val="9"/>
        <w:rPr>
          <w:rFonts w:hint="default" w:ascii="Times New Roman" w:hAnsi="Times New Roman" w:eastAsia="楷体_GB2312" w:cs="Times New Roman"/>
          <w:bCs/>
          <w:color w:val="auto"/>
          <w:sz w:val="32"/>
          <w:szCs w:val="32"/>
          <w:highlight w:val="none"/>
        </w:rPr>
      </w:pPr>
      <w:r>
        <w:rPr>
          <w:rFonts w:hint="default" w:ascii="Times New Roman" w:hAnsi="Times New Roman" w:eastAsia="楷体_GB2312" w:cs="Times New Roman"/>
          <w:bCs/>
          <w:color w:val="auto"/>
          <w:sz w:val="32"/>
          <w:szCs w:val="32"/>
          <w:highlight w:val="none"/>
        </w:rPr>
        <w:t>项目实施情况</w:t>
      </w:r>
    </w:p>
    <w:p>
      <w:pPr>
        <w:keepNext w:val="0"/>
        <w:pageBreakBefore w:val="0"/>
        <w:tabs>
          <w:tab w:val="left" w:pos="1524"/>
        </w:tabs>
        <w:kinsoku/>
        <w:wordWrap/>
        <w:overflowPunct/>
        <w:topLinePunct w:val="0"/>
        <w:autoSpaceDE/>
        <w:autoSpaceDN/>
        <w:bidi w:val="0"/>
        <w:spacing w:line="540" w:lineRule="exact"/>
        <w:jc w:val="left"/>
        <w:rPr>
          <w:rFonts w:hint="default" w:ascii="Times New Roman" w:hAnsi="Times New Roman" w:eastAsia="仿宋_GB2312" w:cs="Times New Roman"/>
          <w:bCs/>
          <w:color w:val="auto"/>
          <w:sz w:val="32"/>
          <w:szCs w:val="32"/>
          <w:highlight w:val="none"/>
        </w:rPr>
      </w:pPr>
      <w:r>
        <w:rPr>
          <w:rFonts w:hint="default" w:ascii="Times New Roman" w:hAnsi="Times New Roman" w:cs="Times New Roman"/>
          <w:bCs/>
          <w:color w:val="auto"/>
          <w:sz w:val="32"/>
          <w:szCs w:val="32"/>
          <w:highlight w:val="none"/>
          <w:lang w:val="en-US" w:eastAsia="zh-CN"/>
        </w:rPr>
        <w:t xml:space="preserve">    1.</w:t>
      </w:r>
      <w:r>
        <w:rPr>
          <w:rFonts w:hint="default" w:ascii="Times New Roman" w:hAnsi="Times New Roman" w:eastAsia="仿宋_GB2312" w:cs="Times New Roman"/>
          <w:bCs/>
          <w:color w:val="auto"/>
          <w:sz w:val="32"/>
          <w:szCs w:val="32"/>
          <w:highlight w:val="none"/>
        </w:rPr>
        <w:t>制度执行情况</w:t>
      </w:r>
      <w:r>
        <w:rPr>
          <w:rFonts w:hint="default" w:ascii="Times New Roman" w:hAnsi="Times New Roman"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该专项项目履行了财政要求的申报及调整评估程序，项目申报及调整有效执行了本部门的申报及调整制度。</w:t>
      </w:r>
    </w:p>
    <w:p>
      <w:pPr>
        <w:keepNext w:val="0"/>
        <w:pageBreakBefore w:val="0"/>
        <w:widowControl/>
        <w:kinsoku/>
        <w:wordWrap/>
        <w:overflowPunct/>
        <w:topLinePunct w:val="0"/>
        <w:autoSpaceDE/>
        <w:autoSpaceDN/>
        <w:bidi w:val="0"/>
        <w:adjustRightInd w:val="0"/>
        <w:snapToGrid w:val="0"/>
        <w:spacing w:before="87" w:beforeLines="20" w:after="43" w:afterLines="10" w:line="540" w:lineRule="exact"/>
        <w:ind w:firstLine="640" w:firstLineChars="200"/>
        <w:jc w:val="both"/>
        <w:textAlignment w:val="auto"/>
        <w:outlineLvl w:val="9"/>
        <w:rPr>
          <w:rFonts w:hint="default" w:ascii="Times New Roman" w:hAnsi="Times New Roman" w:eastAsia="仿宋_GB2312" w:cs="Times New Roman"/>
          <w:bCs/>
          <w:color w:val="auto"/>
          <w:sz w:val="32"/>
          <w:szCs w:val="32"/>
          <w:highlight w:val="none"/>
        </w:rPr>
      </w:pPr>
      <w:r>
        <w:rPr>
          <w:rFonts w:hint="default" w:ascii="Times New Roman" w:hAnsi="Times New Roman" w:cs="Times New Roman"/>
          <w:bCs/>
          <w:color w:val="auto"/>
          <w:sz w:val="32"/>
          <w:szCs w:val="32"/>
          <w:highlight w:val="none"/>
          <w:lang w:val="en-US" w:eastAsia="zh-CN"/>
        </w:rPr>
        <w:t>2.</w:t>
      </w:r>
      <w:r>
        <w:rPr>
          <w:rFonts w:hint="default" w:ascii="Times New Roman" w:hAnsi="Times New Roman" w:eastAsia="仿宋_GB2312" w:cs="Times New Roman"/>
          <w:bCs/>
          <w:color w:val="auto"/>
          <w:sz w:val="32"/>
          <w:szCs w:val="32"/>
          <w:highlight w:val="none"/>
        </w:rPr>
        <w:t>项目匹配情况</w:t>
      </w:r>
      <w:r>
        <w:rPr>
          <w:rFonts w:hint="default" w:ascii="Times New Roman" w:hAnsi="Times New Roman"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根据项目绩效目标申报及财政预算批复，该项目预算金额207.81万元，实际支付183.36万元；实际列支内容与项目绩效目标设置方向相符。</w:t>
      </w:r>
    </w:p>
    <w:p>
      <w:pPr>
        <w:keepNext w:val="0"/>
        <w:pageBreakBefore w:val="0"/>
        <w:widowControl/>
        <w:kinsoku/>
        <w:wordWrap/>
        <w:overflowPunct/>
        <w:topLinePunct w:val="0"/>
        <w:autoSpaceDE/>
        <w:autoSpaceDN/>
        <w:bidi w:val="0"/>
        <w:adjustRightInd w:val="0"/>
        <w:snapToGrid w:val="0"/>
        <w:spacing w:line="540" w:lineRule="exact"/>
        <w:ind w:right="-198" w:rightChars="-62" w:firstLine="640" w:firstLineChars="200"/>
        <w:jc w:val="both"/>
        <w:textAlignment w:val="auto"/>
        <w:outlineLvl w:val="9"/>
        <w:rPr>
          <w:rFonts w:hint="default" w:ascii="Times New Roman" w:hAnsi="Times New Roman" w:eastAsia="仿宋_GB2312" w:cs="Times New Roman"/>
          <w:bCs/>
          <w:color w:val="auto"/>
          <w:sz w:val="32"/>
          <w:szCs w:val="32"/>
          <w:highlight w:val="none"/>
        </w:rPr>
      </w:pPr>
      <w:r>
        <w:rPr>
          <w:rFonts w:hint="default" w:ascii="Times New Roman" w:hAnsi="Times New Roman" w:cs="Times New Roman"/>
          <w:bCs/>
          <w:color w:val="auto"/>
          <w:sz w:val="32"/>
          <w:szCs w:val="32"/>
          <w:highlight w:val="none"/>
          <w:lang w:val="en-US" w:eastAsia="zh-CN"/>
        </w:rPr>
        <w:t>3.</w:t>
      </w:r>
      <w:r>
        <w:rPr>
          <w:rFonts w:hint="default" w:ascii="Times New Roman" w:hAnsi="Times New Roman" w:eastAsia="仿宋_GB2312" w:cs="Times New Roman"/>
          <w:bCs/>
          <w:color w:val="auto"/>
          <w:sz w:val="32"/>
          <w:szCs w:val="32"/>
          <w:highlight w:val="none"/>
        </w:rPr>
        <w:t>费用开支情况</w:t>
      </w:r>
      <w:r>
        <w:rPr>
          <w:rFonts w:hint="default" w:ascii="Times New Roman" w:hAnsi="Times New Roman"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在项目中列支“维修（护）费”等项目支出183.36万元，占项目实际总支出的100%。该项目</w:t>
      </w:r>
      <w:r>
        <w:rPr>
          <w:rFonts w:hint="default" w:ascii="Times New Roman" w:hAnsi="Times New Roman" w:cs="Times New Roman"/>
          <w:bCs/>
          <w:color w:val="auto"/>
          <w:sz w:val="32"/>
          <w:szCs w:val="32"/>
          <w:highlight w:val="none"/>
          <w:lang w:val="en-US" w:eastAsia="zh-CN"/>
        </w:rPr>
        <w:t>未</w:t>
      </w:r>
      <w:r>
        <w:rPr>
          <w:rFonts w:hint="default" w:ascii="Times New Roman" w:hAnsi="Times New Roman" w:eastAsia="仿宋_GB2312" w:cs="Times New Roman"/>
          <w:bCs/>
          <w:color w:val="auto"/>
          <w:sz w:val="32"/>
          <w:szCs w:val="32"/>
          <w:highlight w:val="none"/>
        </w:rPr>
        <w:t>列支办公费、差旅费、培训费等应在公用经费中列支的16项支出</w:t>
      </w:r>
      <w:r>
        <w:rPr>
          <w:rFonts w:hint="default" w:ascii="Times New Roman" w:hAnsi="Times New Roman" w:cs="Times New Roman"/>
          <w:bCs/>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楷体_GB2312" w:cs="Times New Roman"/>
          <w:bCs/>
          <w:color w:val="auto"/>
          <w:sz w:val="32"/>
          <w:szCs w:val="32"/>
          <w:highlight w:val="none"/>
        </w:rPr>
      </w:pP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五</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rPr>
        <w:t>预算完成结果</w:t>
      </w:r>
      <w:r>
        <w:rPr>
          <w:rFonts w:hint="default" w:ascii="Times New Roman" w:hAnsi="Times New Roman" w:eastAsia="楷体_GB2312" w:cs="Times New Roman"/>
          <w:bCs/>
          <w:color w:val="auto"/>
          <w:sz w:val="32"/>
          <w:szCs w:val="32"/>
          <w:highlight w:val="none"/>
          <w:lang w:val="en-US" w:eastAsia="zh-CN"/>
        </w:rPr>
        <w:t>情况</w:t>
      </w:r>
    </w:p>
    <w:p>
      <w:pPr>
        <w:keepNext w:val="0"/>
        <w:pageBreakBefore w:val="0"/>
        <w:widowControl/>
        <w:kinsoku/>
        <w:wordWrap/>
        <w:overflowPunct/>
        <w:topLinePunct w:val="0"/>
        <w:autoSpaceDE/>
        <w:autoSpaceDN/>
        <w:bidi w:val="0"/>
        <w:adjustRightInd w:val="0"/>
        <w:snapToGrid w:val="0"/>
        <w:spacing w:before="87" w:beforeLines="20" w:after="43" w:afterLines="10" w:line="540" w:lineRule="exact"/>
        <w:ind w:firstLine="640" w:firstLineChars="200"/>
        <w:jc w:val="both"/>
        <w:textAlignment w:val="auto"/>
        <w:outlineLvl w:val="9"/>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该项目预算207.81万元，实际执行183.36万元，预算执行率88.23%；项目资金年末由财政收回24.45万元。注消比例11.76%。</w:t>
      </w:r>
    </w:p>
    <w:p>
      <w:pPr>
        <w:keepNext w:val="0"/>
        <w:pageBreakBefore w:val="0"/>
        <w:widowControl/>
        <w:kinsoku/>
        <w:wordWrap/>
        <w:overflowPunct/>
        <w:topLinePunct w:val="0"/>
        <w:autoSpaceDE/>
        <w:autoSpaceDN/>
        <w:bidi w:val="0"/>
        <w:adjustRightInd w:val="0"/>
        <w:snapToGrid w:val="0"/>
        <w:spacing w:before="87" w:beforeLines="20" w:after="43" w:afterLines="10" w:line="540" w:lineRule="exact"/>
        <w:ind w:firstLine="640" w:firstLineChars="200"/>
        <w:jc w:val="both"/>
        <w:textAlignment w:val="auto"/>
        <w:outlineLvl w:val="9"/>
        <w:rPr>
          <w:rFonts w:hint="default" w:ascii="Times New Roman" w:hAnsi="Times New Roman" w:eastAsia="楷体_GB2312" w:cs="Times New Roman"/>
          <w:bCs/>
          <w:color w:val="auto"/>
          <w:sz w:val="32"/>
          <w:szCs w:val="32"/>
          <w:highlight w:val="none"/>
        </w:rPr>
      </w:pP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lang w:val="en-US" w:eastAsia="zh-CN"/>
        </w:rPr>
        <w:t>六</w:t>
      </w:r>
      <w:r>
        <w:rPr>
          <w:rFonts w:hint="default" w:ascii="Times New Roman" w:hAnsi="Times New Roman" w:eastAsia="楷体_GB2312" w:cs="Times New Roman"/>
          <w:bCs/>
          <w:color w:val="auto"/>
          <w:sz w:val="32"/>
          <w:szCs w:val="32"/>
          <w:highlight w:val="none"/>
          <w:lang w:eastAsia="zh-CN"/>
        </w:rPr>
        <w:t>）</w:t>
      </w:r>
      <w:r>
        <w:rPr>
          <w:rFonts w:hint="default" w:ascii="Times New Roman" w:hAnsi="Times New Roman" w:eastAsia="楷体_GB2312" w:cs="Times New Roman"/>
          <w:bCs/>
          <w:color w:val="auto"/>
          <w:sz w:val="32"/>
          <w:szCs w:val="32"/>
          <w:highlight w:val="none"/>
        </w:rPr>
        <w:t>目标完成</w:t>
      </w:r>
      <w:r>
        <w:rPr>
          <w:rFonts w:hint="default" w:ascii="Times New Roman" w:hAnsi="Times New Roman" w:eastAsia="楷体_GB2312" w:cs="Times New Roman"/>
          <w:bCs/>
          <w:color w:val="auto"/>
          <w:sz w:val="32"/>
          <w:szCs w:val="32"/>
          <w:highlight w:val="none"/>
          <w:lang w:val="en-US" w:eastAsia="zh-CN"/>
        </w:rPr>
        <w:t>情况</w:t>
      </w:r>
    </w:p>
    <w:p>
      <w:pPr>
        <w:keepNext w:val="0"/>
        <w:pageBreakBefore w:val="0"/>
        <w:widowControl/>
        <w:kinsoku/>
        <w:wordWrap/>
        <w:overflowPunct/>
        <w:topLinePunct w:val="0"/>
        <w:autoSpaceDE/>
        <w:autoSpaceDN/>
        <w:bidi w:val="0"/>
        <w:adjustRightInd w:val="0"/>
        <w:snapToGrid w:val="0"/>
        <w:spacing w:before="87" w:beforeLines="20" w:after="43" w:afterLines="10" w:line="540" w:lineRule="exact"/>
        <w:ind w:firstLine="640" w:firstLineChars="200"/>
        <w:jc w:val="both"/>
        <w:textAlignment w:val="auto"/>
        <w:outlineLvl w:val="9"/>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数量指标完成率=6（实际完成数量指标个数）/</w:t>
      </w:r>
      <w:r>
        <w:rPr>
          <w:rFonts w:hint="default" w:ascii="Times New Roman" w:hAnsi="Times New Roman" w:cs="Times New Roman"/>
          <w:bCs/>
          <w:color w:val="auto"/>
          <w:sz w:val="32"/>
          <w:szCs w:val="32"/>
          <w:highlight w:val="none"/>
          <w:lang w:val="en-US" w:eastAsia="zh-CN"/>
        </w:rPr>
        <w:t>8</w:t>
      </w:r>
      <w:r>
        <w:rPr>
          <w:rFonts w:hint="default" w:ascii="Times New Roman" w:hAnsi="Times New Roman" w:eastAsia="仿宋_GB2312" w:cs="Times New Roman"/>
          <w:bCs/>
          <w:color w:val="auto"/>
          <w:sz w:val="32"/>
          <w:szCs w:val="32"/>
          <w:highlight w:val="none"/>
        </w:rPr>
        <w:t>（项目绩效目标设定数量指标个数）×100%=</w:t>
      </w:r>
      <w:r>
        <w:rPr>
          <w:rFonts w:hint="default" w:ascii="Times New Roman" w:hAnsi="Times New Roman" w:cs="Times New Roman"/>
          <w:bCs/>
          <w:color w:val="auto"/>
          <w:sz w:val="32"/>
          <w:szCs w:val="32"/>
          <w:highlight w:val="none"/>
          <w:lang w:val="en-US" w:eastAsia="zh-CN"/>
        </w:rPr>
        <w:t>75</w:t>
      </w:r>
      <w:r>
        <w:rPr>
          <w:rFonts w:hint="default" w:ascii="Times New Roman" w:hAnsi="Times New Roman" w:eastAsia="仿宋_GB2312" w:cs="Times New Roman"/>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outlineLvl w:val="9"/>
        <w:rPr>
          <w:rFonts w:hint="default" w:ascii="Times New Roman" w:hAnsi="Times New Roman" w:eastAsia="黑体" w:cs="Times New Roman"/>
          <w:color w:val="auto"/>
          <w:sz w:val="32"/>
          <w:szCs w:val="21"/>
          <w:highlight w:val="none"/>
        </w:rPr>
      </w:pPr>
      <w:r>
        <w:rPr>
          <w:rFonts w:hint="default" w:ascii="Times New Roman" w:hAnsi="Times New Roman" w:eastAsia="黑体" w:cs="Times New Roman"/>
          <w:color w:val="auto"/>
          <w:sz w:val="32"/>
          <w:szCs w:val="21"/>
          <w:highlight w:val="none"/>
        </w:rPr>
        <w:t>五、存在主要问题</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sz w:val="32"/>
          <w:szCs w:val="32"/>
          <w:highlight w:val="none"/>
        </w:rPr>
        <w:t>部分预期指标值设置不科学，实际完成指标值与预期指标值差异较大，如：踢脚改造面砖踢脚及硬木踢脚，预期指标值：改造建筑面积约为306平方米；实际完成指标值：55平方米。</w:t>
      </w:r>
      <w:r>
        <w:rPr>
          <w:rFonts w:hint="default" w:ascii="Times New Roman" w:hAnsi="Times New Roman" w:eastAsia="仿宋_GB2312" w:cs="Times New Roman"/>
          <w:bCs/>
          <w:color w:val="auto"/>
          <w:sz w:val="32"/>
          <w:szCs w:val="32"/>
          <w:highlight w:val="none"/>
          <w:lang w:val="en-US" w:eastAsia="zh-CN"/>
        </w:rPr>
        <w:t>设置指标时应以需改造的踢脚面积为指标值，而不应该以房屋面积为指标值。</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outlineLvl w:val="9"/>
        <w:rPr>
          <w:rFonts w:hint="default" w:ascii="Times New Roman" w:hAnsi="Times New Roman" w:eastAsia="黑体" w:cs="Times New Roman"/>
          <w:color w:val="auto"/>
          <w:sz w:val="32"/>
          <w:szCs w:val="21"/>
          <w:highlight w:val="none"/>
        </w:rPr>
      </w:pPr>
      <w:r>
        <w:rPr>
          <w:rFonts w:hint="default" w:ascii="Times New Roman" w:hAnsi="Times New Roman" w:eastAsia="黑体" w:cs="Times New Roman"/>
          <w:color w:val="auto"/>
          <w:sz w:val="32"/>
          <w:szCs w:val="21"/>
          <w:highlight w:val="none"/>
        </w:rPr>
        <w:t>六、相关措施建议</w:t>
      </w:r>
    </w:p>
    <w:p>
      <w:pPr>
        <w:keepNext w:val="0"/>
        <w:pageBreakBefore w:val="0"/>
        <w:kinsoku/>
        <w:wordWrap/>
        <w:overflowPunct/>
        <w:topLinePunct w:val="0"/>
        <w:autoSpaceDE/>
        <w:autoSpaceDN/>
        <w:bidi w:val="0"/>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sz w:val="32"/>
          <w:szCs w:val="32"/>
          <w:highlight w:val="none"/>
          <w:lang w:val="en-US" w:eastAsia="zh-CN"/>
        </w:rPr>
        <w:t>一是</w:t>
      </w:r>
      <w:r>
        <w:rPr>
          <w:rFonts w:hint="default" w:ascii="Times New Roman" w:hAnsi="Times New Roman" w:eastAsia="仿宋_GB2312" w:cs="Times New Roman"/>
          <w:bCs/>
          <w:color w:val="auto"/>
          <w:sz w:val="32"/>
          <w:szCs w:val="32"/>
          <w:highlight w:val="none"/>
        </w:rPr>
        <w:t>加强绩效目标编制工作</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color w:val="auto"/>
          <w:sz w:val="32"/>
          <w:szCs w:val="32"/>
          <w:highlight w:val="none"/>
        </w:rPr>
        <w:t>结合实际科学合理设定绩效目标预期值，避免目标值过低或过高而导致不能准确反映资金投入、产出、效率和效益情况。</w:t>
      </w:r>
    </w:p>
    <w:p>
      <w:pPr>
        <w:keepNext w:val="0"/>
        <w:pageBreakBefore w:val="0"/>
        <w:kinsoku/>
        <w:wordWrap/>
        <w:overflowPunct/>
        <w:topLinePunct w:val="0"/>
        <w:autoSpaceDE/>
        <w:autoSpaceDN/>
        <w:bidi w:val="0"/>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sz w:val="32"/>
          <w:szCs w:val="32"/>
          <w:highlight w:val="none"/>
          <w:lang w:val="en-US" w:eastAsia="zh-CN"/>
        </w:rPr>
        <w:t>二是</w:t>
      </w:r>
      <w:r>
        <w:rPr>
          <w:rFonts w:hint="default" w:ascii="Times New Roman" w:hAnsi="Times New Roman" w:eastAsia="仿宋_GB2312" w:cs="Times New Roman"/>
          <w:bCs/>
          <w:color w:val="auto"/>
          <w:sz w:val="32"/>
          <w:szCs w:val="32"/>
          <w:highlight w:val="none"/>
        </w:rPr>
        <w:t>加强绩效目标动态管理</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color w:val="auto"/>
          <w:sz w:val="32"/>
          <w:szCs w:val="32"/>
          <w:highlight w:val="none"/>
        </w:rPr>
        <w:t>根据设定的绩效目标，对项目进度、预算执行、投入产出、各项效益的阶段性完成情况进行动态跟踪监控，发现问题及时采取正确的处理措施，确保目标运行方向正确、进展顺利。应及时调整绩效目标或取消项目，同时相应的调整或取消预算，提高财政资金使用效率。</w:t>
      </w:r>
    </w:p>
    <w:p>
      <w:pPr>
        <w:keepNext w:val="0"/>
        <w:pageBreakBefore w:val="0"/>
        <w:kinsoku/>
        <w:wordWrap/>
        <w:overflowPunct/>
        <w:topLinePunct w:val="0"/>
        <w:autoSpaceDE/>
        <w:autoSpaceDN/>
        <w:bidi w:val="0"/>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三是</w:t>
      </w:r>
      <w:r>
        <w:rPr>
          <w:rFonts w:hint="default" w:ascii="Times New Roman" w:hAnsi="Times New Roman" w:eastAsia="仿宋_GB2312" w:cs="Times New Roman"/>
          <w:color w:val="auto"/>
          <w:sz w:val="32"/>
          <w:szCs w:val="32"/>
          <w:highlight w:val="none"/>
        </w:rPr>
        <w:t>加强预算管理，提高预算执行力。</w:t>
      </w:r>
    </w:p>
    <w:p>
      <w:pPr>
        <w:pStyle w:val="2"/>
        <w:keepNext w:val="0"/>
        <w:pageBreakBefore w:val="0"/>
        <w:kinsoku/>
        <w:wordWrap/>
        <w:overflowPunct/>
        <w:topLinePunct w:val="0"/>
        <w:autoSpaceDE/>
        <w:autoSpaceDN/>
        <w:bidi w:val="0"/>
        <w:spacing w:line="540" w:lineRule="exact"/>
        <w:rPr>
          <w:rFonts w:hint="default" w:ascii="Times New Roman" w:hAnsi="Times New Roman" w:cs="Times New Roman"/>
          <w:color w:val="auto"/>
          <w:szCs w:val="32"/>
          <w:highlight w:val="none"/>
        </w:rPr>
      </w:pPr>
    </w:p>
    <w:p>
      <w:pPr>
        <w:rPr>
          <w:rFonts w:hint="default" w:ascii="Times New Roman" w:hAnsi="Times New Roman" w:cs="Times New Roman"/>
          <w:color w:val="auto"/>
          <w:szCs w:val="32"/>
          <w:highlight w:val="none"/>
        </w:rPr>
      </w:pPr>
    </w:p>
    <w:p>
      <w:pPr>
        <w:pStyle w:val="2"/>
        <w:rPr>
          <w:rFonts w:hint="default" w:ascii="Times New Roman" w:hAnsi="Times New Roman" w:cs="Times New Roman"/>
          <w:color w:val="auto"/>
          <w:szCs w:val="32"/>
          <w:highlight w:val="none"/>
        </w:rPr>
      </w:pPr>
    </w:p>
    <w:p>
      <w:pPr>
        <w:rPr>
          <w:rFonts w:hint="default" w:ascii="Times New Roman" w:hAnsi="Times New Roman" w:cs="Times New Roman"/>
          <w:color w:val="auto"/>
          <w:szCs w:val="32"/>
          <w:highlight w:val="none"/>
        </w:rPr>
      </w:pPr>
    </w:p>
    <w:p>
      <w:pPr>
        <w:pStyle w:val="2"/>
        <w:rPr>
          <w:rFonts w:hint="default" w:ascii="Times New Roman" w:hAnsi="Times New Roman" w:cs="Times New Roman"/>
          <w:color w:val="auto"/>
          <w:szCs w:val="32"/>
          <w:highlight w:val="none"/>
        </w:rPr>
      </w:pPr>
    </w:p>
    <w:p>
      <w:pPr>
        <w:rPr>
          <w:rFonts w:hint="default" w:ascii="Times New Roman" w:hAnsi="Times New Roman" w:cs="Times New Roman"/>
          <w:color w:val="auto"/>
          <w:szCs w:val="32"/>
          <w:highlight w:val="none"/>
        </w:rPr>
      </w:pPr>
    </w:p>
    <w:p>
      <w:pPr>
        <w:pStyle w:val="2"/>
        <w:rPr>
          <w:rFonts w:hint="default" w:ascii="Times New Roman" w:hAnsi="Times New Roman" w:cs="Times New Roman"/>
          <w:color w:val="auto"/>
          <w:szCs w:val="32"/>
          <w:highlight w:val="none"/>
        </w:rPr>
      </w:pPr>
    </w:p>
    <w:p>
      <w:pPr>
        <w:rPr>
          <w:rFonts w:hint="default"/>
        </w:rPr>
      </w:pPr>
    </w:p>
    <w:p>
      <w:pPr>
        <w:keepNext w:val="0"/>
        <w:pageBreakBefore w:val="0"/>
        <w:kinsoku/>
        <w:wordWrap/>
        <w:overflowPunct/>
        <w:topLinePunct w:val="0"/>
        <w:autoSpaceDE/>
        <w:autoSpaceDN/>
        <w:bidi w:val="0"/>
        <w:spacing w:line="540" w:lineRule="exact"/>
        <w:jc w:val="center"/>
        <w:rPr>
          <w:rFonts w:hint="default" w:ascii="Times New Roman" w:hAnsi="Times New Roman" w:eastAsia="方正小标宋简体" w:cs="Times New Roman"/>
          <w:color w:val="auto"/>
          <w:sz w:val="32"/>
          <w:szCs w:val="32"/>
          <w:highlight w:val="none"/>
        </w:rPr>
      </w:pPr>
      <w:r>
        <w:rPr>
          <w:rFonts w:hint="default" w:ascii="Times New Roman" w:hAnsi="Times New Roman" w:eastAsia="方正小标宋简体" w:cs="Times New Roman"/>
          <w:color w:val="auto"/>
          <w:sz w:val="32"/>
          <w:szCs w:val="32"/>
          <w:highlight w:val="none"/>
        </w:rPr>
        <w:t>委机关办公用房维护专项资金（上年结转）项目</w:t>
      </w:r>
    </w:p>
    <w:p>
      <w:pPr>
        <w:keepNext w:val="0"/>
        <w:pageBreakBefore w:val="0"/>
        <w:kinsoku/>
        <w:wordWrap/>
        <w:overflowPunct/>
        <w:topLinePunct w:val="0"/>
        <w:autoSpaceDE/>
        <w:autoSpaceDN/>
        <w:bidi w:val="0"/>
        <w:spacing w:line="540" w:lineRule="exact"/>
        <w:jc w:val="center"/>
        <w:rPr>
          <w:rFonts w:hint="default" w:ascii="Times New Roman" w:hAnsi="Times New Roman" w:eastAsia="方正小标宋简体" w:cs="Times New Roman"/>
          <w:color w:val="auto"/>
          <w:highlight w:val="none"/>
        </w:rPr>
      </w:pPr>
      <w:r>
        <w:rPr>
          <w:rFonts w:hint="default" w:ascii="Times New Roman" w:hAnsi="Times New Roman" w:eastAsia="方正小标宋简体" w:cs="Times New Roman"/>
          <w:color w:val="auto"/>
          <w:sz w:val="32"/>
          <w:szCs w:val="32"/>
          <w:highlight w:val="none"/>
          <w:lang w:val="en-US" w:eastAsia="zh-CN"/>
        </w:rPr>
        <w:t>支出绩效自评表</w:t>
      </w:r>
    </w:p>
    <w:p>
      <w:pPr>
        <w:pStyle w:val="2"/>
        <w:rPr>
          <w:rFonts w:hint="default" w:ascii="Times New Roman" w:hAnsi="Times New Roman" w:cs="Times New Roman"/>
          <w:color w:val="auto"/>
          <w:szCs w:val="32"/>
          <w:highlight w:val="none"/>
        </w:rPr>
      </w:pPr>
    </w:p>
    <w:tbl>
      <w:tblPr>
        <w:tblStyle w:val="30"/>
        <w:tblW w:w="9525" w:type="dxa"/>
        <w:jc w:val="center"/>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862"/>
        <w:gridCol w:w="738"/>
        <w:gridCol w:w="2475"/>
        <w:gridCol w:w="2987"/>
        <w:gridCol w:w="963"/>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750" w:type="dxa"/>
            <w:vAlign w:val="center"/>
          </w:tcPr>
          <w:p>
            <w:pPr>
              <w:pageBreakBefore w:val="0"/>
              <w:kinsoku/>
              <w:wordWrap/>
              <w:overflowPunct/>
              <w:topLinePunct w:val="0"/>
              <w:bidi w:val="0"/>
              <w:spacing w:line="240" w:lineRule="auto"/>
              <w:jc w:val="center"/>
              <w:rPr>
                <w:rFonts w:hint="default" w:ascii="Times New Roman" w:hAnsi="Times New Roman" w:eastAsia="黑体" w:cs="Times New Roman"/>
                <w:b/>
                <w:bCs/>
                <w:color w:val="auto"/>
                <w:sz w:val="24"/>
                <w:highlight w:val="none"/>
              </w:rPr>
            </w:pPr>
            <w:r>
              <w:rPr>
                <w:rFonts w:hint="default" w:ascii="Times New Roman" w:hAnsi="Times New Roman" w:eastAsia="黑体" w:cs="Times New Roman"/>
                <w:b/>
                <w:bCs/>
                <w:color w:val="auto"/>
                <w:sz w:val="24"/>
                <w:highlight w:val="none"/>
              </w:rPr>
              <w:t>序号</w:t>
            </w:r>
          </w:p>
        </w:tc>
        <w:tc>
          <w:tcPr>
            <w:tcW w:w="862" w:type="dxa"/>
            <w:vAlign w:val="center"/>
          </w:tcPr>
          <w:p>
            <w:pPr>
              <w:pageBreakBefore w:val="0"/>
              <w:kinsoku/>
              <w:wordWrap/>
              <w:overflowPunct/>
              <w:topLinePunct w:val="0"/>
              <w:bidi w:val="0"/>
              <w:spacing w:line="240" w:lineRule="auto"/>
              <w:jc w:val="center"/>
              <w:rPr>
                <w:rFonts w:hint="default" w:ascii="Times New Roman" w:hAnsi="Times New Roman" w:eastAsia="黑体" w:cs="Times New Roman"/>
                <w:b/>
                <w:bCs/>
                <w:color w:val="auto"/>
                <w:sz w:val="24"/>
                <w:highlight w:val="none"/>
              </w:rPr>
            </w:pPr>
            <w:r>
              <w:rPr>
                <w:rFonts w:hint="default" w:ascii="Times New Roman" w:hAnsi="Times New Roman" w:eastAsia="黑体" w:cs="Times New Roman"/>
                <w:b/>
                <w:bCs/>
                <w:color w:val="auto"/>
                <w:sz w:val="24"/>
                <w:highlight w:val="none"/>
              </w:rPr>
              <w:t>主要</w:t>
            </w:r>
          </w:p>
          <w:p>
            <w:pPr>
              <w:pageBreakBefore w:val="0"/>
              <w:kinsoku/>
              <w:wordWrap/>
              <w:overflowPunct/>
              <w:topLinePunct w:val="0"/>
              <w:bidi w:val="0"/>
              <w:spacing w:line="240" w:lineRule="auto"/>
              <w:jc w:val="center"/>
              <w:rPr>
                <w:rFonts w:hint="default" w:ascii="Times New Roman" w:hAnsi="Times New Roman" w:eastAsia="黑体" w:cs="Times New Roman"/>
                <w:b/>
                <w:bCs/>
                <w:color w:val="auto"/>
                <w:sz w:val="24"/>
                <w:highlight w:val="none"/>
              </w:rPr>
            </w:pPr>
            <w:r>
              <w:rPr>
                <w:rFonts w:hint="default" w:ascii="Times New Roman" w:hAnsi="Times New Roman" w:eastAsia="黑体" w:cs="Times New Roman"/>
                <w:b/>
                <w:bCs/>
                <w:color w:val="auto"/>
                <w:sz w:val="24"/>
                <w:highlight w:val="none"/>
              </w:rPr>
              <w:t>指标</w:t>
            </w:r>
          </w:p>
        </w:tc>
        <w:tc>
          <w:tcPr>
            <w:tcW w:w="738" w:type="dxa"/>
            <w:vAlign w:val="center"/>
          </w:tcPr>
          <w:p>
            <w:pPr>
              <w:pageBreakBefore w:val="0"/>
              <w:kinsoku/>
              <w:wordWrap/>
              <w:overflowPunct/>
              <w:topLinePunct w:val="0"/>
              <w:bidi w:val="0"/>
              <w:spacing w:line="240" w:lineRule="auto"/>
              <w:jc w:val="center"/>
              <w:rPr>
                <w:rFonts w:hint="default" w:ascii="Times New Roman" w:hAnsi="Times New Roman" w:eastAsia="黑体" w:cs="Times New Roman"/>
                <w:b/>
                <w:bCs/>
                <w:color w:val="auto"/>
                <w:sz w:val="24"/>
                <w:highlight w:val="none"/>
              </w:rPr>
            </w:pPr>
            <w:r>
              <w:rPr>
                <w:rFonts w:hint="default" w:ascii="Times New Roman" w:hAnsi="Times New Roman" w:eastAsia="黑体" w:cs="Times New Roman"/>
                <w:b/>
                <w:bCs/>
                <w:color w:val="auto"/>
                <w:sz w:val="24"/>
                <w:highlight w:val="none"/>
              </w:rPr>
              <w:t>分值</w:t>
            </w:r>
          </w:p>
        </w:tc>
        <w:tc>
          <w:tcPr>
            <w:tcW w:w="2475" w:type="dxa"/>
            <w:vAlign w:val="center"/>
          </w:tcPr>
          <w:p>
            <w:pPr>
              <w:pageBreakBefore w:val="0"/>
              <w:kinsoku/>
              <w:wordWrap/>
              <w:overflowPunct/>
              <w:topLinePunct w:val="0"/>
              <w:bidi w:val="0"/>
              <w:spacing w:line="240" w:lineRule="auto"/>
              <w:jc w:val="center"/>
              <w:rPr>
                <w:rFonts w:hint="default" w:ascii="Times New Roman" w:hAnsi="Times New Roman" w:eastAsia="黑体" w:cs="Times New Roman"/>
                <w:b/>
                <w:bCs/>
                <w:color w:val="auto"/>
                <w:sz w:val="24"/>
                <w:highlight w:val="none"/>
              </w:rPr>
            </w:pPr>
            <w:r>
              <w:rPr>
                <w:rFonts w:hint="default" w:ascii="Times New Roman" w:hAnsi="Times New Roman" w:eastAsia="黑体" w:cs="Times New Roman"/>
                <w:b/>
                <w:bCs/>
                <w:color w:val="auto"/>
                <w:sz w:val="24"/>
                <w:highlight w:val="none"/>
              </w:rPr>
              <w:t>评价内容</w:t>
            </w:r>
          </w:p>
        </w:tc>
        <w:tc>
          <w:tcPr>
            <w:tcW w:w="2987" w:type="dxa"/>
            <w:vAlign w:val="center"/>
          </w:tcPr>
          <w:p>
            <w:pPr>
              <w:pageBreakBefore w:val="0"/>
              <w:kinsoku/>
              <w:wordWrap/>
              <w:overflowPunct/>
              <w:topLinePunct w:val="0"/>
              <w:bidi w:val="0"/>
              <w:spacing w:line="240" w:lineRule="auto"/>
              <w:jc w:val="center"/>
              <w:rPr>
                <w:rFonts w:hint="default" w:ascii="Times New Roman" w:hAnsi="Times New Roman" w:eastAsia="黑体" w:cs="Times New Roman"/>
                <w:b/>
                <w:bCs/>
                <w:color w:val="auto"/>
                <w:sz w:val="24"/>
                <w:highlight w:val="none"/>
              </w:rPr>
            </w:pPr>
            <w:r>
              <w:rPr>
                <w:rFonts w:hint="default" w:ascii="Times New Roman" w:hAnsi="Times New Roman" w:eastAsia="黑体" w:cs="Times New Roman"/>
                <w:b/>
                <w:bCs/>
                <w:color w:val="auto"/>
                <w:sz w:val="24"/>
                <w:highlight w:val="none"/>
                <w:lang w:val="en-US" w:eastAsia="zh-CN"/>
              </w:rPr>
              <w:t>评分</w:t>
            </w:r>
            <w:r>
              <w:rPr>
                <w:rFonts w:hint="default" w:ascii="Times New Roman" w:hAnsi="Times New Roman" w:eastAsia="黑体" w:cs="Times New Roman"/>
                <w:b/>
                <w:bCs/>
                <w:color w:val="auto"/>
                <w:sz w:val="24"/>
                <w:highlight w:val="none"/>
              </w:rPr>
              <w:t>标准</w:t>
            </w:r>
          </w:p>
        </w:tc>
        <w:tc>
          <w:tcPr>
            <w:tcW w:w="963" w:type="dxa"/>
            <w:vAlign w:val="center"/>
          </w:tcPr>
          <w:p>
            <w:pPr>
              <w:pageBreakBefore w:val="0"/>
              <w:kinsoku/>
              <w:wordWrap/>
              <w:overflowPunct/>
              <w:topLinePunct w:val="0"/>
              <w:bidi w:val="0"/>
              <w:spacing w:line="240" w:lineRule="auto"/>
              <w:jc w:val="center"/>
              <w:rPr>
                <w:rFonts w:hint="default" w:ascii="Times New Roman" w:hAnsi="Times New Roman" w:eastAsia="黑体" w:cs="Times New Roman"/>
                <w:b/>
                <w:bCs/>
                <w:color w:val="auto"/>
                <w:sz w:val="24"/>
                <w:highlight w:val="none"/>
              </w:rPr>
            </w:pPr>
            <w:r>
              <w:rPr>
                <w:rFonts w:hint="default" w:ascii="Times New Roman" w:hAnsi="Times New Roman" w:eastAsia="黑体" w:cs="Times New Roman"/>
                <w:b/>
                <w:bCs/>
                <w:color w:val="auto"/>
                <w:sz w:val="24"/>
                <w:highlight w:val="none"/>
              </w:rPr>
              <w:t>自评</w:t>
            </w:r>
          </w:p>
          <w:p>
            <w:pPr>
              <w:pageBreakBefore w:val="0"/>
              <w:kinsoku/>
              <w:wordWrap/>
              <w:overflowPunct/>
              <w:topLinePunct w:val="0"/>
              <w:bidi w:val="0"/>
              <w:spacing w:line="240" w:lineRule="auto"/>
              <w:jc w:val="center"/>
              <w:rPr>
                <w:rFonts w:hint="default" w:ascii="Times New Roman" w:hAnsi="Times New Roman" w:eastAsia="黑体" w:cs="Times New Roman"/>
                <w:b/>
                <w:bCs/>
                <w:color w:val="auto"/>
                <w:sz w:val="24"/>
                <w:highlight w:val="none"/>
              </w:rPr>
            </w:pPr>
            <w:r>
              <w:rPr>
                <w:rFonts w:hint="default" w:ascii="Times New Roman" w:hAnsi="Times New Roman" w:eastAsia="黑体" w:cs="Times New Roman"/>
                <w:b/>
                <w:bCs/>
                <w:color w:val="auto"/>
                <w:sz w:val="24"/>
                <w:highlight w:val="none"/>
              </w:rPr>
              <w:t>得分</w:t>
            </w:r>
          </w:p>
        </w:tc>
        <w:tc>
          <w:tcPr>
            <w:tcW w:w="750" w:type="dxa"/>
            <w:vAlign w:val="center"/>
          </w:tcPr>
          <w:p>
            <w:pPr>
              <w:pageBreakBefore w:val="0"/>
              <w:kinsoku/>
              <w:wordWrap/>
              <w:overflowPunct/>
              <w:topLinePunct w:val="0"/>
              <w:bidi w:val="0"/>
              <w:spacing w:line="240" w:lineRule="auto"/>
              <w:jc w:val="center"/>
              <w:rPr>
                <w:rFonts w:hint="default" w:ascii="Times New Roman" w:hAnsi="Times New Roman" w:eastAsia="黑体" w:cs="Times New Roman"/>
                <w:b/>
                <w:bCs/>
                <w:color w:val="auto"/>
                <w:sz w:val="24"/>
                <w:highlight w:val="none"/>
              </w:rPr>
            </w:pPr>
            <w:r>
              <w:rPr>
                <w:rFonts w:hint="default" w:ascii="Times New Roman" w:hAnsi="Times New Roman" w:eastAsia="黑体" w:cs="Times New Roman"/>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750"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rPr>
            </w:pPr>
            <w:r>
              <w:rPr>
                <w:rFonts w:hint="default" w:ascii="Times New Roman" w:hAnsi="Times New Roman" w:eastAsia="仿宋_GB2312" w:cs="Times New Roman"/>
                <w:color w:val="auto"/>
                <w:sz w:val="20"/>
                <w:szCs w:val="20"/>
                <w:highlight w:val="none"/>
              </w:rPr>
              <w:t>1</w:t>
            </w:r>
          </w:p>
        </w:tc>
        <w:tc>
          <w:tcPr>
            <w:tcW w:w="862"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立项必要性</w:t>
            </w:r>
          </w:p>
        </w:tc>
        <w:tc>
          <w:tcPr>
            <w:tcW w:w="738"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10</w:t>
            </w:r>
          </w:p>
        </w:tc>
        <w:tc>
          <w:tcPr>
            <w:tcW w:w="2475" w:type="dxa"/>
            <w:vAlign w:val="center"/>
          </w:tcPr>
          <w:p>
            <w:pPr>
              <w:pageBreakBefore w:val="0"/>
              <w:kinsoku/>
              <w:wordWrap/>
              <w:overflowPunct/>
              <w:topLinePunct w:val="0"/>
              <w:bidi w:val="0"/>
              <w:spacing w:line="240" w:lineRule="auto"/>
              <w:rPr>
                <w:rFonts w:hint="default" w:ascii="Times New Roman" w:hAnsi="Times New Roman" w:eastAsia="仿宋_GB2312"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对项目的立项必要性进行评价</w:t>
            </w:r>
          </w:p>
        </w:tc>
        <w:tc>
          <w:tcPr>
            <w:tcW w:w="2987" w:type="dxa"/>
            <w:vAlign w:val="center"/>
          </w:tcPr>
          <w:p>
            <w:pPr>
              <w:pageBreakBefore w:val="0"/>
              <w:kinsoku/>
              <w:wordWrap/>
              <w:overflowPunct/>
              <w:topLinePunct w:val="0"/>
              <w:bidi w:val="0"/>
              <w:spacing w:line="240" w:lineRule="auto"/>
              <w:rPr>
                <w:rFonts w:hint="default" w:ascii="Times New Roman" w:hAnsi="Times New Roman" w:eastAsia="仿宋_GB2312"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与部门（单位）职能职责不符则扣5分，立项依据不充分扣5分。</w:t>
            </w:r>
          </w:p>
        </w:tc>
        <w:tc>
          <w:tcPr>
            <w:tcW w:w="963"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10</w:t>
            </w:r>
          </w:p>
        </w:tc>
        <w:tc>
          <w:tcPr>
            <w:tcW w:w="750" w:type="dxa"/>
            <w:vAlign w:val="center"/>
          </w:tcPr>
          <w:p>
            <w:pPr>
              <w:pageBreakBefore w:val="0"/>
              <w:kinsoku/>
              <w:wordWrap/>
              <w:overflowPunct/>
              <w:topLinePunct w:val="0"/>
              <w:bidi w:val="0"/>
              <w:spacing w:line="240" w:lineRule="auto"/>
              <w:rPr>
                <w:rFonts w:hint="default" w:ascii="Times New Roman" w:hAnsi="Times New Roman" w:eastAsia="仿宋_GB2312" w:cs="Times New Roman"/>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750"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rPr>
            </w:pPr>
            <w:r>
              <w:rPr>
                <w:rFonts w:hint="default" w:ascii="Times New Roman" w:hAnsi="Times New Roman" w:eastAsia="仿宋_GB2312" w:cs="Times New Roman"/>
                <w:color w:val="auto"/>
                <w:sz w:val="20"/>
                <w:szCs w:val="20"/>
                <w:highlight w:val="none"/>
              </w:rPr>
              <w:t>2</w:t>
            </w:r>
          </w:p>
        </w:tc>
        <w:tc>
          <w:tcPr>
            <w:tcW w:w="862"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预算科学性</w:t>
            </w:r>
          </w:p>
        </w:tc>
        <w:tc>
          <w:tcPr>
            <w:tcW w:w="738"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10</w:t>
            </w:r>
          </w:p>
        </w:tc>
        <w:tc>
          <w:tcPr>
            <w:tcW w:w="2475" w:type="dxa"/>
            <w:vAlign w:val="center"/>
          </w:tcPr>
          <w:p>
            <w:pPr>
              <w:pageBreakBefore w:val="0"/>
              <w:kinsoku/>
              <w:wordWrap/>
              <w:overflowPunct/>
              <w:topLinePunct w:val="0"/>
              <w:bidi w:val="0"/>
              <w:spacing w:line="240" w:lineRule="auto"/>
              <w:rPr>
                <w:rFonts w:hint="default" w:ascii="Times New Roman" w:hAnsi="Times New Roman" w:eastAsia="仿宋_GB2312"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对预算编制进行评价</w:t>
            </w:r>
          </w:p>
        </w:tc>
        <w:tc>
          <w:tcPr>
            <w:tcW w:w="2987" w:type="dxa"/>
            <w:vAlign w:val="center"/>
          </w:tcPr>
          <w:p>
            <w:pPr>
              <w:pageBreakBefore w:val="0"/>
              <w:kinsoku/>
              <w:wordWrap/>
              <w:overflowPunct/>
              <w:topLinePunct w:val="0"/>
              <w:bidi w:val="0"/>
              <w:spacing w:line="240" w:lineRule="auto"/>
              <w:rPr>
                <w:rFonts w:hint="default" w:ascii="Times New Roman" w:hAnsi="Times New Roman" w:eastAsia="仿宋_GB2312"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预算程序不规范扣2分，预算项目与其他项目有重叠交叉内容的，每1处扣2分，扣完为止。</w:t>
            </w:r>
          </w:p>
        </w:tc>
        <w:tc>
          <w:tcPr>
            <w:tcW w:w="963"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10</w:t>
            </w:r>
          </w:p>
        </w:tc>
        <w:tc>
          <w:tcPr>
            <w:tcW w:w="750" w:type="dxa"/>
            <w:vAlign w:val="center"/>
          </w:tcPr>
          <w:p>
            <w:pPr>
              <w:pageBreakBefore w:val="0"/>
              <w:kinsoku/>
              <w:wordWrap/>
              <w:overflowPunct/>
              <w:topLinePunct w:val="0"/>
              <w:bidi w:val="0"/>
              <w:spacing w:line="240" w:lineRule="auto"/>
              <w:rPr>
                <w:rFonts w:hint="default" w:ascii="Times New Roman" w:hAnsi="Times New Roman" w:eastAsia="仿宋_GB2312" w:cs="Times New Roman"/>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750"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rPr>
            </w:pPr>
            <w:r>
              <w:rPr>
                <w:rFonts w:hint="default" w:ascii="Times New Roman" w:hAnsi="Times New Roman" w:eastAsia="仿宋_GB2312" w:cs="Times New Roman"/>
                <w:color w:val="auto"/>
                <w:sz w:val="20"/>
                <w:szCs w:val="20"/>
                <w:highlight w:val="none"/>
              </w:rPr>
              <w:t>3</w:t>
            </w:r>
          </w:p>
        </w:tc>
        <w:tc>
          <w:tcPr>
            <w:tcW w:w="862"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绩效目标编制质量</w:t>
            </w:r>
          </w:p>
        </w:tc>
        <w:tc>
          <w:tcPr>
            <w:tcW w:w="738"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20</w:t>
            </w:r>
          </w:p>
        </w:tc>
        <w:tc>
          <w:tcPr>
            <w:tcW w:w="2475" w:type="dxa"/>
            <w:vAlign w:val="center"/>
          </w:tcPr>
          <w:p>
            <w:pPr>
              <w:pageBreakBefore w:val="0"/>
              <w:kinsoku/>
              <w:wordWrap/>
              <w:overflowPunct/>
              <w:topLinePunct w:val="0"/>
              <w:bidi w:val="0"/>
              <w:spacing w:line="240" w:lineRule="auto"/>
              <w:rPr>
                <w:rFonts w:hint="default" w:ascii="Times New Roman" w:hAnsi="Times New Roman" w:eastAsia="仿宋_GB2312"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对绩效目标质量进行评价</w:t>
            </w:r>
          </w:p>
        </w:tc>
        <w:tc>
          <w:tcPr>
            <w:tcW w:w="2987" w:type="dxa"/>
            <w:vAlign w:val="center"/>
          </w:tcPr>
          <w:p>
            <w:pPr>
              <w:pageBreakBefore w:val="0"/>
              <w:kinsoku/>
              <w:wordWrap/>
              <w:overflowPunct/>
              <w:topLinePunct w:val="0"/>
              <w:bidi w:val="0"/>
              <w:spacing w:line="240" w:lineRule="auto"/>
              <w:rPr>
                <w:rFonts w:hint="default" w:ascii="Times New Roman" w:hAnsi="Times New Roman" w:eastAsia="仿宋_GB2312"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绩效目标编制不合理，每1个指标扣2分</w:t>
            </w:r>
          </w:p>
        </w:tc>
        <w:tc>
          <w:tcPr>
            <w:tcW w:w="963"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18</w:t>
            </w:r>
          </w:p>
        </w:tc>
        <w:tc>
          <w:tcPr>
            <w:tcW w:w="750" w:type="dxa"/>
            <w:vAlign w:val="center"/>
          </w:tcPr>
          <w:p>
            <w:pPr>
              <w:pageBreakBefore w:val="0"/>
              <w:kinsoku/>
              <w:wordWrap/>
              <w:overflowPunct/>
              <w:topLinePunct w:val="0"/>
              <w:bidi w:val="0"/>
              <w:spacing w:line="240" w:lineRule="auto"/>
              <w:rPr>
                <w:rFonts w:hint="default" w:ascii="Times New Roman" w:hAnsi="Times New Roman" w:eastAsia="仿宋_GB2312" w:cs="Times New Roman"/>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9" w:hRule="atLeast"/>
          <w:jc w:val="center"/>
        </w:trPr>
        <w:tc>
          <w:tcPr>
            <w:tcW w:w="750"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rPr>
            </w:pPr>
            <w:r>
              <w:rPr>
                <w:rFonts w:hint="default" w:ascii="Times New Roman" w:hAnsi="Times New Roman" w:eastAsia="仿宋_GB2312" w:cs="Times New Roman"/>
                <w:color w:val="auto"/>
                <w:sz w:val="20"/>
                <w:szCs w:val="20"/>
                <w:highlight w:val="none"/>
              </w:rPr>
              <w:t>4</w:t>
            </w:r>
          </w:p>
        </w:tc>
        <w:tc>
          <w:tcPr>
            <w:tcW w:w="862"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项目实施情况</w:t>
            </w:r>
          </w:p>
        </w:tc>
        <w:tc>
          <w:tcPr>
            <w:tcW w:w="738"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20</w:t>
            </w:r>
          </w:p>
        </w:tc>
        <w:tc>
          <w:tcPr>
            <w:tcW w:w="2475" w:type="dxa"/>
            <w:vAlign w:val="center"/>
          </w:tcPr>
          <w:p>
            <w:pPr>
              <w:pageBreakBefore w:val="0"/>
              <w:kinsoku/>
              <w:wordWrap/>
              <w:overflowPunct/>
              <w:topLinePunct w:val="0"/>
              <w:bidi w:val="0"/>
              <w:spacing w:line="240" w:lineRule="auto"/>
              <w:rPr>
                <w:rFonts w:hint="default" w:ascii="Times New Roman" w:hAnsi="Times New Roman" w:eastAsia="仿宋_GB2312"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对项目实施情况进行评价</w:t>
            </w:r>
          </w:p>
        </w:tc>
        <w:tc>
          <w:tcPr>
            <w:tcW w:w="2987" w:type="dxa"/>
            <w:vAlign w:val="center"/>
          </w:tcPr>
          <w:p>
            <w:pPr>
              <w:pageBreakBefore w:val="0"/>
              <w:kinsoku/>
              <w:wordWrap/>
              <w:overflowPunct/>
              <w:topLinePunct w:val="0"/>
              <w:bidi w:val="0"/>
              <w:spacing w:line="240" w:lineRule="auto"/>
              <w:rPr>
                <w:rFonts w:hint="default" w:ascii="Times New Roman" w:hAnsi="Times New Roman" w:eastAsia="仿宋_GB2312"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若未履行项目的事前、事中、事后绩效评价，每项扣5分。经费支出中与项目不符的，每笔扣5分。</w:t>
            </w:r>
          </w:p>
        </w:tc>
        <w:tc>
          <w:tcPr>
            <w:tcW w:w="963"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20</w:t>
            </w:r>
          </w:p>
        </w:tc>
        <w:tc>
          <w:tcPr>
            <w:tcW w:w="750" w:type="dxa"/>
            <w:vAlign w:val="center"/>
          </w:tcPr>
          <w:p>
            <w:pPr>
              <w:pageBreakBefore w:val="0"/>
              <w:kinsoku/>
              <w:wordWrap/>
              <w:overflowPunct/>
              <w:topLinePunct w:val="0"/>
              <w:bidi w:val="0"/>
              <w:spacing w:line="240" w:lineRule="auto"/>
              <w:rPr>
                <w:rFonts w:hint="default" w:ascii="Times New Roman" w:hAnsi="Times New Roman" w:eastAsia="仿宋_GB2312" w:cs="Times New Roman"/>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3" w:hRule="atLeast"/>
          <w:jc w:val="center"/>
        </w:trPr>
        <w:tc>
          <w:tcPr>
            <w:tcW w:w="750"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rPr>
            </w:pPr>
            <w:r>
              <w:rPr>
                <w:rFonts w:hint="default" w:ascii="Times New Roman" w:hAnsi="Times New Roman" w:eastAsia="仿宋_GB2312" w:cs="Times New Roman"/>
                <w:color w:val="auto"/>
                <w:sz w:val="20"/>
                <w:szCs w:val="20"/>
                <w:highlight w:val="none"/>
              </w:rPr>
              <w:t>5</w:t>
            </w:r>
          </w:p>
        </w:tc>
        <w:tc>
          <w:tcPr>
            <w:tcW w:w="862"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rPr>
            </w:pPr>
            <w:r>
              <w:rPr>
                <w:rFonts w:hint="default" w:ascii="Times New Roman" w:hAnsi="Times New Roman" w:cs="Times New Roman"/>
                <w:color w:val="auto"/>
                <w:sz w:val="20"/>
                <w:szCs w:val="20"/>
                <w:highlight w:val="none"/>
                <w:lang w:val="en-US" w:eastAsia="zh-CN"/>
              </w:rPr>
              <w:t>预算完成结果情况</w:t>
            </w:r>
          </w:p>
        </w:tc>
        <w:tc>
          <w:tcPr>
            <w:tcW w:w="738"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20</w:t>
            </w:r>
          </w:p>
        </w:tc>
        <w:tc>
          <w:tcPr>
            <w:tcW w:w="2475"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对预算执行进行评价</w:t>
            </w:r>
          </w:p>
        </w:tc>
        <w:tc>
          <w:tcPr>
            <w:tcW w:w="2987" w:type="dxa"/>
            <w:vAlign w:val="center"/>
          </w:tcPr>
          <w:p>
            <w:pPr>
              <w:pageBreakBefore w:val="0"/>
              <w:kinsoku/>
              <w:wordWrap/>
              <w:overflowPunct/>
              <w:topLinePunct w:val="0"/>
              <w:bidi w:val="0"/>
              <w:spacing w:line="240" w:lineRule="auto"/>
              <w:rPr>
                <w:rFonts w:hint="default" w:ascii="Times New Roman" w:hAnsi="Times New Roman" w:eastAsia="仿宋_GB2312"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根据预算执行情况，扣分=20*（1-预算执行率），若超预算执行，则扣分=20*（预算执行率-1）</w:t>
            </w:r>
          </w:p>
        </w:tc>
        <w:tc>
          <w:tcPr>
            <w:tcW w:w="963"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17.65</w:t>
            </w:r>
          </w:p>
        </w:tc>
        <w:tc>
          <w:tcPr>
            <w:tcW w:w="750" w:type="dxa"/>
            <w:vAlign w:val="center"/>
          </w:tcPr>
          <w:p>
            <w:pPr>
              <w:pageBreakBefore w:val="0"/>
              <w:kinsoku/>
              <w:wordWrap/>
              <w:overflowPunct/>
              <w:topLinePunct w:val="0"/>
              <w:bidi w:val="0"/>
              <w:spacing w:line="240" w:lineRule="auto"/>
              <w:rPr>
                <w:rFonts w:hint="default" w:ascii="Times New Roman" w:hAnsi="Times New Roman" w:eastAsia="仿宋_GB2312" w:cs="Times New Roman"/>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6" w:hRule="atLeast"/>
          <w:jc w:val="center"/>
        </w:trPr>
        <w:tc>
          <w:tcPr>
            <w:tcW w:w="750"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6</w:t>
            </w:r>
          </w:p>
        </w:tc>
        <w:tc>
          <w:tcPr>
            <w:tcW w:w="862" w:type="dxa"/>
            <w:vAlign w:val="center"/>
          </w:tcPr>
          <w:p>
            <w:pPr>
              <w:pageBreakBefore w:val="0"/>
              <w:kinsoku/>
              <w:wordWrap/>
              <w:overflowPunct/>
              <w:topLinePunct w:val="0"/>
              <w:bidi w:val="0"/>
              <w:spacing w:line="240" w:lineRule="auto"/>
              <w:jc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目标完成情况</w:t>
            </w:r>
          </w:p>
        </w:tc>
        <w:tc>
          <w:tcPr>
            <w:tcW w:w="738"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20</w:t>
            </w:r>
          </w:p>
        </w:tc>
        <w:tc>
          <w:tcPr>
            <w:tcW w:w="2475"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对绩效目标完成情况进行评价</w:t>
            </w:r>
          </w:p>
        </w:tc>
        <w:tc>
          <w:tcPr>
            <w:tcW w:w="2987" w:type="dxa"/>
            <w:vAlign w:val="center"/>
          </w:tcPr>
          <w:p>
            <w:pPr>
              <w:pageBreakBefore w:val="0"/>
              <w:kinsoku/>
              <w:wordWrap/>
              <w:overflowPunct/>
              <w:topLinePunct w:val="0"/>
              <w:bidi w:val="0"/>
              <w:spacing w:line="240" w:lineRule="auto"/>
              <w:rPr>
                <w:rFonts w:hint="default" w:ascii="Times New Roman" w:hAnsi="Times New Roman" w:eastAsia="仿宋_GB2312"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得分=20*实际完成数量指标数/所有数量指标数</w:t>
            </w:r>
          </w:p>
        </w:tc>
        <w:tc>
          <w:tcPr>
            <w:tcW w:w="963"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15</w:t>
            </w:r>
          </w:p>
        </w:tc>
        <w:tc>
          <w:tcPr>
            <w:tcW w:w="750" w:type="dxa"/>
            <w:vAlign w:val="center"/>
          </w:tcPr>
          <w:p>
            <w:pPr>
              <w:pageBreakBefore w:val="0"/>
              <w:kinsoku/>
              <w:wordWrap/>
              <w:overflowPunct/>
              <w:topLinePunct w:val="0"/>
              <w:bidi w:val="0"/>
              <w:spacing w:line="240" w:lineRule="auto"/>
              <w:rPr>
                <w:rFonts w:hint="default" w:ascii="Times New Roman" w:hAnsi="Times New Roman" w:eastAsia="仿宋_GB2312" w:cs="Times New Roman"/>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1612" w:type="dxa"/>
            <w:gridSpan w:val="2"/>
            <w:vAlign w:val="center"/>
          </w:tcPr>
          <w:p>
            <w:pPr>
              <w:pageBreakBefore w:val="0"/>
              <w:kinsoku/>
              <w:wordWrap/>
              <w:overflowPunct/>
              <w:topLinePunct w:val="0"/>
              <w:bidi w:val="0"/>
              <w:spacing w:line="240" w:lineRule="auto"/>
              <w:jc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合  计</w:t>
            </w:r>
          </w:p>
        </w:tc>
        <w:tc>
          <w:tcPr>
            <w:tcW w:w="738" w:type="dxa"/>
            <w:vAlign w:val="center"/>
          </w:tcPr>
          <w:p>
            <w:pPr>
              <w:pageBreakBefore w:val="0"/>
              <w:kinsoku/>
              <w:wordWrap/>
              <w:overflowPunct/>
              <w:topLinePunct w:val="0"/>
              <w:bidi w:val="0"/>
              <w:spacing w:line="240" w:lineRule="auto"/>
              <w:jc w:val="center"/>
              <w:rPr>
                <w:rFonts w:hint="default" w:ascii="Times New Roman" w:hAnsi="Times New Roman"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100</w:t>
            </w:r>
          </w:p>
        </w:tc>
        <w:tc>
          <w:tcPr>
            <w:tcW w:w="2475"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rPr>
            </w:pPr>
          </w:p>
        </w:tc>
        <w:tc>
          <w:tcPr>
            <w:tcW w:w="2987" w:type="dxa"/>
            <w:vAlign w:val="center"/>
          </w:tcPr>
          <w:p>
            <w:pPr>
              <w:pageBreakBefore w:val="0"/>
              <w:kinsoku/>
              <w:wordWrap/>
              <w:overflowPunct/>
              <w:topLinePunct w:val="0"/>
              <w:bidi w:val="0"/>
              <w:spacing w:line="240" w:lineRule="auto"/>
              <w:rPr>
                <w:rFonts w:hint="default" w:ascii="Times New Roman" w:hAnsi="Times New Roman" w:eastAsia="仿宋_GB2312" w:cs="Times New Roman"/>
                <w:color w:val="auto"/>
                <w:sz w:val="20"/>
                <w:szCs w:val="20"/>
                <w:highlight w:val="none"/>
              </w:rPr>
            </w:pPr>
          </w:p>
        </w:tc>
        <w:tc>
          <w:tcPr>
            <w:tcW w:w="963" w:type="dxa"/>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 w:val="20"/>
                <w:szCs w:val="20"/>
                <w:highlight w:val="none"/>
                <w:lang w:val="en-US" w:eastAsia="zh-CN"/>
              </w:rPr>
            </w:pPr>
            <w:r>
              <w:rPr>
                <w:rFonts w:hint="default" w:ascii="Times New Roman" w:hAnsi="Times New Roman" w:cs="Times New Roman"/>
                <w:color w:val="auto"/>
                <w:sz w:val="20"/>
                <w:szCs w:val="20"/>
                <w:highlight w:val="none"/>
                <w:lang w:val="en-US" w:eastAsia="zh-CN"/>
              </w:rPr>
              <w:t>90.65</w:t>
            </w:r>
          </w:p>
        </w:tc>
        <w:tc>
          <w:tcPr>
            <w:tcW w:w="750" w:type="dxa"/>
            <w:vAlign w:val="center"/>
          </w:tcPr>
          <w:p>
            <w:pPr>
              <w:pageBreakBefore w:val="0"/>
              <w:kinsoku/>
              <w:wordWrap/>
              <w:overflowPunct/>
              <w:topLinePunct w:val="0"/>
              <w:bidi w:val="0"/>
              <w:spacing w:line="240" w:lineRule="auto"/>
              <w:rPr>
                <w:rFonts w:hint="default" w:ascii="Times New Roman" w:hAnsi="Times New Roman" w:eastAsia="仿宋_GB2312" w:cs="Times New Roman"/>
                <w:color w:val="auto"/>
                <w:sz w:val="20"/>
                <w:szCs w:val="20"/>
                <w:highlight w:val="none"/>
              </w:rPr>
            </w:pPr>
          </w:p>
        </w:tc>
      </w:tr>
    </w:tbl>
    <w:p>
      <w:pPr>
        <w:rPr>
          <w:rFonts w:hint="default" w:ascii="Times New Roman" w:hAnsi="Times New Roman" w:eastAsia="方正小标宋简体" w:cs="Times New Roman"/>
          <w:color w:val="auto"/>
          <w:sz w:val="44"/>
          <w:szCs w:val="44"/>
          <w:highlight w:val="none"/>
        </w:rPr>
      </w:pPr>
    </w:p>
    <w:p>
      <w:pPr>
        <w:pageBreakBefore w:val="0"/>
        <w:kinsoku/>
        <w:wordWrap/>
        <w:overflowPunct/>
        <w:topLinePunct w:val="0"/>
        <w:bidi w:val="0"/>
        <w:snapToGrid w:val="0"/>
        <w:spacing w:line="540" w:lineRule="exact"/>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202</w:t>
      </w:r>
      <w:r>
        <w:rPr>
          <w:rFonts w:hint="default" w:ascii="Times New Roman" w:hAnsi="Times New Roman" w:eastAsia="方正小标宋简体" w:cs="Times New Roman"/>
          <w:color w:val="auto"/>
          <w:sz w:val="44"/>
          <w:szCs w:val="44"/>
          <w:highlight w:val="none"/>
          <w:lang w:val="en-US" w:eastAsia="zh-CN"/>
        </w:rPr>
        <w:t>0</w:t>
      </w:r>
      <w:r>
        <w:rPr>
          <w:rFonts w:hint="default" w:ascii="Times New Roman" w:hAnsi="Times New Roman" w:eastAsia="方正小标宋简体" w:cs="Times New Roman"/>
          <w:color w:val="auto"/>
          <w:sz w:val="44"/>
          <w:szCs w:val="44"/>
          <w:highlight w:val="none"/>
        </w:rPr>
        <w:t>年部门预算项目支出绩效自评报告</w:t>
      </w:r>
    </w:p>
    <w:p>
      <w:pPr>
        <w:pageBreakBefore w:val="0"/>
        <w:kinsoku/>
        <w:wordWrap/>
        <w:overflowPunct/>
        <w:topLinePunct w:val="0"/>
        <w:bidi w:val="0"/>
        <w:spacing w:line="54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（日元贷款还本付息</w:t>
      </w:r>
      <w:r>
        <w:rPr>
          <w:rFonts w:hint="default" w:ascii="Times New Roman" w:hAnsi="Times New Roman" w:eastAsia="仿宋_GB2312" w:cs="Times New Roman"/>
          <w:color w:val="auto"/>
          <w:sz w:val="32"/>
          <w:szCs w:val="32"/>
          <w:highlight w:val="none"/>
          <w:lang w:val="en-US" w:eastAsia="zh-CN"/>
        </w:rPr>
        <w:t>项目</w:t>
      </w:r>
      <w:r>
        <w:rPr>
          <w:rFonts w:hint="default" w:ascii="Times New Roman" w:hAnsi="Times New Roman" w:eastAsia="仿宋_GB2312" w:cs="Times New Roman"/>
          <w:color w:val="auto"/>
          <w:sz w:val="32"/>
          <w:szCs w:val="32"/>
          <w:highlight w:val="none"/>
        </w:rPr>
        <w:t>）</w:t>
      </w:r>
    </w:p>
    <w:p>
      <w:pPr>
        <w:pageBreakBefore w:val="0"/>
        <w:numPr>
          <w:ilvl w:val="0"/>
          <w:numId w:val="0"/>
        </w:numPr>
        <w:tabs>
          <w:tab w:val="left" w:pos="3885"/>
        </w:tabs>
        <w:kinsoku/>
        <w:wordWrap/>
        <w:overflowPunct/>
        <w:topLinePunct w:val="0"/>
        <w:bidi w:val="0"/>
        <w:snapToGrid w:val="0"/>
        <w:spacing w:line="540" w:lineRule="exact"/>
        <w:jc w:val="left"/>
        <w:rPr>
          <w:rFonts w:hint="default" w:ascii="Times New Roman" w:hAnsi="Times New Roman" w:eastAsia="黑体" w:cs="Times New Roman"/>
          <w:color w:val="auto"/>
          <w:sz w:val="32"/>
          <w:highlight w:val="none"/>
          <w:shd w:val="clear" w:color="auto" w:fill="FFFFFF"/>
          <w:lang w:val="en-US" w:eastAsia="zh-CN"/>
        </w:rPr>
      </w:pPr>
    </w:p>
    <w:p>
      <w:pPr>
        <w:pageBreakBefore w:val="0"/>
        <w:numPr>
          <w:ilvl w:val="0"/>
          <w:numId w:val="0"/>
        </w:numPr>
        <w:tabs>
          <w:tab w:val="left" w:pos="3885"/>
        </w:tabs>
        <w:kinsoku/>
        <w:wordWrap/>
        <w:overflowPunct/>
        <w:topLinePunct w:val="0"/>
        <w:bidi w:val="0"/>
        <w:snapToGrid w:val="0"/>
        <w:spacing w:line="540" w:lineRule="exact"/>
        <w:jc w:val="left"/>
        <w:rPr>
          <w:rFonts w:hint="default" w:ascii="Times New Roman" w:hAnsi="Times New Roman" w:eastAsia="黑体" w:cs="Times New Roman"/>
          <w:color w:val="auto"/>
          <w:sz w:val="32"/>
          <w:highlight w:val="none"/>
          <w:shd w:val="clear" w:color="auto" w:fill="FFFFFF"/>
        </w:rPr>
      </w:pPr>
      <w:r>
        <w:rPr>
          <w:rFonts w:hint="default" w:ascii="Times New Roman" w:hAnsi="Times New Roman" w:eastAsia="黑体" w:cs="Times New Roman"/>
          <w:color w:val="auto"/>
          <w:sz w:val="32"/>
          <w:highlight w:val="none"/>
          <w:shd w:val="clear" w:color="auto" w:fill="FFFFFF"/>
          <w:lang w:val="en-US" w:eastAsia="zh-CN"/>
        </w:rPr>
        <w:t xml:space="preserve">    一、</w:t>
      </w:r>
      <w:r>
        <w:rPr>
          <w:rFonts w:hint="default" w:ascii="Times New Roman" w:hAnsi="Times New Roman" w:eastAsia="黑体" w:cs="Times New Roman"/>
          <w:color w:val="auto"/>
          <w:sz w:val="32"/>
          <w:highlight w:val="none"/>
          <w:shd w:val="clear" w:color="auto" w:fill="FFFFFF"/>
        </w:rPr>
        <w:t>基本情况</w:t>
      </w:r>
    </w:p>
    <w:p>
      <w:pPr>
        <w:pageBreakBefore w:val="0"/>
        <w:kinsoku/>
        <w:wordWrap/>
        <w:overflowPunct/>
        <w:topLinePunct w:val="0"/>
        <w:bidi w:val="0"/>
        <w:spacing w:line="540" w:lineRule="exact"/>
        <w:ind w:firstLine="640" w:firstLineChars="200"/>
        <w:rPr>
          <w:rFonts w:hint="default" w:ascii="Times New Roman" w:hAnsi="Times New Roman" w:eastAsia="仿宋" w:cs="Times New Roman"/>
          <w:color w:val="auto"/>
          <w:sz w:val="32"/>
          <w:highlight w:val="none"/>
          <w:shd w:val="clear" w:color="auto" w:fill="FFFFFF"/>
        </w:rPr>
      </w:pPr>
      <w:r>
        <w:rPr>
          <w:rFonts w:hint="default" w:ascii="Times New Roman" w:hAnsi="Times New Roman" w:eastAsia="仿宋" w:cs="Times New Roman"/>
          <w:color w:val="auto"/>
          <w:sz w:val="32"/>
          <w:highlight w:val="none"/>
          <w:shd w:val="clear" w:color="auto" w:fill="FFFFFF"/>
        </w:rPr>
        <w:t>日元贷款还本付息项目是原省经济信息中心于1995年申请落实的用来支持我省经济系统的建设的外汇贷款项目。2020年，原省经济信息中心机改后由我单位代申报支付项目。日元贷款总额9.84亿日元，以支持我省经济系统建设为总体目标。其项目执行总共涉及全省17个市州，3个重庆区，3个厅局和省经济信息中心，为全省经济信息建设设备采购和技术人员培训提供了资金。贷款为国家信息中心汇总分析全国宏观经济运行状况提供了有力支持，特别是每季度的经济形势分析、全省经济发展中重大问题研究、经济走势预测分析等工作，为省内各级政府和国家有关部门的宏观决策和调控服务起到了积极推动作用；利用贷款建设的信息平台实现了我省经济信息管理手段现代化和管理方法科学化，利用资金为政务公开提供网络支持服务和建设办公平台，购买计算机硬件推进无纸化办公发挥了重要作用。截</w:t>
      </w:r>
      <w:r>
        <w:rPr>
          <w:rFonts w:hint="eastAsia" w:eastAsia="仿宋" w:cs="Times New Roman"/>
          <w:color w:val="auto"/>
          <w:sz w:val="32"/>
          <w:highlight w:val="none"/>
          <w:shd w:val="clear" w:color="auto" w:fill="FFFFFF"/>
          <w:lang w:val="en-US" w:eastAsia="zh-CN"/>
        </w:rPr>
        <w:t>至</w:t>
      </w:r>
      <w:r>
        <w:rPr>
          <w:rFonts w:hint="default" w:ascii="Times New Roman" w:hAnsi="Times New Roman" w:eastAsia="仿宋" w:cs="Times New Roman"/>
          <w:color w:val="auto"/>
          <w:sz w:val="32"/>
          <w:highlight w:val="none"/>
          <w:shd w:val="clear" w:color="auto" w:fill="FFFFFF"/>
        </w:rPr>
        <w:t>2025年11月还剩5年还款期限。</w:t>
      </w:r>
    </w:p>
    <w:p>
      <w:pPr>
        <w:pageBreakBefore w:val="0"/>
        <w:kinsoku/>
        <w:wordWrap/>
        <w:overflowPunct/>
        <w:topLinePunct w:val="0"/>
        <w:bidi w:val="0"/>
        <w:snapToGrid w:val="0"/>
        <w:spacing w:line="540" w:lineRule="exact"/>
        <w:ind w:firstLine="640" w:firstLineChars="200"/>
        <w:rPr>
          <w:rFonts w:hint="default" w:ascii="Times New Roman" w:hAnsi="Times New Roman" w:eastAsia="黑体" w:cs="Times New Roman"/>
          <w:color w:val="auto"/>
          <w:sz w:val="32"/>
          <w:highlight w:val="none"/>
          <w:shd w:val="clear" w:color="auto" w:fill="FFFFFF"/>
        </w:rPr>
      </w:pPr>
      <w:r>
        <w:rPr>
          <w:rFonts w:hint="default" w:ascii="Times New Roman" w:hAnsi="Times New Roman" w:eastAsia="黑体" w:cs="Times New Roman"/>
          <w:color w:val="auto"/>
          <w:sz w:val="32"/>
          <w:highlight w:val="none"/>
          <w:shd w:val="clear" w:color="auto" w:fill="FFFFFF"/>
        </w:rPr>
        <w:t>二、评价工作开展情况</w:t>
      </w:r>
    </w:p>
    <w:p>
      <w:pPr>
        <w:pageBreakBefore w:val="0"/>
        <w:kinsoku/>
        <w:wordWrap/>
        <w:overflowPunct/>
        <w:topLinePunct w:val="0"/>
        <w:bidi w:val="0"/>
        <w:spacing w:line="540" w:lineRule="exact"/>
        <w:ind w:firstLine="640" w:firstLineChars="200"/>
        <w:rPr>
          <w:rFonts w:hint="default" w:ascii="Times New Roman" w:hAnsi="Times New Roman" w:eastAsia="仿宋" w:cs="Times New Roman"/>
          <w:color w:val="auto"/>
          <w:sz w:val="32"/>
          <w:highlight w:val="none"/>
          <w:shd w:val="clear" w:color="auto" w:fill="FFFFFF"/>
        </w:rPr>
      </w:pPr>
      <w:r>
        <w:rPr>
          <w:rFonts w:hint="default" w:ascii="Times New Roman" w:hAnsi="Times New Roman" w:eastAsia="仿宋" w:cs="Times New Roman"/>
          <w:color w:val="auto"/>
          <w:sz w:val="32"/>
          <w:highlight w:val="none"/>
          <w:shd w:val="clear" w:color="auto" w:fill="FFFFFF"/>
        </w:rPr>
        <w:t>日元贷款还本付息项目由我单位代为申报支付后，单位领导高度重视，安排专人负责，按合同还款进度及时办理外汇汇算并支付。2020年分四期共支付3,499,596.44元。</w:t>
      </w:r>
    </w:p>
    <w:p>
      <w:pPr>
        <w:pageBreakBefore w:val="0"/>
        <w:kinsoku/>
        <w:wordWrap/>
        <w:overflowPunct/>
        <w:topLinePunct w:val="0"/>
        <w:bidi w:val="0"/>
        <w:snapToGrid w:val="0"/>
        <w:spacing w:line="540" w:lineRule="exact"/>
        <w:ind w:firstLine="640" w:firstLineChars="200"/>
        <w:rPr>
          <w:rFonts w:hint="default" w:ascii="Times New Roman" w:hAnsi="Times New Roman" w:eastAsia="仿宋" w:cs="Times New Roman"/>
          <w:color w:val="auto"/>
          <w:sz w:val="32"/>
          <w:highlight w:val="none"/>
          <w:shd w:val="clear" w:color="auto" w:fill="FFFFFF"/>
        </w:rPr>
      </w:pPr>
      <w:r>
        <w:rPr>
          <w:rFonts w:hint="default" w:ascii="Times New Roman" w:hAnsi="Times New Roman" w:eastAsia="黑体" w:cs="Times New Roman"/>
          <w:color w:val="auto"/>
          <w:sz w:val="32"/>
          <w:highlight w:val="none"/>
          <w:shd w:val="clear" w:color="auto" w:fill="FFFFFF"/>
        </w:rPr>
        <w:t>三、综合评价结论</w:t>
      </w:r>
      <w:r>
        <w:rPr>
          <w:rFonts w:hint="default" w:ascii="Times New Roman" w:hAnsi="Times New Roman" w:eastAsia="仿宋" w:cs="Times New Roman"/>
          <w:color w:val="auto"/>
          <w:sz w:val="32"/>
          <w:highlight w:val="none"/>
          <w:shd w:val="clear" w:color="auto" w:fill="FFFFFF"/>
        </w:rPr>
        <w:t>（附评分表）</w:t>
      </w:r>
    </w:p>
    <w:p>
      <w:pPr>
        <w:pageBreakBefore w:val="0"/>
        <w:numPr>
          <w:ilvl w:val="0"/>
          <w:numId w:val="7"/>
        </w:numPr>
        <w:kinsoku/>
        <w:wordWrap/>
        <w:overflowPunct/>
        <w:topLinePunct w:val="0"/>
        <w:bidi w:val="0"/>
        <w:snapToGrid w:val="0"/>
        <w:spacing w:line="540" w:lineRule="exact"/>
        <w:rPr>
          <w:rFonts w:hint="default" w:ascii="Times New Roman" w:hAnsi="Times New Roman" w:eastAsia="黑体" w:cs="Times New Roman"/>
          <w:color w:val="auto"/>
          <w:sz w:val="32"/>
          <w:highlight w:val="none"/>
          <w:shd w:val="clear" w:color="auto" w:fill="FFFFFF"/>
        </w:rPr>
      </w:pPr>
      <w:r>
        <w:rPr>
          <w:rFonts w:hint="default" w:ascii="Times New Roman" w:hAnsi="Times New Roman" w:eastAsia="黑体" w:cs="Times New Roman"/>
          <w:color w:val="auto"/>
          <w:sz w:val="32"/>
          <w:highlight w:val="none"/>
          <w:shd w:val="clear" w:color="auto" w:fill="FFFFFF"/>
        </w:rPr>
        <w:t>绩效评价分析</w:t>
      </w:r>
    </w:p>
    <w:p>
      <w:pPr>
        <w:pageBreakBefore w:val="0"/>
        <w:kinsoku/>
        <w:wordWrap/>
        <w:overflowPunct/>
        <w:topLinePunct w:val="0"/>
        <w:bidi w:val="0"/>
        <w:spacing w:line="540" w:lineRule="exact"/>
        <w:rPr>
          <w:rFonts w:hint="default" w:ascii="Times New Roman" w:hAnsi="Times New Roman" w:eastAsia="仿宋" w:cs="Times New Roman"/>
          <w:color w:val="auto"/>
          <w:sz w:val="32"/>
          <w:highlight w:val="none"/>
          <w:shd w:val="clear" w:color="auto" w:fill="FFFFFF"/>
        </w:rPr>
      </w:pPr>
      <w:r>
        <w:rPr>
          <w:rFonts w:hint="default" w:ascii="Times New Roman" w:hAnsi="Times New Roman" w:eastAsia="仿宋" w:cs="Times New Roman"/>
          <w:color w:val="auto"/>
          <w:sz w:val="32"/>
          <w:highlight w:val="none"/>
          <w:shd w:val="clear" w:color="auto" w:fill="FFFFFF"/>
        </w:rPr>
        <w:t xml:space="preserve">    本项目决策科学合理，实施规范有序，圆满完成了日元贷款还本付息项目的年度还款目标。</w:t>
      </w:r>
    </w:p>
    <w:p>
      <w:pPr>
        <w:pageBreakBefore w:val="0"/>
        <w:kinsoku/>
        <w:wordWrap/>
        <w:overflowPunct/>
        <w:topLinePunct w:val="0"/>
        <w:bidi w:val="0"/>
        <w:snapToGrid w:val="0"/>
        <w:spacing w:line="540" w:lineRule="exact"/>
        <w:ind w:firstLine="640" w:firstLineChars="200"/>
        <w:rPr>
          <w:rFonts w:hint="default" w:ascii="Times New Roman" w:hAnsi="Times New Roman" w:eastAsia="黑体" w:cs="Times New Roman"/>
          <w:color w:val="auto"/>
          <w:sz w:val="32"/>
          <w:highlight w:val="none"/>
          <w:shd w:val="clear" w:color="auto" w:fill="FFFFFF"/>
        </w:rPr>
      </w:pPr>
      <w:r>
        <w:rPr>
          <w:rFonts w:hint="default" w:ascii="Times New Roman" w:hAnsi="Times New Roman" w:eastAsia="黑体" w:cs="Times New Roman"/>
          <w:color w:val="auto"/>
          <w:sz w:val="32"/>
          <w:highlight w:val="none"/>
          <w:shd w:val="clear" w:color="auto" w:fill="FFFFFF"/>
        </w:rPr>
        <w:t>五、存在主要问题</w:t>
      </w:r>
    </w:p>
    <w:p>
      <w:pPr>
        <w:pStyle w:val="2"/>
        <w:pageBreakBefore w:val="0"/>
        <w:kinsoku/>
        <w:wordWrap/>
        <w:overflowPunct/>
        <w:topLinePunct w:val="0"/>
        <w:bidi w:val="0"/>
        <w:spacing w:line="540" w:lineRule="exact"/>
        <w:ind w:left="1060" w:hanging="640"/>
        <w:rPr>
          <w:rFonts w:hint="default" w:ascii="Times New Roman" w:hAnsi="Times New Roman" w:eastAsia="仿宋" w:cs="Times New Roman"/>
          <w:color w:val="auto"/>
          <w:sz w:val="32"/>
          <w:highlight w:val="none"/>
          <w:shd w:val="clear" w:color="auto" w:fill="FFFFFF"/>
        </w:rPr>
      </w:pPr>
      <w:r>
        <w:rPr>
          <w:rFonts w:hint="default" w:ascii="Times New Roman" w:hAnsi="Times New Roman" w:eastAsia="仿宋" w:cs="Times New Roman"/>
          <w:color w:val="auto"/>
          <w:sz w:val="32"/>
          <w:highlight w:val="none"/>
          <w:shd w:val="clear" w:color="auto" w:fill="FFFFFF"/>
          <w:lang w:val="en-US" w:eastAsia="zh-CN"/>
        </w:rPr>
        <w:t xml:space="preserve"> </w:t>
      </w:r>
      <w:r>
        <w:rPr>
          <w:rFonts w:hint="default" w:ascii="Times New Roman" w:hAnsi="Times New Roman" w:eastAsia="仿宋" w:cs="Times New Roman"/>
          <w:color w:val="auto"/>
          <w:sz w:val="32"/>
          <w:highlight w:val="none"/>
          <w:shd w:val="clear" w:color="auto" w:fill="FFFFFF"/>
        </w:rPr>
        <w:t>无。</w:t>
      </w:r>
    </w:p>
    <w:p>
      <w:pPr>
        <w:pageBreakBefore w:val="0"/>
        <w:kinsoku/>
        <w:wordWrap/>
        <w:overflowPunct/>
        <w:topLinePunct w:val="0"/>
        <w:bidi w:val="0"/>
        <w:snapToGrid w:val="0"/>
        <w:spacing w:line="540" w:lineRule="exact"/>
        <w:ind w:left="640"/>
        <w:rPr>
          <w:rFonts w:hint="default" w:ascii="Times New Roman" w:hAnsi="Times New Roman" w:eastAsia="黑体" w:cs="Times New Roman"/>
          <w:color w:val="auto"/>
          <w:sz w:val="32"/>
          <w:highlight w:val="none"/>
          <w:shd w:val="clear" w:color="auto" w:fill="FFFFFF"/>
        </w:rPr>
      </w:pPr>
      <w:r>
        <w:rPr>
          <w:rFonts w:hint="default" w:ascii="Times New Roman" w:hAnsi="Times New Roman" w:eastAsia="黑体" w:cs="Times New Roman"/>
          <w:color w:val="auto"/>
          <w:sz w:val="32"/>
          <w:highlight w:val="none"/>
          <w:shd w:val="clear" w:color="auto" w:fill="FFFFFF"/>
        </w:rPr>
        <w:t>六、相关措施建议</w:t>
      </w:r>
    </w:p>
    <w:p>
      <w:pPr>
        <w:pStyle w:val="2"/>
        <w:pageBreakBefore w:val="0"/>
        <w:kinsoku/>
        <w:wordWrap/>
        <w:overflowPunct/>
        <w:topLinePunct w:val="0"/>
        <w:bidi w:val="0"/>
        <w:spacing w:line="540" w:lineRule="exact"/>
        <w:ind w:left="640" w:leftChars="0" w:firstLine="0" w:firstLineChars="0"/>
        <w:rPr>
          <w:rFonts w:hint="default" w:ascii="Times New Roman" w:hAnsi="Times New Roman" w:eastAsia="仿宋" w:cs="Times New Roman"/>
          <w:color w:val="auto"/>
          <w:sz w:val="32"/>
          <w:highlight w:val="none"/>
          <w:shd w:val="clear" w:color="auto" w:fill="FFFFFF"/>
        </w:rPr>
      </w:pPr>
      <w:r>
        <w:rPr>
          <w:rFonts w:hint="default" w:ascii="Times New Roman" w:hAnsi="Times New Roman" w:eastAsia="仿宋" w:cs="Times New Roman"/>
          <w:color w:val="auto"/>
          <w:sz w:val="32"/>
          <w:highlight w:val="none"/>
          <w:shd w:val="clear" w:color="auto" w:fill="FFFFFF"/>
        </w:rPr>
        <w:t>无。</w:t>
      </w:r>
    </w:p>
    <w:p>
      <w:pPr>
        <w:rPr>
          <w:rFonts w:hint="default" w:ascii="Times New Roman" w:hAnsi="Times New Roman" w:cs="Times New Roman"/>
          <w:color w:val="auto"/>
          <w:highlight w:val="none"/>
        </w:rPr>
      </w:pPr>
    </w:p>
    <w:p>
      <w:pPr>
        <w:pageBreakBefore w:val="0"/>
        <w:kinsoku/>
        <w:wordWrap/>
        <w:overflowPunct/>
        <w:topLinePunct w:val="0"/>
        <w:bidi w:val="0"/>
        <w:snapToGrid w:val="0"/>
        <w:spacing w:line="540" w:lineRule="exact"/>
        <w:jc w:val="center"/>
        <w:rPr>
          <w:rFonts w:hint="default" w:ascii="Times New Roman" w:hAnsi="Times New Roman" w:eastAsia="方正小标宋简体" w:cs="Times New Roman"/>
          <w:color w:val="auto"/>
          <w:sz w:val="32"/>
          <w:szCs w:val="32"/>
          <w:highlight w:val="none"/>
        </w:rPr>
      </w:pPr>
    </w:p>
    <w:p>
      <w:pPr>
        <w:pageBreakBefore w:val="0"/>
        <w:kinsoku/>
        <w:wordWrap/>
        <w:overflowPunct/>
        <w:topLinePunct w:val="0"/>
        <w:bidi w:val="0"/>
        <w:snapToGrid w:val="0"/>
        <w:spacing w:line="540" w:lineRule="exact"/>
        <w:jc w:val="center"/>
        <w:rPr>
          <w:rFonts w:hint="default" w:ascii="Times New Roman" w:hAnsi="Times New Roman" w:eastAsia="方正小标宋简体" w:cs="Times New Roman"/>
          <w:color w:val="auto"/>
          <w:sz w:val="32"/>
          <w:szCs w:val="32"/>
          <w:highlight w:val="none"/>
          <w:lang w:val="en-US" w:eastAsia="zh-CN"/>
        </w:rPr>
      </w:pPr>
      <w:r>
        <w:rPr>
          <w:rFonts w:hint="default" w:ascii="Times New Roman" w:hAnsi="Times New Roman" w:eastAsia="方正小标宋简体" w:cs="Times New Roman"/>
          <w:color w:val="auto"/>
          <w:sz w:val="32"/>
          <w:szCs w:val="32"/>
          <w:highlight w:val="none"/>
        </w:rPr>
        <w:t>日元贷款还本付息项目支出绩效自评</w:t>
      </w:r>
      <w:r>
        <w:rPr>
          <w:rFonts w:hint="default" w:ascii="Times New Roman" w:hAnsi="Times New Roman" w:eastAsia="方正小标宋简体" w:cs="Times New Roman"/>
          <w:color w:val="auto"/>
          <w:sz w:val="32"/>
          <w:szCs w:val="32"/>
          <w:highlight w:val="none"/>
          <w:lang w:val="en-US" w:eastAsia="zh-CN"/>
        </w:rPr>
        <w:t>表</w:t>
      </w:r>
    </w:p>
    <w:p>
      <w:pPr>
        <w:pStyle w:val="2"/>
        <w:pageBreakBefore w:val="0"/>
        <w:kinsoku/>
        <w:wordWrap/>
        <w:overflowPunct/>
        <w:topLinePunct w:val="0"/>
        <w:bidi w:val="0"/>
        <w:spacing w:line="540" w:lineRule="exact"/>
        <w:rPr>
          <w:rFonts w:hint="default" w:ascii="Times New Roman" w:hAnsi="Times New Roman" w:cs="Times New Roman"/>
          <w:color w:val="auto"/>
          <w:highlight w:val="none"/>
          <w:lang w:val="en-US"/>
        </w:rPr>
      </w:pPr>
    </w:p>
    <w:tbl>
      <w:tblPr>
        <w:tblStyle w:val="2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1925"/>
        <w:gridCol w:w="2512"/>
        <w:gridCol w:w="1335"/>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黑体" w:cs="Times New Roman"/>
                <w:b w:val="0"/>
                <w:bCs w:val="0"/>
                <w:color w:val="auto"/>
                <w:sz w:val="20"/>
                <w:szCs w:val="20"/>
                <w:highlight w:val="none"/>
              </w:rPr>
            </w:pPr>
            <w:r>
              <w:rPr>
                <w:rFonts w:hint="default" w:ascii="Times New Roman" w:hAnsi="Times New Roman" w:eastAsia="黑体" w:cs="Times New Roman"/>
                <w:b w:val="0"/>
                <w:bCs w:val="0"/>
                <w:color w:val="auto"/>
                <w:kern w:val="0"/>
                <w:sz w:val="20"/>
                <w:szCs w:val="20"/>
                <w:highlight w:val="none"/>
                <w:lang w:bidi="ar"/>
              </w:rPr>
              <w:t>一级指标</w:t>
            </w:r>
          </w:p>
        </w:tc>
        <w:tc>
          <w:tcPr>
            <w:tcW w:w="1925" w:type="dxa"/>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黑体" w:cs="Times New Roman"/>
                <w:b w:val="0"/>
                <w:bCs w:val="0"/>
                <w:color w:val="auto"/>
                <w:sz w:val="20"/>
                <w:szCs w:val="20"/>
                <w:highlight w:val="none"/>
              </w:rPr>
            </w:pPr>
            <w:r>
              <w:rPr>
                <w:rFonts w:hint="default" w:ascii="Times New Roman" w:hAnsi="Times New Roman" w:eastAsia="黑体" w:cs="Times New Roman"/>
                <w:b w:val="0"/>
                <w:bCs w:val="0"/>
                <w:color w:val="auto"/>
                <w:kern w:val="0"/>
                <w:sz w:val="20"/>
                <w:szCs w:val="20"/>
                <w:highlight w:val="none"/>
                <w:lang w:bidi="ar"/>
              </w:rPr>
              <w:t>二级指标</w:t>
            </w:r>
          </w:p>
        </w:tc>
        <w:tc>
          <w:tcPr>
            <w:tcW w:w="2512" w:type="dxa"/>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黑体" w:cs="Times New Roman"/>
                <w:b w:val="0"/>
                <w:bCs w:val="0"/>
                <w:color w:val="auto"/>
                <w:sz w:val="20"/>
                <w:szCs w:val="20"/>
                <w:highlight w:val="none"/>
              </w:rPr>
            </w:pPr>
            <w:r>
              <w:rPr>
                <w:rFonts w:hint="default" w:ascii="Times New Roman" w:hAnsi="Times New Roman" w:eastAsia="黑体" w:cs="Times New Roman"/>
                <w:b w:val="0"/>
                <w:bCs w:val="0"/>
                <w:color w:val="auto"/>
                <w:kern w:val="0"/>
                <w:sz w:val="20"/>
                <w:szCs w:val="20"/>
                <w:highlight w:val="none"/>
                <w:lang w:bidi="ar"/>
              </w:rPr>
              <w:t>三级指标</w:t>
            </w:r>
          </w:p>
        </w:tc>
        <w:tc>
          <w:tcPr>
            <w:tcW w:w="1335" w:type="dxa"/>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黑体" w:cs="Times New Roman"/>
                <w:b w:val="0"/>
                <w:bCs w:val="0"/>
                <w:color w:val="auto"/>
                <w:sz w:val="20"/>
                <w:szCs w:val="20"/>
                <w:highlight w:val="none"/>
              </w:rPr>
            </w:pPr>
            <w:r>
              <w:rPr>
                <w:rFonts w:hint="default" w:ascii="Times New Roman" w:hAnsi="Times New Roman" w:eastAsia="黑体" w:cs="Times New Roman"/>
                <w:b w:val="0"/>
                <w:bCs w:val="0"/>
                <w:color w:val="auto"/>
                <w:kern w:val="0"/>
                <w:sz w:val="20"/>
                <w:szCs w:val="20"/>
                <w:highlight w:val="none"/>
                <w:lang w:bidi="ar"/>
              </w:rPr>
              <w:t>分值</w:t>
            </w:r>
          </w:p>
        </w:tc>
        <w:tc>
          <w:tcPr>
            <w:tcW w:w="1267" w:type="dxa"/>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黑体" w:cs="Times New Roman"/>
                <w:b w:val="0"/>
                <w:bCs w:val="0"/>
                <w:color w:val="auto"/>
                <w:sz w:val="20"/>
                <w:szCs w:val="20"/>
                <w:highlight w:val="none"/>
              </w:rPr>
            </w:pPr>
            <w:r>
              <w:rPr>
                <w:rFonts w:hint="default" w:ascii="Times New Roman" w:hAnsi="Times New Roman" w:eastAsia="黑体" w:cs="Times New Roman"/>
                <w:b w:val="0"/>
                <w:bCs w:val="0"/>
                <w:color w:val="auto"/>
                <w:kern w:val="0"/>
                <w:sz w:val="20"/>
                <w:szCs w:val="20"/>
                <w:highlight w:val="none"/>
                <w:lang w:bidi="ar"/>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vMerge w:val="restart"/>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b/>
                <w:bCs/>
                <w:color w:val="auto"/>
                <w:kern w:val="0"/>
                <w:sz w:val="20"/>
                <w:szCs w:val="20"/>
                <w:highlight w:val="none"/>
                <w:lang w:bidi="ar"/>
              </w:rPr>
            </w:pPr>
            <w:r>
              <w:rPr>
                <w:rFonts w:hint="default" w:ascii="Times New Roman" w:hAnsi="Times New Roman" w:eastAsia="宋体" w:cs="Times New Roman"/>
                <w:b/>
                <w:bCs/>
                <w:color w:val="auto"/>
                <w:kern w:val="0"/>
                <w:sz w:val="20"/>
                <w:szCs w:val="20"/>
                <w:highlight w:val="none"/>
                <w:lang w:bidi="ar"/>
              </w:rPr>
              <w:t>管理</w:t>
            </w:r>
          </w:p>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b/>
                <w:bCs/>
                <w:color w:val="auto"/>
                <w:sz w:val="20"/>
                <w:szCs w:val="20"/>
                <w:highlight w:val="none"/>
              </w:rPr>
            </w:pPr>
            <w:r>
              <w:rPr>
                <w:rFonts w:hint="default" w:ascii="Times New Roman" w:hAnsi="Times New Roman" w:eastAsia="宋体" w:cs="Times New Roman"/>
                <w:b/>
                <w:bCs/>
                <w:color w:val="auto"/>
                <w:kern w:val="0"/>
                <w:sz w:val="20"/>
                <w:szCs w:val="20"/>
                <w:highlight w:val="none"/>
                <w:lang w:bidi="ar"/>
              </w:rPr>
              <w:t>指标</w:t>
            </w:r>
          </w:p>
        </w:tc>
        <w:tc>
          <w:tcPr>
            <w:tcW w:w="1925" w:type="dxa"/>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项目管理指标</w:t>
            </w:r>
          </w:p>
        </w:tc>
        <w:tc>
          <w:tcPr>
            <w:tcW w:w="2512" w:type="dxa"/>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加强统筹管理</w:t>
            </w:r>
          </w:p>
        </w:tc>
        <w:tc>
          <w:tcPr>
            <w:tcW w:w="1335" w:type="dxa"/>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10</w:t>
            </w:r>
            <w:r>
              <w:rPr>
                <w:rStyle w:val="60"/>
                <w:rFonts w:hint="default" w:ascii="Times New Roman" w:hAnsi="Times New Roman" w:cs="Times New Roman"/>
                <w:color w:val="auto"/>
                <w:sz w:val="20"/>
                <w:szCs w:val="20"/>
                <w:highlight w:val="none"/>
                <w:lang w:bidi="ar"/>
              </w:rPr>
              <w:t>分</w:t>
            </w:r>
          </w:p>
        </w:tc>
        <w:tc>
          <w:tcPr>
            <w:tcW w:w="1267" w:type="dxa"/>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10</w:t>
            </w:r>
            <w:r>
              <w:rPr>
                <w:rStyle w:val="60"/>
                <w:rFonts w:hint="default" w:ascii="Times New Roman" w:hAnsi="Times New Roman" w:cs="Times New Roman"/>
                <w:color w:val="auto"/>
                <w:sz w:val="20"/>
                <w:szCs w:val="20"/>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483" w:type="dxa"/>
            <w:vMerge w:val="continue"/>
            <w:vAlign w:val="center"/>
          </w:tcPr>
          <w:p>
            <w:pPr>
              <w:pageBreakBefore w:val="0"/>
              <w:kinsoku/>
              <w:wordWrap/>
              <w:overflowPunct/>
              <w:topLinePunct w:val="0"/>
              <w:bidi w:val="0"/>
              <w:spacing w:line="240" w:lineRule="auto"/>
              <w:jc w:val="center"/>
              <w:rPr>
                <w:rFonts w:hint="default" w:ascii="Times New Roman" w:hAnsi="Times New Roman" w:eastAsia="宋体" w:cs="Times New Roman"/>
                <w:b/>
                <w:bCs/>
                <w:color w:val="auto"/>
                <w:sz w:val="20"/>
                <w:szCs w:val="20"/>
                <w:highlight w:val="none"/>
              </w:rPr>
            </w:pPr>
          </w:p>
        </w:tc>
        <w:tc>
          <w:tcPr>
            <w:tcW w:w="1925" w:type="dxa"/>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资金管理指标</w:t>
            </w:r>
          </w:p>
        </w:tc>
        <w:tc>
          <w:tcPr>
            <w:tcW w:w="2512" w:type="dxa"/>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资金及时拨付到位</w:t>
            </w:r>
          </w:p>
        </w:tc>
        <w:tc>
          <w:tcPr>
            <w:tcW w:w="1335" w:type="dxa"/>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10</w:t>
            </w:r>
            <w:r>
              <w:rPr>
                <w:rStyle w:val="60"/>
                <w:rFonts w:hint="default" w:ascii="Times New Roman" w:hAnsi="Times New Roman" w:cs="Times New Roman"/>
                <w:color w:val="auto"/>
                <w:sz w:val="20"/>
                <w:szCs w:val="20"/>
                <w:highlight w:val="none"/>
                <w:lang w:bidi="ar"/>
              </w:rPr>
              <w:t>分</w:t>
            </w:r>
          </w:p>
        </w:tc>
        <w:tc>
          <w:tcPr>
            <w:tcW w:w="1267" w:type="dxa"/>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10</w:t>
            </w:r>
            <w:r>
              <w:rPr>
                <w:rStyle w:val="61"/>
                <w:rFonts w:hint="default" w:ascii="Times New Roman" w:hAnsi="Times New Roman" w:cs="Times New Roman"/>
                <w:color w:val="auto"/>
                <w:sz w:val="20"/>
                <w:szCs w:val="20"/>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vMerge w:val="restart"/>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b/>
                <w:bCs/>
                <w:color w:val="auto"/>
                <w:kern w:val="0"/>
                <w:sz w:val="20"/>
                <w:szCs w:val="20"/>
                <w:highlight w:val="none"/>
                <w:lang w:bidi="ar"/>
              </w:rPr>
            </w:pPr>
            <w:r>
              <w:rPr>
                <w:rFonts w:hint="default" w:ascii="Times New Roman" w:hAnsi="Times New Roman" w:eastAsia="宋体" w:cs="Times New Roman"/>
                <w:b/>
                <w:bCs/>
                <w:color w:val="auto"/>
                <w:kern w:val="0"/>
                <w:sz w:val="20"/>
                <w:szCs w:val="20"/>
                <w:highlight w:val="none"/>
                <w:lang w:bidi="ar"/>
              </w:rPr>
              <w:t>完成指标</w:t>
            </w:r>
          </w:p>
        </w:tc>
        <w:tc>
          <w:tcPr>
            <w:tcW w:w="1925" w:type="dxa"/>
            <w:vMerge w:val="restart"/>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数量指标</w:t>
            </w:r>
          </w:p>
        </w:tc>
        <w:tc>
          <w:tcPr>
            <w:tcW w:w="2512" w:type="dxa"/>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还款次数</w:t>
            </w:r>
          </w:p>
        </w:tc>
        <w:tc>
          <w:tcPr>
            <w:tcW w:w="1335"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8分</w:t>
            </w:r>
          </w:p>
        </w:tc>
        <w:tc>
          <w:tcPr>
            <w:tcW w:w="1267"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vMerge w:val="continue"/>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b/>
                <w:bCs/>
                <w:color w:val="auto"/>
                <w:kern w:val="0"/>
                <w:sz w:val="20"/>
                <w:szCs w:val="20"/>
                <w:highlight w:val="none"/>
                <w:lang w:bidi="ar"/>
              </w:rPr>
            </w:pPr>
          </w:p>
        </w:tc>
        <w:tc>
          <w:tcPr>
            <w:tcW w:w="1925" w:type="dxa"/>
            <w:vMerge w:val="continue"/>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p>
        </w:tc>
        <w:tc>
          <w:tcPr>
            <w:tcW w:w="2512" w:type="dxa"/>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还款金额</w:t>
            </w:r>
          </w:p>
        </w:tc>
        <w:tc>
          <w:tcPr>
            <w:tcW w:w="1335"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8分</w:t>
            </w:r>
          </w:p>
        </w:tc>
        <w:tc>
          <w:tcPr>
            <w:tcW w:w="1267"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vMerge w:val="continue"/>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b/>
                <w:bCs/>
                <w:color w:val="auto"/>
                <w:kern w:val="0"/>
                <w:sz w:val="20"/>
                <w:szCs w:val="20"/>
                <w:highlight w:val="none"/>
                <w:lang w:bidi="ar"/>
              </w:rPr>
            </w:pPr>
          </w:p>
        </w:tc>
        <w:tc>
          <w:tcPr>
            <w:tcW w:w="1925" w:type="dxa"/>
            <w:vMerge w:val="continue"/>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p>
        </w:tc>
        <w:tc>
          <w:tcPr>
            <w:tcW w:w="2512" w:type="dxa"/>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项目参加单位</w:t>
            </w:r>
          </w:p>
        </w:tc>
        <w:tc>
          <w:tcPr>
            <w:tcW w:w="1335"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4分</w:t>
            </w:r>
          </w:p>
        </w:tc>
        <w:tc>
          <w:tcPr>
            <w:tcW w:w="1267"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vMerge w:val="continue"/>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b/>
                <w:bCs/>
                <w:color w:val="auto"/>
                <w:kern w:val="0"/>
                <w:sz w:val="20"/>
                <w:szCs w:val="20"/>
                <w:highlight w:val="none"/>
                <w:lang w:bidi="ar"/>
              </w:rPr>
            </w:pPr>
          </w:p>
        </w:tc>
        <w:tc>
          <w:tcPr>
            <w:tcW w:w="1925" w:type="dxa"/>
            <w:vMerge w:val="restart"/>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质量指标</w:t>
            </w:r>
          </w:p>
        </w:tc>
        <w:tc>
          <w:tcPr>
            <w:tcW w:w="2512" w:type="dxa"/>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全省提款额度</w:t>
            </w:r>
          </w:p>
        </w:tc>
        <w:tc>
          <w:tcPr>
            <w:tcW w:w="1335"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5分</w:t>
            </w:r>
          </w:p>
        </w:tc>
        <w:tc>
          <w:tcPr>
            <w:tcW w:w="1267"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vMerge w:val="continue"/>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b/>
                <w:bCs/>
                <w:color w:val="auto"/>
                <w:kern w:val="0"/>
                <w:sz w:val="20"/>
                <w:szCs w:val="20"/>
                <w:highlight w:val="none"/>
                <w:lang w:bidi="ar"/>
              </w:rPr>
            </w:pPr>
          </w:p>
        </w:tc>
        <w:tc>
          <w:tcPr>
            <w:tcW w:w="1925" w:type="dxa"/>
            <w:vMerge w:val="continue"/>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p>
        </w:tc>
        <w:tc>
          <w:tcPr>
            <w:tcW w:w="2512" w:type="dxa"/>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省本级用款额度</w:t>
            </w:r>
          </w:p>
        </w:tc>
        <w:tc>
          <w:tcPr>
            <w:tcW w:w="1335"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4分</w:t>
            </w:r>
          </w:p>
        </w:tc>
        <w:tc>
          <w:tcPr>
            <w:tcW w:w="1267"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vMerge w:val="continue"/>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b/>
                <w:bCs/>
                <w:color w:val="auto"/>
                <w:kern w:val="0"/>
                <w:sz w:val="20"/>
                <w:szCs w:val="20"/>
                <w:highlight w:val="none"/>
                <w:lang w:bidi="ar"/>
              </w:rPr>
            </w:pPr>
          </w:p>
        </w:tc>
        <w:tc>
          <w:tcPr>
            <w:tcW w:w="1925" w:type="dxa"/>
            <w:vMerge w:val="continue"/>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p>
        </w:tc>
        <w:tc>
          <w:tcPr>
            <w:tcW w:w="2512" w:type="dxa"/>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市州用款额度</w:t>
            </w:r>
          </w:p>
        </w:tc>
        <w:tc>
          <w:tcPr>
            <w:tcW w:w="1335"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3分</w:t>
            </w:r>
          </w:p>
        </w:tc>
        <w:tc>
          <w:tcPr>
            <w:tcW w:w="1267"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vMerge w:val="continue"/>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b/>
                <w:bCs/>
                <w:color w:val="auto"/>
                <w:kern w:val="0"/>
                <w:sz w:val="20"/>
                <w:szCs w:val="20"/>
                <w:highlight w:val="none"/>
                <w:lang w:bidi="ar"/>
              </w:rPr>
            </w:pPr>
          </w:p>
        </w:tc>
        <w:tc>
          <w:tcPr>
            <w:tcW w:w="1925" w:type="dxa"/>
            <w:vMerge w:val="continue"/>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p>
        </w:tc>
        <w:tc>
          <w:tcPr>
            <w:tcW w:w="2512" w:type="dxa"/>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成都市贷款额度</w:t>
            </w:r>
          </w:p>
        </w:tc>
        <w:tc>
          <w:tcPr>
            <w:tcW w:w="1335"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3分</w:t>
            </w:r>
          </w:p>
        </w:tc>
        <w:tc>
          <w:tcPr>
            <w:tcW w:w="1267"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vMerge w:val="continue"/>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b/>
                <w:bCs/>
                <w:color w:val="auto"/>
                <w:kern w:val="0"/>
                <w:sz w:val="20"/>
                <w:szCs w:val="20"/>
                <w:highlight w:val="none"/>
                <w:lang w:bidi="ar"/>
              </w:rPr>
            </w:pPr>
          </w:p>
        </w:tc>
        <w:tc>
          <w:tcPr>
            <w:tcW w:w="1925" w:type="dxa"/>
            <w:vMerge w:val="restart"/>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时效指标</w:t>
            </w:r>
          </w:p>
        </w:tc>
        <w:tc>
          <w:tcPr>
            <w:tcW w:w="2512" w:type="dxa"/>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项目完成节点</w:t>
            </w:r>
          </w:p>
        </w:tc>
        <w:tc>
          <w:tcPr>
            <w:tcW w:w="1335"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5分</w:t>
            </w:r>
          </w:p>
        </w:tc>
        <w:tc>
          <w:tcPr>
            <w:tcW w:w="1267"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vMerge w:val="continue"/>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b/>
                <w:bCs/>
                <w:color w:val="auto"/>
                <w:kern w:val="0"/>
                <w:sz w:val="20"/>
                <w:szCs w:val="20"/>
                <w:highlight w:val="none"/>
                <w:lang w:bidi="ar"/>
              </w:rPr>
            </w:pPr>
          </w:p>
        </w:tc>
        <w:tc>
          <w:tcPr>
            <w:tcW w:w="1925" w:type="dxa"/>
            <w:vMerge w:val="continue"/>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p>
        </w:tc>
        <w:tc>
          <w:tcPr>
            <w:tcW w:w="2512" w:type="dxa"/>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资金支付进度</w:t>
            </w:r>
          </w:p>
        </w:tc>
        <w:tc>
          <w:tcPr>
            <w:tcW w:w="1335"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5分</w:t>
            </w:r>
          </w:p>
        </w:tc>
        <w:tc>
          <w:tcPr>
            <w:tcW w:w="1267"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vMerge w:val="continue"/>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b/>
                <w:bCs/>
                <w:color w:val="auto"/>
                <w:kern w:val="0"/>
                <w:sz w:val="20"/>
                <w:szCs w:val="20"/>
                <w:highlight w:val="none"/>
                <w:lang w:bidi="ar"/>
              </w:rPr>
            </w:pPr>
          </w:p>
        </w:tc>
        <w:tc>
          <w:tcPr>
            <w:tcW w:w="1925" w:type="dxa"/>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成本指标</w:t>
            </w:r>
          </w:p>
        </w:tc>
        <w:tc>
          <w:tcPr>
            <w:tcW w:w="2512" w:type="dxa"/>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支付利息</w:t>
            </w:r>
          </w:p>
        </w:tc>
        <w:tc>
          <w:tcPr>
            <w:tcW w:w="1335"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5分</w:t>
            </w:r>
          </w:p>
        </w:tc>
        <w:tc>
          <w:tcPr>
            <w:tcW w:w="1267"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vMerge w:val="restart"/>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b/>
                <w:bCs/>
                <w:color w:val="auto"/>
                <w:kern w:val="0"/>
                <w:sz w:val="20"/>
                <w:szCs w:val="20"/>
                <w:highlight w:val="none"/>
                <w:lang w:bidi="ar"/>
              </w:rPr>
            </w:pPr>
            <w:r>
              <w:rPr>
                <w:rFonts w:hint="default" w:ascii="Times New Roman" w:hAnsi="Times New Roman" w:eastAsia="宋体" w:cs="Times New Roman"/>
                <w:b/>
                <w:bCs/>
                <w:color w:val="auto"/>
                <w:kern w:val="0"/>
                <w:sz w:val="20"/>
                <w:szCs w:val="20"/>
                <w:highlight w:val="none"/>
                <w:lang w:bidi="ar"/>
              </w:rPr>
              <w:t>效益指标</w:t>
            </w:r>
          </w:p>
        </w:tc>
        <w:tc>
          <w:tcPr>
            <w:tcW w:w="1925" w:type="dxa"/>
            <w:vMerge w:val="restart"/>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经济效益指标</w:t>
            </w:r>
          </w:p>
        </w:tc>
        <w:tc>
          <w:tcPr>
            <w:tcW w:w="2512" w:type="dxa"/>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提升信息化水平</w:t>
            </w:r>
          </w:p>
        </w:tc>
        <w:tc>
          <w:tcPr>
            <w:tcW w:w="1335"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6分</w:t>
            </w:r>
          </w:p>
        </w:tc>
        <w:tc>
          <w:tcPr>
            <w:tcW w:w="1267"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vMerge w:val="continue"/>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b/>
                <w:bCs/>
                <w:color w:val="auto"/>
                <w:kern w:val="0"/>
                <w:sz w:val="20"/>
                <w:szCs w:val="20"/>
                <w:highlight w:val="none"/>
                <w:lang w:bidi="ar"/>
              </w:rPr>
            </w:pPr>
          </w:p>
        </w:tc>
        <w:tc>
          <w:tcPr>
            <w:tcW w:w="1925" w:type="dxa"/>
            <w:vMerge w:val="continue"/>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p>
        </w:tc>
        <w:tc>
          <w:tcPr>
            <w:tcW w:w="2512" w:type="dxa"/>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提供资金保障</w:t>
            </w:r>
          </w:p>
        </w:tc>
        <w:tc>
          <w:tcPr>
            <w:tcW w:w="1335"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4分</w:t>
            </w:r>
          </w:p>
        </w:tc>
        <w:tc>
          <w:tcPr>
            <w:tcW w:w="1267"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vMerge w:val="continue"/>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b/>
                <w:bCs/>
                <w:color w:val="auto"/>
                <w:kern w:val="0"/>
                <w:sz w:val="20"/>
                <w:szCs w:val="20"/>
                <w:highlight w:val="none"/>
                <w:lang w:bidi="ar"/>
              </w:rPr>
            </w:pPr>
          </w:p>
        </w:tc>
        <w:tc>
          <w:tcPr>
            <w:tcW w:w="1925" w:type="dxa"/>
            <w:vMerge w:val="restart"/>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社会效益指标</w:t>
            </w:r>
          </w:p>
        </w:tc>
        <w:tc>
          <w:tcPr>
            <w:tcW w:w="2512" w:type="dxa"/>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为政府宏观决策服务</w:t>
            </w:r>
          </w:p>
        </w:tc>
        <w:tc>
          <w:tcPr>
            <w:tcW w:w="1335"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2分</w:t>
            </w:r>
          </w:p>
        </w:tc>
        <w:tc>
          <w:tcPr>
            <w:tcW w:w="1267"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vMerge w:val="continue"/>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b/>
                <w:bCs/>
                <w:color w:val="auto"/>
                <w:kern w:val="0"/>
                <w:sz w:val="20"/>
                <w:szCs w:val="20"/>
                <w:highlight w:val="none"/>
                <w:lang w:bidi="ar"/>
              </w:rPr>
            </w:pPr>
          </w:p>
        </w:tc>
        <w:tc>
          <w:tcPr>
            <w:tcW w:w="1925" w:type="dxa"/>
            <w:vMerge w:val="continue"/>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p>
        </w:tc>
        <w:tc>
          <w:tcPr>
            <w:tcW w:w="2512" w:type="dxa"/>
            <w:vAlign w:val="center"/>
          </w:tcPr>
          <w:p>
            <w:pPr>
              <w:pageBreakBefore w:val="0"/>
              <w:widowControl/>
              <w:kinsoku/>
              <w:wordWrap/>
              <w:overflowPunct/>
              <w:topLinePunct w:val="0"/>
              <w:bidi w:val="0"/>
              <w:spacing w:line="240" w:lineRule="auto"/>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促进全省经济信息工作开展</w:t>
            </w:r>
          </w:p>
        </w:tc>
        <w:tc>
          <w:tcPr>
            <w:tcW w:w="1335"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2分</w:t>
            </w:r>
          </w:p>
        </w:tc>
        <w:tc>
          <w:tcPr>
            <w:tcW w:w="1267"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vMerge w:val="continue"/>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b/>
                <w:bCs/>
                <w:color w:val="auto"/>
                <w:kern w:val="0"/>
                <w:sz w:val="20"/>
                <w:szCs w:val="20"/>
                <w:highlight w:val="none"/>
                <w:lang w:bidi="ar"/>
              </w:rPr>
            </w:pPr>
          </w:p>
        </w:tc>
        <w:tc>
          <w:tcPr>
            <w:tcW w:w="1925" w:type="dxa"/>
            <w:vMerge w:val="continue"/>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p>
        </w:tc>
        <w:tc>
          <w:tcPr>
            <w:tcW w:w="2512" w:type="dxa"/>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使管理手段更现代化</w:t>
            </w:r>
          </w:p>
        </w:tc>
        <w:tc>
          <w:tcPr>
            <w:tcW w:w="1335"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2分</w:t>
            </w:r>
          </w:p>
        </w:tc>
        <w:tc>
          <w:tcPr>
            <w:tcW w:w="1267"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vMerge w:val="continue"/>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b/>
                <w:bCs/>
                <w:color w:val="auto"/>
                <w:kern w:val="0"/>
                <w:sz w:val="20"/>
                <w:szCs w:val="20"/>
                <w:highlight w:val="none"/>
                <w:lang w:bidi="ar"/>
              </w:rPr>
            </w:pPr>
          </w:p>
        </w:tc>
        <w:tc>
          <w:tcPr>
            <w:tcW w:w="1925" w:type="dxa"/>
            <w:vMerge w:val="continue"/>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p>
        </w:tc>
        <w:tc>
          <w:tcPr>
            <w:tcW w:w="2512" w:type="dxa"/>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加快电子政务建设</w:t>
            </w:r>
          </w:p>
        </w:tc>
        <w:tc>
          <w:tcPr>
            <w:tcW w:w="1335"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2分</w:t>
            </w:r>
          </w:p>
        </w:tc>
        <w:tc>
          <w:tcPr>
            <w:tcW w:w="1267"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1483" w:type="dxa"/>
            <w:vMerge w:val="continue"/>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b/>
                <w:bCs/>
                <w:color w:val="auto"/>
                <w:kern w:val="0"/>
                <w:sz w:val="20"/>
                <w:szCs w:val="20"/>
                <w:highlight w:val="none"/>
                <w:lang w:bidi="ar"/>
              </w:rPr>
            </w:pPr>
          </w:p>
        </w:tc>
        <w:tc>
          <w:tcPr>
            <w:tcW w:w="1925" w:type="dxa"/>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生态效益指标</w:t>
            </w:r>
          </w:p>
        </w:tc>
        <w:tc>
          <w:tcPr>
            <w:tcW w:w="2512" w:type="dxa"/>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无纸化办公</w:t>
            </w:r>
          </w:p>
        </w:tc>
        <w:tc>
          <w:tcPr>
            <w:tcW w:w="1335"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2分</w:t>
            </w:r>
          </w:p>
        </w:tc>
        <w:tc>
          <w:tcPr>
            <w:tcW w:w="1267"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vMerge w:val="continue"/>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b/>
                <w:bCs/>
                <w:color w:val="auto"/>
                <w:kern w:val="0"/>
                <w:sz w:val="20"/>
                <w:szCs w:val="20"/>
                <w:highlight w:val="none"/>
                <w:lang w:bidi="ar"/>
              </w:rPr>
            </w:pPr>
          </w:p>
        </w:tc>
        <w:tc>
          <w:tcPr>
            <w:tcW w:w="1925" w:type="dxa"/>
            <w:vMerge w:val="restart"/>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可持续影响指标</w:t>
            </w:r>
          </w:p>
        </w:tc>
        <w:tc>
          <w:tcPr>
            <w:tcW w:w="2512" w:type="dxa"/>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运行情况</w:t>
            </w:r>
          </w:p>
        </w:tc>
        <w:tc>
          <w:tcPr>
            <w:tcW w:w="1335"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2分</w:t>
            </w:r>
          </w:p>
        </w:tc>
        <w:tc>
          <w:tcPr>
            <w:tcW w:w="1267"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vMerge w:val="continue"/>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b/>
                <w:bCs/>
                <w:color w:val="auto"/>
                <w:kern w:val="0"/>
                <w:sz w:val="20"/>
                <w:szCs w:val="20"/>
                <w:highlight w:val="none"/>
                <w:lang w:bidi="ar"/>
              </w:rPr>
            </w:pPr>
          </w:p>
        </w:tc>
        <w:tc>
          <w:tcPr>
            <w:tcW w:w="1925" w:type="dxa"/>
            <w:vMerge w:val="continue"/>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p>
        </w:tc>
        <w:tc>
          <w:tcPr>
            <w:tcW w:w="2512" w:type="dxa"/>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剩余持续年限</w:t>
            </w:r>
          </w:p>
        </w:tc>
        <w:tc>
          <w:tcPr>
            <w:tcW w:w="1335"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2分</w:t>
            </w:r>
          </w:p>
        </w:tc>
        <w:tc>
          <w:tcPr>
            <w:tcW w:w="1267"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b/>
                <w:bCs/>
                <w:color w:val="auto"/>
                <w:kern w:val="0"/>
                <w:sz w:val="20"/>
                <w:szCs w:val="20"/>
                <w:highlight w:val="none"/>
                <w:lang w:bidi="ar"/>
              </w:rPr>
            </w:pPr>
            <w:r>
              <w:rPr>
                <w:rFonts w:hint="default" w:ascii="Times New Roman" w:hAnsi="Times New Roman" w:eastAsia="宋体" w:cs="Times New Roman"/>
                <w:b/>
                <w:bCs/>
                <w:color w:val="auto"/>
                <w:kern w:val="0"/>
                <w:sz w:val="20"/>
                <w:szCs w:val="20"/>
                <w:highlight w:val="none"/>
                <w:lang w:bidi="ar"/>
              </w:rPr>
              <w:t>满意度指标</w:t>
            </w:r>
          </w:p>
        </w:tc>
        <w:tc>
          <w:tcPr>
            <w:tcW w:w="1925" w:type="dxa"/>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满意度指标</w:t>
            </w:r>
          </w:p>
        </w:tc>
        <w:tc>
          <w:tcPr>
            <w:tcW w:w="2512" w:type="dxa"/>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服务对象满意度</w:t>
            </w:r>
          </w:p>
        </w:tc>
        <w:tc>
          <w:tcPr>
            <w:tcW w:w="1335"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8分</w:t>
            </w:r>
          </w:p>
        </w:tc>
        <w:tc>
          <w:tcPr>
            <w:tcW w:w="1267"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20" w:type="dxa"/>
            <w:gridSpan w:val="3"/>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合计</w:t>
            </w:r>
          </w:p>
        </w:tc>
        <w:tc>
          <w:tcPr>
            <w:tcW w:w="1335"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100分</w:t>
            </w:r>
          </w:p>
        </w:tc>
        <w:tc>
          <w:tcPr>
            <w:tcW w:w="1267" w:type="dxa"/>
            <w:vAlign w:val="top"/>
          </w:tcPr>
          <w:p>
            <w:pPr>
              <w:pageBreakBefore w:val="0"/>
              <w:widowControl/>
              <w:kinsoku/>
              <w:wordWrap/>
              <w:overflowPunct/>
              <w:topLinePunct w:val="0"/>
              <w:bidi w:val="0"/>
              <w:spacing w:line="240" w:lineRule="auto"/>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100分</w:t>
            </w:r>
          </w:p>
        </w:tc>
      </w:tr>
    </w:tbl>
    <w:p>
      <w:pPr>
        <w:pageBreakBefore w:val="0"/>
        <w:widowControl/>
        <w:kinsoku/>
        <w:wordWrap/>
        <w:overflowPunct/>
        <w:topLinePunct w:val="0"/>
        <w:bidi w:val="0"/>
        <w:spacing w:line="540" w:lineRule="exact"/>
        <w:jc w:val="center"/>
        <w:textAlignment w:val="center"/>
        <w:rPr>
          <w:rFonts w:hint="default" w:ascii="Times New Roman" w:hAnsi="Times New Roman" w:eastAsia="宋体" w:cs="Times New Roman"/>
          <w:b/>
          <w:bCs/>
          <w:color w:val="auto"/>
          <w:kern w:val="0"/>
          <w:sz w:val="24"/>
          <w:szCs w:val="24"/>
          <w:highlight w:val="none"/>
          <w:lang w:bidi="ar"/>
        </w:rPr>
      </w:pPr>
    </w:p>
    <w:p>
      <w:pPr>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0"/>
        <w:rPr>
          <w:rFonts w:hint="default" w:ascii="Times New Roman" w:hAnsi="Times New Roman" w:eastAsia="黑体" w:cs="Times New Roman"/>
          <w:color w:val="auto"/>
          <w:sz w:val="44"/>
          <w:szCs w:val="44"/>
          <w:highlight w:val="none"/>
        </w:rPr>
      </w:pPr>
      <w:bookmarkStart w:id="108" w:name="_Toc15396618"/>
    </w:p>
    <w:p>
      <w:pPr>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0"/>
        <w:rPr>
          <w:rFonts w:hint="default" w:ascii="Times New Roman" w:hAnsi="Times New Roman" w:eastAsia="黑体" w:cs="Times New Roman"/>
          <w:color w:val="auto"/>
          <w:sz w:val="44"/>
          <w:szCs w:val="44"/>
          <w:highlight w:val="none"/>
        </w:rPr>
      </w:pPr>
    </w:p>
    <w:p>
      <w:pPr>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0"/>
        <w:rPr>
          <w:rFonts w:hint="default" w:ascii="Times New Roman" w:hAnsi="Times New Roman" w:eastAsia="黑体" w:cs="Times New Roman"/>
          <w:color w:val="auto"/>
          <w:sz w:val="44"/>
          <w:szCs w:val="44"/>
          <w:highlight w:val="none"/>
        </w:rPr>
      </w:pPr>
    </w:p>
    <w:p>
      <w:pPr>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0"/>
        <w:rPr>
          <w:rFonts w:hint="default" w:ascii="Times New Roman" w:hAnsi="Times New Roman" w:eastAsia="黑体" w:cs="Times New Roman"/>
          <w:color w:val="auto"/>
          <w:sz w:val="44"/>
          <w:szCs w:val="44"/>
          <w:highlight w:val="none"/>
        </w:rPr>
      </w:pPr>
    </w:p>
    <w:p>
      <w:pPr>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0"/>
        <w:rPr>
          <w:rFonts w:hint="default" w:ascii="Times New Roman" w:hAnsi="Times New Roman" w:eastAsia="黑体" w:cs="Times New Roman"/>
          <w:color w:val="auto"/>
          <w:sz w:val="44"/>
          <w:szCs w:val="44"/>
          <w:highlight w:val="none"/>
        </w:rPr>
      </w:pPr>
    </w:p>
    <w:p>
      <w:pPr>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0"/>
        <w:rPr>
          <w:rFonts w:hint="default" w:ascii="Times New Roman" w:hAnsi="Times New Roman" w:eastAsia="黑体" w:cs="Times New Roman"/>
          <w:color w:val="auto"/>
          <w:sz w:val="44"/>
          <w:szCs w:val="44"/>
          <w:highlight w:val="none"/>
        </w:rPr>
      </w:pPr>
    </w:p>
    <w:p>
      <w:pPr>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0"/>
        <w:rPr>
          <w:rFonts w:hint="default" w:ascii="Times New Roman" w:hAnsi="Times New Roman" w:eastAsia="黑体" w:cs="Times New Roman"/>
          <w:color w:val="auto"/>
          <w:sz w:val="44"/>
          <w:szCs w:val="44"/>
          <w:highlight w:val="none"/>
        </w:rPr>
      </w:pPr>
    </w:p>
    <w:p>
      <w:pPr>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0"/>
        <w:rPr>
          <w:rFonts w:hint="default" w:ascii="Times New Roman" w:hAnsi="Times New Roman" w:eastAsia="仿宋" w:cs="Times New Roman"/>
          <w:color w:val="auto"/>
          <w:highlight w:val="none"/>
        </w:rPr>
      </w:pPr>
      <w:bookmarkStart w:id="109" w:name="_Toc432"/>
      <w:r>
        <w:rPr>
          <w:rFonts w:hint="default" w:ascii="Times New Roman" w:hAnsi="Times New Roman" w:eastAsia="黑体" w:cs="Times New Roman"/>
          <w:color w:val="auto"/>
          <w:sz w:val="44"/>
          <w:szCs w:val="44"/>
          <w:highlight w:val="none"/>
        </w:rPr>
        <w:t>第</w:t>
      </w:r>
      <w:r>
        <w:rPr>
          <w:rStyle w:val="39"/>
          <w:rFonts w:hint="default" w:ascii="Times New Roman" w:hAnsi="Times New Roman" w:eastAsia="黑体" w:cs="Times New Roman"/>
          <w:b w:val="0"/>
          <w:color w:val="auto"/>
          <w:highlight w:val="none"/>
        </w:rPr>
        <w:t>五部分 附表</w:t>
      </w:r>
      <w:bookmarkEnd w:id="102"/>
      <w:bookmarkEnd w:id="108"/>
      <w:bookmarkEnd w:id="109"/>
      <w:bookmarkStart w:id="110" w:name="_Toc15396619"/>
    </w:p>
    <w:p>
      <w:pPr>
        <w:pStyle w:val="4"/>
        <w:pageBreakBefore w:val="0"/>
        <w:widowControl w:val="0"/>
        <w:kinsoku/>
        <w:wordWrap/>
        <w:overflowPunct/>
        <w:topLinePunct w:val="0"/>
        <w:autoSpaceDE/>
        <w:autoSpaceDN/>
        <w:bidi w:val="0"/>
        <w:adjustRightInd/>
        <w:snapToGrid/>
        <w:spacing w:before="0" w:after="0" w:line="540" w:lineRule="exact"/>
        <w:ind w:left="0" w:leftChars="0" w:right="0" w:rightChars="0" w:firstLine="0" w:firstLineChars="0"/>
        <w:textAlignment w:val="auto"/>
        <w:rPr>
          <w:rFonts w:hint="default" w:ascii="Times New Roman" w:hAnsi="Times New Roman" w:eastAsia="仿宋" w:cs="Times New Roman"/>
          <w:b w:val="0"/>
          <w:color w:val="auto"/>
          <w:highlight w:val="none"/>
        </w:rPr>
      </w:pPr>
    </w:p>
    <w:p>
      <w:pPr>
        <w:pStyle w:val="4"/>
        <w:pageBreakBefore w:val="0"/>
        <w:widowControl w:val="0"/>
        <w:kinsoku/>
        <w:wordWrap/>
        <w:overflowPunct/>
        <w:topLinePunct w:val="0"/>
        <w:autoSpaceDE/>
        <w:autoSpaceDN/>
        <w:bidi w:val="0"/>
        <w:adjustRightInd/>
        <w:snapToGrid/>
        <w:spacing w:before="0" w:after="0" w:line="540" w:lineRule="exact"/>
        <w:ind w:left="0" w:leftChars="0" w:right="0" w:rightChars="0" w:firstLine="0" w:firstLineChars="0"/>
        <w:textAlignment w:val="auto"/>
        <w:rPr>
          <w:rFonts w:hint="default" w:ascii="Times New Roman" w:hAnsi="Times New Roman" w:eastAsia="仿宋" w:cs="Times New Roman"/>
          <w:color w:val="auto"/>
          <w:highlight w:val="none"/>
        </w:rPr>
      </w:pPr>
      <w:bookmarkStart w:id="111" w:name="_Toc32581"/>
      <w:r>
        <w:rPr>
          <w:rFonts w:hint="default" w:ascii="Times New Roman" w:hAnsi="Times New Roman" w:eastAsia="仿宋" w:cs="Times New Roman"/>
          <w:b w:val="0"/>
          <w:color w:val="auto"/>
          <w:highlight w:val="none"/>
        </w:rPr>
        <w:t>一、收</w:t>
      </w:r>
      <w:r>
        <w:rPr>
          <w:rStyle w:val="40"/>
          <w:rFonts w:hint="default" w:ascii="Times New Roman" w:hAnsi="Times New Roman" w:eastAsia="仿宋" w:cs="Times New Roman"/>
          <w:b w:val="0"/>
          <w:bCs w:val="0"/>
          <w:color w:val="auto"/>
          <w:highlight w:val="none"/>
        </w:rPr>
        <w:t>入支出决算总表</w:t>
      </w:r>
      <w:bookmarkEnd w:id="110"/>
      <w:bookmarkEnd w:id="111"/>
    </w:p>
    <w:p>
      <w:pPr>
        <w:pStyle w:val="4"/>
        <w:pageBreakBefore w:val="0"/>
        <w:widowControl w:val="0"/>
        <w:kinsoku/>
        <w:wordWrap/>
        <w:overflowPunct/>
        <w:topLinePunct w:val="0"/>
        <w:autoSpaceDE/>
        <w:autoSpaceDN/>
        <w:bidi w:val="0"/>
        <w:adjustRightInd/>
        <w:snapToGrid/>
        <w:spacing w:before="0" w:after="0" w:line="540" w:lineRule="exact"/>
        <w:ind w:left="0" w:leftChars="0" w:right="0" w:rightChars="0" w:firstLine="0" w:firstLineChars="0"/>
        <w:textAlignment w:val="auto"/>
        <w:rPr>
          <w:rFonts w:hint="default" w:ascii="Times New Roman" w:hAnsi="Times New Roman" w:eastAsia="仿宋" w:cs="Times New Roman"/>
          <w:color w:val="auto"/>
          <w:highlight w:val="none"/>
        </w:rPr>
      </w:pPr>
      <w:bookmarkStart w:id="112" w:name="_Toc25604"/>
      <w:bookmarkStart w:id="113" w:name="_Toc15396620"/>
      <w:r>
        <w:rPr>
          <w:rFonts w:hint="default" w:ascii="Times New Roman" w:hAnsi="Times New Roman" w:eastAsia="仿宋" w:cs="Times New Roman"/>
          <w:b w:val="0"/>
          <w:color w:val="auto"/>
          <w:highlight w:val="none"/>
        </w:rPr>
        <w:t>二、收</w:t>
      </w:r>
      <w:r>
        <w:rPr>
          <w:rStyle w:val="40"/>
          <w:rFonts w:hint="default" w:ascii="Times New Roman" w:hAnsi="Times New Roman" w:eastAsia="仿宋" w:cs="Times New Roman"/>
          <w:b w:val="0"/>
          <w:bCs w:val="0"/>
          <w:color w:val="auto"/>
          <w:highlight w:val="none"/>
        </w:rPr>
        <w:t>入决算表</w:t>
      </w:r>
      <w:bookmarkEnd w:id="112"/>
      <w:bookmarkEnd w:id="113"/>
    </w:p>
    <w:p>
      <w:pPr>
        <w:pStyle w:val="4"/>
        <w:pageBreakBefore w:val="0"/>
        <w:widowControl w:val="0"/>
        <w:kinsoku/>
        <w:wordWrap/>
        <w:overflowPunct/>
        <w:topLinePunct w:val="0"/>
        <w:autoSpaceDE/>
        <w:autoSpaceDN/>
        <w:bidi w:val="0"/>
        <w:adjustRightInd/>
        <w:snapToGrid/>
        <w:spacing w:before="0" w:after="0" w:line="540" w:lineRule="exact"/>
        <w:ind w:left="0" w:leftChars="0" w:right="0" w:rightChars="0" w:firstLine="0" w:firstLineChars="0"/>
        <w:textAlignment w:val="auto"/>
        <w:rPr>
          <w:rFonts w:hint="default" w:ascii="Times New Roman" w:hAnsi="Times New Roman" w:eastAsia="仿宋" w:cs="Times New Roman"/>
          <w:color w:val="auto"/>
          <w:highlight w:val="none"/>
        </w:rPr>
      </w:pPr>
      <w:bookmarkStart w:id="114" w:name="_Toc15396621"/>
      <w:bookmarkStart w:id="115" w:name="_Toc2109"/>
      <w:r>
        <w:rPr>
          <w:rStyle w:val="40"/>
          <w:rFonts w:hint="default" w:ascii="Times New Roman" w:hAnsi="Times New Roman" w:eastAsia="仿宋" w:cs="Times New Roman"/>
          <w:b w:val="0"/>
          <w:bCs w:val="0"/>
          <w:color w:val="auto"/>
          <w:highlight w:val="none"/>
        </w:rPr>
        <w:t>三、</w:t>
      </w:r>
      <w:r>
        <w:rPr>
          <w:rFonts w:hint="default" w:ascii="Times New Roman" w:hAnsi="Times New Roman" w:eastAsia="仿宋" w:cs="Times New Roman"/>
          <w:b w:val="0"/>
          <w:color w:val="auto"/>
          <w:highlight w:val="none"/>
        </w:rPr>
        <w:t>支</w:t>
      </w:r>
      <w:r>
        <w:rPr>
          <w:rStyle w:val="40"/>
          <w:rFonts w:hint="default" w:ascii="Times New Roman" w:hAnsi="Times New Roman" w:eastAsia="仿宋" w:cs="Times New Roman"/>
          <w:b w:val="0"/>
          <w:bCs w:val="0"/>
          <w:color w:val="auto"/>
          <w:highlight w:val="none"/>
        </w:rPr>
        <w:t>出决算表</w:t>
      </w:r>
      <w:bookmarkEnd w:id="114"/>
      <w:bookmarkEnd w:id="115"/>
    </w:p>
    <w:p>
      <w:pPr>
        <w:pStyle w:val="4"/>
        <w:pageBreakBefore w:val="0"/>
        <w:widowControl w:val="0"/>
        <w:kinsoku/>
        <w:wordWrap/>
        <w:overflowPunct/>
        <w:topLinePunct w:val="0"/>
        <w:autoSpaceDE/>
        <w:autoSpaceDN/>
        <w:bidi w:val="0"/>
        <w:adjustRightInd/>
        <w:snapToGrid/>
        <w:spacing w:before="0" w:after="0" w:line="540" w:lineRule="exact"/>
        <w:ind w:left="0" w:leftChars="0" w:right="0" w:rightChars="0" w:firstLine="0" w:firstLineChars="0"/>
        <w:textAlignment w:val="auto"/>
        <w:rPr>
          <w:rFonts w:hint="default" w:ascii="Times New Roman" w:hAnsi="Times New Roman" w:eastAsia="仿宋" w:cs="Times New Roman"/>
          <w:b w:val="0"/>
          <w:color w:val="auto"/>
          <w:highlight w:val="none"/>
        </w:rPr>
      </w:pPr>
      <w:bookmarkStart w:id="116" w:name="_Toc15396622"/>
      <w:bookmarkStart w:id="117" w:name="_Toc9057"/>
      <w:r>
        <w:rPr>
          <w:rStyle w:val="40"/>
          <w:rFonts w:hint="default" w:ascii="Times New Roman" w:hAnsi="Times New Roman" w:eastAsia="仿宋" w:cs="Times New Roman"/>
          <w:b w:val="0"/>
          <w:bCs w:val="0"/>
          <w:color w:val="auto"/>
          <w:highlight w:val="none"/>
        </w:rPr>
        <w:t>四、</w:t>
      </w:r>
      <w:r>
        <w:rPr>
          <w:rFonts w:hint="default" w:ascii="Times New Roman" w:hAnsi="Times New Roman" w:eastAsia="仿宋" w:cs="Times New Roman"/>
          <w:b w:val="0"/>
          <w:color w:val="auto"/>
          <w:highlight w:val="none"/>
        </w:rPr>
        <w:t>财</w:t>
      </w:r>
      <w:r>
        <w:rPr>
          <w:rStyle w:val="40"/>
          <w:rFonts w:hint="default" w:ascii="Times New Roman" w:hAnsi="Times New Roman" w:eastAsia="仿宋" w:cs="Times New Roman"/>
          <w:b w:val="0"/>
          <w:bCs w:val="0"/>
          <w:color w:val="auto"/>
          <w:highlight w:val="none"/>
        </w:rPr>
        <w:t>政拨款收入支出决算总表</w:t>
      </w:r>
      <w:bookmarkEnd w:id="116"/>
      <w:bookmarkEnd w:id="117"/>
    </w:p>
    <w:p>
      <w:pPr>
        <w:pStyle w:val="4"/>
        <w:pageBreakBefore w:val="0"/>
        <w:widowControl w:val="0"/>
        <w:kinsoku/>
        <w:wordWrap/>
        <w:overflowPunct/>
        <w:topLinePunct w:val="0"/>
        <w:autoSpaceDE/>
        <w:autoSpaceDN/>
        <w:bidi w:val="0"/>
        <w:adjustRightInd/>
        <w:snapToGrid/>
        <w:spacing w:before="0" w:after="0" w:line="540" w:lineRule="exact"/>
        <w:ind w:left="0" w:leftChars="0" w:right="0" w:rightChars="0" w:firstLine="0" w:firstLineChars="0"/>
        <w:textAlignment w:val="auto"/>
        <w:rPr>
          <w:rStyle w:val="40"/>
          <w:rFonts w:hint="default" w:ascii="Times New Roman" w:hAnsi="Times New Roman" w:eastAsia="仿宋" w:cs="Times New Roman"/>
          <w:b w:val="0"/>
          <w:bCs w:val="0"/>
          <w:color w:val="auto"/>
          <w:highlight w:val="none"/>
        </w:rPr>
      </w:pPr>
      <w:bookmarkStart w:id="118" w:name="_Toc31995"/>
      <w:bookmarkStart w:id="119" w:name="_Toc15396623"/>
      <w:r>
        <w:rPr>
          <w:rStyle w:val="40"/>
          <w:rFonts w:hint="default" w:ascii="Times New Roman" w:hAnsi="Times New Roman" w:eastAsia="仿宋" w:cs="Times New Roman"/>
          <w:b w:val="0"/>
          <w:bCs w:val="0"/>
          <w:color w:val="auto"/>
          <w:highlight w:val="none"/>
        </w:rPr>
        <w:t>五、</w:t>
      </w:r>
      <w:r>
        <w:rPr>
          <w:rFonts w:hint="default" w:ascii="Times New Roman" w:hAnsi="Times New Roman" w:eastAsia="仿宋" w:cs="Times New Roman"/>
          <w:b w:val="0"/>
          <w:color w:val="auto"/>
          <w:highlight w:val="none"/>
        </w:rPr>
        <w:t>财</w:t>
      </w:r>
      <w:r>
        <w:rPr>
          <w:rStyle w:val="40"/>
          <w:rFonts w:hint="default" w:ascii="Times New Roman" w:hAnsi="Times New Roman" w:eastAsia="仿宋" w:cs="Times New Roman"/>
          <w:b w:val="0"/>
          <w:bCs w:val="0"/>
          <w:color w:val="auto"/>
          <w:highlight w:val="none"/>
        </w:rPr>
        <w:t>政拨款支出决算明细表</w:t>
      </w:r>
      <w:bookmarkEnd w:id="118"/>
      <w:bookmarkEnd w:id="119"/>
      <w:bookmarkStart w:id="120" w:name="_Toc15396624"/>
    </w:p>
    <w:p>
      <w:pPr>
        <w:pStyle w:val="4"/>
        <w:pageBreakBefore w:val="0"/>
        <w:widowControl w:val="0"/>
        <w:kinsoku/>
        <w:wordWrap/>
        <w:overflowPunct/>
        <w:topLinePunct w:val="0"/>
        <w:autoSpaceDE/>
        <w:autoSpaceDN/>
        <w:bidi w:val="0"/>
        <w:adjustRightInd/>
        <w:snapToGrid/>
        <w:spacing w:before="0" w:after="0" w:line="540" w:lineRule="exact"/>
        <w:ind w:left="0" w:leftChars="0" w:right="0" w:rightChars="0" w:firstLine="0" w:firstLineChars="0"/>
        <w:textAlignment w:val="auto"/>
        <w:rPr>
          <w:rFonts w:hint="default" w:ascii="Times New Roman" w:hAnsi="Times New Roman" w:eastAsia="仿宋" w:cs="Times New Roman"/>
          <w:color w:val="auto"/>
          <w:highlight w:val="none"/>
        </w:rPr>
      </w:pPr>
      <w:bookmarkStart w:id="121" w:name="_Toc26571"/>
      <w:r>
        <w:rPr>
          <w:rStyle w:val="40"/>
          <w:rFonts w:hint="default" w:ascii="Times New Roman" w:hAnsi="Times New Roman" w:eastAsia="仿宋" w:cs="Times New Roman"/>
          <w:b w:val="0"/>
          <w:bCs w:val="0"/>
          <w:color w:val="auto"/>
          <w:highlight w:val="none"/>
        </w:rPr>
        <w:t>六、</w:t>
      </w:r>
      <w:r>
        <w:rPr>
          <w:rFonts w:hint="default" w:ascii="Times New Roman" w:hAnsi="Times New Roman" w:eastAsia="仿宋" w:cs="Times New Roman"/>
          <w:b w:val="0"/>
          <w:color w:val="auto"/>
          <w:highlight w:val="none"/>
        </w:rPr>
        <w:t>一</w:t>
      </w:r>
      <w:r>
        <w:rPr>
          <w:rStyle w:val="40"/>
          <w:rFonts w:hint="default" w:ascii="Times New Roman" w:hAnsi="Times New Roman" w:eastAsia="仿宋" w:cs="Times New Roman"/>
          <w:b w:val="0"/>
          <w:bCs w:val="0"/>
          <w:color w:val="auto"/>
          <w:highlight w:val="none"/>
        </w:rPr>
        <w:t>般公共预算财政拨款支出决算表</w:t>
      </w:r>
      <w:bookmarkEnd w:id="120"/>
      <w:bookmarkEnd w:id="121"/>
    </w:p>
    <w:p>
      <w:pPr>
        <w:pStyle w:val="4"/>
        <w:pageBreakBefore w:val="0"/>
        <w:widowControl w:val="0"/>
        <w:kinsoku/>
        <w:wordWrap/>
        <w:overflowPunct/>
        <w:topLinePunct w:val="0"/>
        <w:autoSpaceDE/>
        <w:autoSpaceDN/>
        <w:bidi w:val="0"/>
        <w:adjustRightInd/>
        <w:snapToGrid/>
        <w:spacing w:before="0" w:after="0" w:line="540" w:lineRule="exact"/>
        <w:ind w:left="0" w:leftChars="0" w:right="0" w:rightChars="0" w:firstLine="0" w:firstLineChars="0"/>
        <w:textAlignment w:val="auto"/>
        <w:rPr>
          <w:rFonts w:hint="default" w:ascii="Times New Roman" w:hAnsi="Times New Roman" w:eastAsia="仿宋" w:cs="Times New Roman"/>
          <w:color w:val="auto"/>
          <w:highlight w:val="none"/>
        </w:rPr>
      </w:pPr>
      <w:bookmarkStart w:id="122" w:name="_Toc15396625"/>
      <w:bookmarkStart w:id="123" w:name="_Toc5747"/>
      <w:r>
        <w:rPr>
          <w:rStyle w:val="40"/>
          <w:rFonts w:hint="default" w:ascii="Times New Roman" w:hAnsi="Times New Roman" w:eastAsia="仿宋" w:cs="Times New Roman"/>
          <w:b w:val="0"/>
          <w:bCs w:val="0"/>
          <w:color w:val="auto"/>
          <w:highlight w:val="none"/>
        </w:rPr>
        <w:t>七、</w:t>
      </w:r>
      <w:r>
        <w:rPr>
          <w:rFonts w:hint="default" w:ascii="Times New Roman" w:hAnsi="Times New Roman" w:eastAsia="仿宋" w:cs="Times New Roman"/>
          <w:b w:val="0"/>
          <w:color w:val="auto"/>
          <w:highlight w:val="none"/>
        </w:rPr>
        <w:t>一</w:t>
      </w:r>
      <w:r>
        <w:rPr>
          <w:rStyle w:val="40"/>
          <w:rFonts w:hint="default" w:ascii="Times New Roman" w:hAnsi="Times New Roman" w:eastAsia="仿宋" w:cs="Times New Roman"/>
          <w:b w:val="0"/>
          <w:bCs w:val="0"/>
          <w:color w:val="auto"/>
          <w:highlight w:val="none"/>
        </w:rPr>
        <w:t>般公共预算财政拨款支出决算明细表</w:t>
      </w:r>
      <w:bookmarkEnd w:id="122"/>
      <w:bookmarkEnd w:id="123"/>
    </w:p>
    <w:p>
      <w:pPr>
        <w:pStyle w:val="4"/>
        <w:pageBreakBefore w:val="0"/>
        <w:widowControl w:val="0"/>
        <w:kinsoku/>
        <w:wordWrap/>
        <w:overflowPunct/>
        <w:topLinePunct w:val="0"/>
        <w:autoSpaceDE/>
        <w:autoSpaceDN/>
        <w:bidi w:val="0"/>
        <w:adjustRightInd/>
        <w:snapToGrid/>
        <w:spacing w:before="0" w:after="0" w:line="540" w:lineRule="exact"/>
        <w:ind w:left="0" w:leftChars="0" w:right="0" w:rightChars="0" w:firstLine="0" w:firstLineChars="0"/>
        <w:textAlignment w:val="auto"/>
        <w:rPr>
          <w:rFonts w:hint="default" w:ascii="Times New Roman" w:hAnsi="Times New Roman" w:eastAsia="仿宋" w:cs="Times New Roman"/>
          <w:color w:val="auto"/>
          <w:highlight w:val="none"/>
        </w:rPr>
      </w:pPr>
      <w:bookmarkStart w:id="124" w:name="_Toc31581"/>
      <w:bookmarkStart w:id="125" w:name="_Toc15396626"/>
      <w:r>
        <w:rPr>
          <w:rStyle w:val="40"/>
          <w:rFonts w:hint="default" w:ascii="Times New Roman" w:hAnsi="Times New Roman" w:eastAsia="仿宋" w:cs="Times New Roman"/>
          <w:b w:val="0"/>
          <w:bCs w:val="0"/>
          <w:color w:val="auto"/>
          <w:highlight w:val="none"/>
        </w:rPr>
        <w:t>八、</w:t>
      </w:r>
      <w:r>
        <w:rPr>
          <w:rFonts w:hint="default" w:ascii="Times New Roman" w:hAnsi="Times New Roman" w:eastAsia="仿宋" w:cs="Times New Roman"/>
          <w:b w:val="0"/>
          <w:color w:val="auto"/>
          <w:highlight w:val="none"/>
        </w:rPr>
        <w:t>一</w:t>
      </w:r>
      <w:r>
        <w:rPr>
          <w:rStyle w:val="40"/>
          <w:rFonts w:hint="default" w:ascii="Times New Roman" w:hAnsi="Times New Roman" w:eastAsia="仿宋" w:cs="Times New Roman"/>
          <w:b w:val="0"/>
          <w:bCs w:val="0"/>
          <w:color w:val="auto"/>
          <w:highlight w:val="none"/>
        </w:rPr>
        <w:t>般公共预算财政拨款基本支出决算表</w:t>
      </w:r>
      <w:bookmarkEnd w:id="124"/>
      <w:bookmarkEnd w:id="125"/>
    </w:p>
    <w:p>
      <w:pPr>
        <w:pStyle w:val="4"/>
        <w:pageBreakBefore w:val="0"/>
        <w:widowControl w:val="0"/>
        <w:kinsoku/>
        <w:wordWrap/>
        <w:overflowPunct/>
        <w:topLinePunct w:val="0"/>
        <w:autoSpaceDE/>
        <w:autoSpaceDN/>
        <w:bidi w:val="0"/>
        <w:adjustRightInd/>
        <w:snapToGrid/>
        <w:spacing w:before="0" w:after="0" w:line="540" w:lineRule="exact"/>
        <w:ind w:left="0" w:leftChars="0" w:right="0" w:rightChars="0" w:firstLine="0" w:firstLineChars="0"/>
        <w:textAlignment w:val="auto"/>
        <w:rPr>
          <w:rFonts w:hint="default" w:ascii="Times New Roman" w:hAnsi="Times New Roman" w:eastAsia="仿宋" w:cs="Times New Roman"/>
          <w:color w:val="auto"/>
          <w:highlight w:val="none"/>
        </w:rPr>
      </w:pPr>
      <w:bookmarkStart w:id="126" w:name="_Toc15396627"/>
      <w:bookmarkStart w:id="127" w:name="_Toc32616"/>
      <w:r>
        <w:rPr>
          <w:rStyle w:val="40"/>
          <w:rFonts w:hint="default" w:ascii="Times New Roman" w:hAnsi="Times New Roman" w:eastAsia="仿宋" w:cs="Times New Roman"/>
          <w:b w:val="0"/>
          <w:bCs w:val="0"/>
          <w:color w:val="auto"/>
          <w:highlight w:val="none"/>
        </w:rPr>
        <w:t>九、</w:t>
      </w:r>
      <w:r>
        <w:rPr>
          <w:rFonts w:hint="default" w:ascii="Times New Roman" w:hAnsi="Times New Roman" w:eastAsia="仿宋" w:cs="Times New Roman"/>
          <w:b w:val="0"/>
          <w:color w:val="auto"/>
          <w:highlight w:val="none"/>
        </w:rPr>
        <w:t>一</w:t>
      </w:r>
      <w:r>
        <w:rPr>
          <w:rStyle w:val="40"/>
          <w:rFonts w:hint="default" w:ascii="Times New Roman" w:hAnsi="Times New Roman" w:eastAsia="仿宋" w:cs="Times New Roman"/>
          <w:b w:val="0"/>
          <w:bCs w:val="0"/>
          <w:color w:val="auto"/>
          <w:highlight w:val="none"/>
        </w:rPr>
        <w:t>般公共预算财政拨款项目支出决算表</w:t>
      </w:r>
      <w:bookmarkEnd w:id="126"/>
      <w:bookmarkEnd w:id="127"/>
    </w:p>
    <w:p>
      <w:pPr>
        <w:pStyle w:val="4"/>
        <w:pageBreakBefore w:val="0"/>
        <w:widowControl w:val="0"/>
        <w:kinsoku/>
        <w:wordWrap/>
        <w:overflowPunct/>
        <w:topLinePunct w:val="0"/>
        <w:autoSpaceDE/>
        <w:autoSpaceDN/>
        <w:bidi w:val="0"/>
        <w:adjustRightInd/>
        <w:snapToGrid/>
        <w:spacing w:before="0" w:after="0" w:line="540" w:lineRule="exact"/>
        <w:ind w:left="0" w:leftChars="0" w:right="0" w:rightChars="0" w:firstLine="0" w:firstLineChars="0"/>
        <w:textAlignment w:val="auto"/>
        <w:rPr>
          <w:rFonts w:hint="default" w:ascii="Times New Roman" w:hAnsi="Times New Roman" w:eastAsia="仿宋" w:cs="Times New Roman"/>
          <w:color w:val="auto"/>
          <w:highlight w:val="none"/>
        </w:rPr>
      </w:pPr>
      <w:bookmarkStart w:id="128" w:name="_Toc2720"/>
      <w:bookmarkStart w:id="129" w:name="_Toc15396628"/>
      <w:r>
        <w:rPr>
          <w:rStyle w:val="40"/>
          <w:rFonts w:hint="default" w:ascii="Times New Roman" w:hAnsi="Times New Roman" w:eastAsia="仿宋" w:cs="Times New Roman"/>
          <w:b w:val="0"/>
          <w:bCs w:val="0"/>
          <w:color w:val="auto"/>
          <w:highlight w:val="none"/>
        </w:rPr>
        <w:t>十、</w:t>
      </w:r>
      <w:r>
        <w:rPr>
          <w:rFonts w:hint="default" w:ascii="Times New Roman" w:hAnsi="Times New Roman" w:eastAsia="仿宋" w:cs="Times New Roman"/>
          <w:b w:val="0"/>
          <w:color w:val="auto"/>
          <w:highlight w:val="none"/>
        </w:rPr>
        <w:t>一</w:t>
      </w:r>
      <w:r>
        <w:rPr>
          <w:rStyle w:val="40"/>
          <w:rFonts w:hint="default" w:ascii="Times New Roman" w:hAnsi="Times New Roman" w:eastAsia="仿宋" w:cs="Times New Roman"/>
          <w:b w:val="0"/>
          <w:bCs w:val="0"/>
          <w:color w:val="auto"/>
          <w:highlight w:val="none"/>
        </w:rPr>
        <w:t>般公共预算财政拨款“三公”经费支出决算表</w:t>
      </w:r>
      <w:bookmarkEnd w:id="128"/>
      <w:bookmarkEnd w:id="129"/>
    </w:p>
    <w:p>
      <w:pPr>
        <w:pStyle w:val="4"/>
        <w:pageBreakBefore w:val="0"/>
        <w:widowControl w:val="0"/>
        <w:kinsoku/>
        <w:wordWrap/>
        <w:overflowPunct/>
        <w:topLinePunct w:val="0"/>
        <w:autoSpaceDE/>
        <w:autoSpaceDN/>
        <w:bidi w:val="0"/>
        <w:adjustRightInd/>
        <w:snapToGrid/>
        <w:spacing w:before="0" w:after="0" w:line="540" w:lineRule="exact"/>
        <w:ind w:left="0" w:leftChars="0" w:right="0" w:rightChars="0" w:firstLine="0" w:firstLineChars="0"/>
        <w:textAlignment w:val="auto"/>
        <w:rPr>
          <w:rFonts w:hint="default" w:ascii="Times New Roman" w:hAnsi="Times New Roman" w:eastAsia="仿宋" w:cs="Times New Roman"/>
          <w:color w:val="auto"/>
          <w:highlight w:val="none"/>
        </w:rPr>
      </w:pPr>
      <w:bookmarkStart w:id="130" w:name="_Toc21474"/>
      <w:bookmarkStart w:id="131" w:name="_Toc15396629"/>
      <w:r>
        <w:rPr>
          <w:rStyle w:val="40"/>
          <w:rFonts w:hint="default" w:ascii="Times New Roman" w:hAnsi="Times New Roman" w:eastAsia="仿宋" w:cs="Times New Roman"/>
          <w:b w:val="0"/>
          <w:bCs w:val="0"/>
          <w:color w:val="auto"/>
          <w:highlight w:val="none"/>
        </w:rPr>
        <w:t>十一、</w:t>
      </w:r>
      <w:r>
        <w:rPr>
          <w:rFonts w:hint="default" w:ascii="Times New Roman" w:hAnsi="Times New Roman" w:eastAsia="仿宋" w:cs="Times New Roman"/>
          <w:b w:val="0"/>
          <w:color w:val="auto"/>
          <w:highlight w:val="none"/>
        </w:rPr>
        <w:t>政</w:t>
      </w:r>
      <w:r>
        <w:rPr>
          <w:rStyle w:val="40"/>
          <w:rFonts w:hint="default" w:ascii="Times New Roman" w:hAnsi="Times New Roman" w:eastAsia="仿宋" w:cs="Times New Roman"/>
          <w:b w:val="0"/>
          <w:bCs w:val="0"/>
          <w:color w:val="auto"/>
          <w:highlight w:val="none"/>
        </w:rPr>
        <w:t>府性基金预算财政拨款收入支出决算表</w:t>
      </w:r>
      <w:bookmarkEnd w:id="130"/>
      <w:bookmarkEnd w:id="131"/>
    </w:p>
    <w:p>
      <w:pPr>
        <w:pStyle w:val="4"/>
        <w:pageBreakBefore w:val="0"/>
        <w:widowControl w:val="0"/>
        <w:kinsoku/>
        <w:wordWrap/>
        <w:overflowPunct/>
        <w:topLinePunct w:val="0"/>
        <w:autoSpaceDE/>
        <w:autoSpaceDN/>
        <w:bidi w:val="0"/>
        <w:adjustRightInd/>
        <w:snapToGrid/>
        <w:spacing w:before="0" w:after="0" w:line="540" w:lineRule="exact"/>
        <w:ind w:left="0" w:leftChars="0" w:right="0" w:rightChars="0" w:firstLine="0" w:firstLineChars="0"/>
        <w:textAlignment w:val="auto"/>
        <w:rPr>
          <w:rFonts w:hint="default" w:ascii="Times New Roman" w:hAnsi="Times New Roman" w:eastAsia="仿宋" w:cs="Times New Roman"/>
          <w:color w:val="auto"/>
          <w:highlight w:val="none"/>
        </w:rPr>
      </w:pPr>
      <w:bookmarkStart w:id="132" w:name="_Toc25742"/>
      <w:bookmarkStart w:id="133" w:name="_Toc15396630"/>
      <w:r>
        <w:rPr>
          <w:rStyle w:val="40"/>
          <w:rFonts w:hint="default" w:ascii="Times New Roman" w:hAnsi="Times New Roman" w:eastAsia="仿宋" w:cs="Times New Roman"/>
          <w:b w:val="0"/>
          <w:bCs w:val="0"/>
          <w:color w:val="auto"/>
          <w:highlight w:val="none"/>
        </w:rPr>
        <w:t>十二、</w:t>
      </w:r>
      <w:r>
        <w:rPr>
          <w:rFonts w:hint="default" w:ascii="Times New Roman" w:hAnsi="Times New Roman" w:eastAsia="仿宋" w:cs="Times New Roman"/>
          <w:b w:val="0"/>
          <w:color w:val="auto"/>
          <w:highlight w:val="none"/>
        </w:rPr>
        <w:t>政</w:t>
      </w:r>
      <w:r>
        <w:rPr>
          <w:rStyle w:val="40"/>
          <w:rFonts w:hint="default" w:ascii="Times New Roman" w:hAnsi="Times New Roman" w:eastAsia="仿宋" w:cs="Times New Roman"/>
          <w:b w:val="0"/>
          <w:bCs w:val="0"/>
          <w:color w:val="auto"/>
          <w:highlight w:val="none"/>
        </w:rPr>
        <w:t>府性基金预算财政拨款“三公”经费支出决算表</w:t>
      </w:r>
      <w:bookmarkEnd w:id="132"/>
      <w:bookmarkEnd w:id="133"/>
    </w:p>
    <w:p>
      <w:pPr>
        <w:pStyle w:val="4"/>
        <w:pageBreakBefore w:val="0"/>
        <w:widowControl w:val="0"/>
        <w:kinsoku/>
        <w:wordWrap/>
        <w:overflowPunct/>
        <w:topLinePunct w:val="0"/>
        <w:autoSpaceDE/>
        <w:autoSpaceDN/>
        <w:bidi w:val="0"/>
        <w:adjustRightInd/>
        <w:snapToGrid/>
        <w:spacing w:before="0" w:after="0" w:line="540" w:lineRule="exact"/>
        <w:ind w:left="0" w:leftChars="0" w:right="0" w:rightChars="0" w:firstLine="0" w:firstLineChars="0"/>
        <w:textAlignment w:val="auto"/>
        <w:rPr>
          <w:rStyle w:val="40"/>
          <w:rFonts w:hint="default" w:ascii="Times New Roman" w:hAnsi="Times New Roman" w:eastAsia="仿宋" w:cs="Times New Roman"/>
          <w:b w:val="0"/>
          <w:bCs w:val="0"/>
          <w:color w:val="auto"/>
          <w:highlight w:val="none"/>
        </w:rPr>
      </w:pPr>
      <w:bookmarkStart w:id="134" w:name="_Toc15396631"/>
      <w:bookmarkStart w:id="135" w:name="_Toc9632"/>
      <w:r>
        <w:rPr>
          <w:rStyle w:val="40"/>
          <w:rFonts w:hint="default" w:ascii="Times New Roman" w:hAnsi="Times New Roman" w:eastAsia="仿宋" w:cs="Times New Roman"/>
          <w:b w:val="0"/>
          <w:bCs w:val="0"/>
          <w:color w:val="auto"/>
          <w:highlight w:val="none"/>
        </w:rPr>
        <w:t>十三、</w:t>
      </w:r>
      <w:r>
        <w:rPr>
          <w:rFonts w:hint="default" w:ascii="Times New Roman" w:hAnsi="Times New Roman" w:eastAsia="仿宋" w:cs="Times New Roman"/>
          <w:b w:val="0"/>
          <w:color w:val="auto"/>
          <w:highlight w:val="none"/>
        </w:rPr>
        <w:t>国</w:t>
      </w:r>
      <w:r>
        <w:rPr>
          <w:rStyle w:val="40"/>
          <w:rFonts w:hint="default" w:ascii="Times New Roman" w:hAnsi="Times New Roman" w:eastAsia="仿宋" w:cs="Times New Roman"/>
          <w:b w:val="0"/>
          <w:bCs w:val="0"/>
          <w:color w:val="auto"/>
          <w:highlight w:val="none"/>
        </w:rPr>
        <w:t>有资本经营预算财政拨款收入支出决算表</w:t>
      </w:r>
      <w:bookmarkEnd w:id="134"/>
      <w:bookmarkEnd w:id="135"/>
    </w:p>
    <w:p>
      <w:pPr>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rPr>
          <w:rFonts w:hint="default" w:ascii="Times New Roman" w:hAnsi="Times New Roman" w:eastAsia="仿宋" w:cs="Times New Roman"/>
          <w:color w:val="auto"/>
          <w:highlight w:val="none"/>
        </w:rPr>
      </w:pPr>
      <w:bookmarkStart w:id="136" w:name="_Toc8153"/>
      <w:r>
        <w:rPr>
          <w:rStyle w:val="40"/>
          <w:rFonts w:hint="default" w:ascii="Times New Roman" w:hAnsi="Times New Roman" w:eastAsia="仿宋" w:cs="Times New Roman"/>
          <w:b w:val="0"/>
          <w:bCs w:val="0"/>
          <w:color w:val="auto"/>
          <w:highlight w:val="none"/>
        </w:rPr>
        <w:t>十四、国有资本经营预算财政拨款支出决算表</w:t>
      </w:r>
      <w:bookmarkEnd w:id="136"/>
    </w:p>
    <w:sectPr>
      <w:headerReference r:id="rId3" w:type="default"/>
      <w:footerReference r:id="rId4"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
    <w:altName w:val="Times New Roman"/>
    <w:panose1 w:val="00000000000000000000"/>
    <w:charset w:val="00"/>
    <w:family w:val="roman"/>
    <w:pitch w:val="default"/>
    <w:sig w:usb0="00000000" w:usb1="00000000" w:usb2="00000000" w:usb3="00000000" w:csb0="00000000" w:csb1="00000000"/>
  </w:font>
  <w:font w:name="CESI小标宋-GB2312">
    <w:altName w:val="宋体"/>
    <w:panose1 w:val="02000500000000000000"/>
    <w:charset w:val="86"/>
    <w:family w:val="auto"/>
    <w:pitch w:val="default"/>
    <w:sig w:usb0="00000000" w:usb1="00000000" w:usb2="00000010"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5"/>
          <w:jc w:val="center"/>
        </w:pPr>
        <w:r>
          <w:fldChar w:fldCharType="begin"/>
        </w:r>
        <w:r>
          <w:instrText xml:space="preserve">PAGE   \* MERGEFORMAT</w:instrText>
        </w:r>
        <w:r>
          <w:fldChar w:fldCharType="separate"/>
        </w:r>
        <w:r>
          <w:rPr>
            <w:lang w:val="zh-CN"/>
          </w:rPr>
          <w:t>28</w:t>
        </w:r>
        <w:r>
          <w:rPr>
            <w:lang w:val="zh-CN"/>
          </w:rPr>
          <w:fldChar w:fldCharType="end"/>
        </w:r>
      </w:p>
    </w:sdtContent>
  </w:sdt>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CFD287"/>
    <w:multiLevelType w:val="singleLevel"/>
    <w:tmpl w:val="D6CFD287"/>
    <w:lvl w:ilvl="0" w:tentative="0">
      <w:start w:val="5"/>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FBDCCA1B"/>
    <w:multiLevelType w:val="singleLevel"/>
    <w:tmpl w:val="FBDCCA1B"/>
    <w:lvl w:ilvl="0" w:tentative="0">
      <w:start w:val="2"/>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2A4D135C"/>
    <w:multiLevelType w:val="multilevel"/>
    <w:tmpl w:val="2A4D135C"/>
    <w:lvl w:ilvl="0" w:tentative="0">
      <w:start w:val="4"/>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38CB197B"/>
    <w:multiLevelType w:val="singleLevel"/>
    <w:tmpl w:val="38CB197B"/>
    <w:lvl w:ilvl="0" w:tentative="0">
      <w:start w:val="2"/>
      <w:numFmt w:val="chineseCounting"/>
      <w:suff w:val="nothing"/>
      <w:lvlText w:val="%1、"/>
      <w:lvlJc w:val="left"/>
      <w:rPr>
        <w:rFonts w:hint="eastAsia"/>
      </w:rPr>
    </w:lvl>
  </w:abstractNum>
  <w:abstractNum w:abstractNumId="6">
    <w:nsid w:val="612712F2"/>
    <w:multiLevelType w:val="singleLevel"/>
    <w:tmpl w:val="612712F2"/>
    <w:lvl w:ilvl="0" w:tentative="0">
      <w:start w:val="4"/>
      <w:numFmt w:val="chineseCounting"/>
      <w:suff w:val="nothing"/>
      <w:lvlText w:val="（%1）"/>
      <w:lvlJc w:val="left"/>
    </w:lvl>
  </w:abstractNum>
  <w:num w:numId="1">
    <w:abstractNumId w:val="3"/>
  </w:num>
  <w:num w:numId="2">
    <w:abstractNumId w:val="1"/>
  </w:num>
  <w:num w:numId="3">
    <w:abstractNumId w:val="2"/>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20"/>
    <w:rsid w:val="000D1D50"/>
    <w:rsid w:val="000D5782"/>
    <w:rsid w:val="000E6613"/>
    <w:rsid w:val="000E7119"/>
    <w:rsid w:val="000F2CA8"/>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2F7347"/>
    <w:rsid w:val="003216A9"/>
    <w:rsid w:val="00335A74"/>
    <w:rsid w:val="0036561B"/>
    <w:rsid w:val="0037013F"/>
    <w:rsid w:val="00380C92"/>
    <w:rsid w:val="003A484F"/>
    <w:rsid w:val="003A4883"/>
    <w:rsid w:val="003A5ED2"/>
    <w:rsid w:val="003B0BE0"/>
    <w:rsid w:val="003B0C1B"/>
    <w:rsid w:val="003B2DB1"/>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57F7B"/>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72"/>
    <w:rsid w:val="00605688"/>
    <w:rsid w:val="006070AF"/>
    <w:rsid w:val="00607E6C"/>
    <w:rsid w:val="006101B1"/>
    <w:rsid w:val="00614E44"/>
    <w:rsid w:val="0062270A"/>
    <w:rsid w:val="00622830"/>
    <w:rsid w:val="00623DA0"/>
    <w:rsid w:val="00630AEF"/>
    <w:rsid w:val="006325F8"/>
    <w:rsid w:val="00633463"/>
    <w:rsid w:val="00634C9A"/>
    <w:rsid w:val="006440E4"/>
    <w:rsid w:val="006533B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5B39"/>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667E0"/>
    <w:rsid w:val="00871F71"/>
    <w:rsid w:val="00872FD8"/>
    <w:rsid w:val="00885AF4"/>
    <w:rsid w:val="008939CD"/>
    <w:rsid w:val="008B1C09"/>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E2505"/>
    <w:rsid w:val="009F1185"/>
    <w:rsid w:val="009F18CD"/>
    <w:rsid w:val="009F2A13"/>
    <w:rsid w:val="009F7527"/>
    <w:rsid w:val="00A04EB0"/>
    <w:rsid w:val="00A12DC5"/>
    <w:rsid w:val="00A13CC1"/>
    <w:rsid w:val="00A16847"/>
    <w:rsid w:val="00A237D8"/>
    <w:rsid w:val="00A268C4"/>
    <w:rsid w:val="00A307CD"/>
    <w:rsid w:val="00A331C8"/>
    <w:rsid w:val="00A40A00"/>
    <w:rsid w:val="00A4142F"/>
    <w:rsid w:val="00A422EB"/>
    <w:rsid w:val="00A45BB7"/>
    <w:rsid w:val="00A50BB6"/>
    <w:rsid w:val="00A51502"/>
    <w:rsid w:val="00A56DF2"/>
    <w:rsid w:val="00A56E6E"/>
    <w:rsid w:val="00A67AB5"/>
    <w:rsid w:val="00A733B2"/>
    <w:rsid w:val="00A741C2"/>
    <w:rsid w:val="00A91760"/>
    <w:rsid w:val="00A93B00"/>
    <w:rsid w:val="00A93C21"/>
    <w:rsid w:val="00AB64C9"/>
    <w:rsid w:val="00AC15DE"/>
    <w:rsid w:val="00AC3C6A"/>
    <w:rsid w:val="00AC798D"/>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117A8"/>
    <w:rsid w:val="00C33E72"/>
    <w:rsid w:val="00C354B2"/>
    <w:rsid w:val="00C35554"/>
    <w:rsid w:val="00C42709"/>
    <w:rsid w:val="00C533CC"/>
    <w:rsid w:val="00C5751C"/>
    <w:rsid w:val="00C61BFC"/>
    <w:rsid w:val="00C62B85"/>
    <w:rsid w:val="00C65438"/>
    <w:rsid w:val="00C87FD8"/>
    <w:rsid w:val="00C91381"/>
    <w:rsid w:val="00C91CBB"/>
    <w:rsid w:val="00CA1F11"/>
    <w:rsid w:val="00CB4E70"/>
    <w:rsid w:val="00CC09B6"/>
    <w:rsid w:val="00CC666F"/>
    <w:rsid w:val="00CD1E3F"/>
    <w:rsid w:val="00CD2930"/>
    <w:rsid w:val="00CE44F6"/>
    <w:rsid w:val="00CE49DA"/>
    <w:rsid w:val="00CE74D1"/>
    <w:rsid w:val="00CE7B61"/>
    <w:rsid w:val="00D00095"/>
    <w:rsid w:val="00D114F0"/>
    <w:rsid w:val="00D20620"/>
    <w:rsid w:val="00D254F7"/>
    <w:rsid w:val="00D26091"/>
    <w:rsid w:val="00D2685C"/>
    <w:rsid w:val="00D34E7C"/>
    <w:rsid w:val="00D35489"/>
    <w:rsid w:val="00D36AFE"/>
    <w:rsid w:val="00D51276"/>
    <w:rsid w:val="00D7035F"/>
    <w:rsid w:val="00D86EFE"/>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1A38"/>
    <w:rsid w:val="00E64269"/>
    <w:rsid w:val="00E82267"/>
    <w:rsid w:val="00E853CE"/>
    <w:rsid w:val="00E867B6"/>
    <w:rsid w:val="00EA010F"/>
    <w:rsid w:val="00EA18CF"/>
    <w:rsid w:val="00ED1B63"/>
    <w:rsid w:val="00ED3C1F"/>
    <w:rsid w:val="00ED4085"/>
    <w:rsid w:val="00ED420E"/>
    <w:rsid w:val="00ED6FBE"/>
    <w:rsid w:val="00EE2F57"/>
    <w:rsid w:val="00EF4C34"/>
    <w:rsid w:val="00EF77C6"/>
    <w:rsid w:val="00F05438"/>
    <w:rsid w:val="00F070CD"/>
    <w:rsid w:val="00F07B1D"/>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E0400"/>
    <w:rsid w:val="00FE1698"/>
    <w:rsid w:val="00FF1E02"/>
    <w:rsid w:val="00FF30B4"/>
    <w:rsid w:val="023A6741"/>
    <w:rsid w:val="02A8439C"/>
    <w:rsid w:val="034C7388"/>
    <w:rsid w:val="066E0107"/>
    <w:rsid w:val="0A2032A3"/>
    <w:rsid w:val="0ACC7E04"/>
    <w:rsid w:val="0B3C71EC"/>
    <w:rsid w:val="0BA91684"/>
    <w:rsid w:val="0C6A31B0"/>
    <w:rsid w:val="0FD41A3A"/>
    <w:rsid w:val="101860EC"/>
    <w:rsid w:val="10C055FF"/>
    <w:rsid w:val="118107EC"/>
    <w:rsid w:val="12BF7487"/>
    <w:rsid w:val="16BB723D"/>
    <w:rsid w:val="192870E7"/>
    <w:rsid w:val="194B1CDA"/>
    <w:rsid w:val="1B9A3599"/>
    <w:rsid w:val="1BE8440E"/>
    <w:rsid w:val="1D155CEE"/>
    <w:rsid w:val="1E42132B"/>
    <w:rsid w:val="1E8435C8"/>
    <w:rsid w:val="1EED471E"/>
    <w:rsid w:val="1F500863"/>
    <w:rsid w:val="20284CED"/>
    <w:rsid w:val="22782E56"/>
    <w:rsid w:val="23860B96"/>
    <w:rsid w:val="240371BF"/>
    <w:rsid w:val="274F34D5"/>
    <w:rsid w:val="28DC1E0F"/>
    <w:rsid w:val="29FD04D3"/>
    <w:rsid w:val="2BD140BC"/>
    <w:rsid w:val="2C8A61B5"/>
    <w:rsid w:val="2CD95C66"/>
    <w:rsid w:val="2DF04E50"/>
    <w:rsid w:val="317E103C"/>
    <w:rsid w:val="319F7F4E"/>
    <w:rsid w:val="32067F0A"/>
    <w:rsid w:val="32091413"/>
    <w:rsid w:val="323C6C2B"/>
    <w:rsid w:val="35110E79"/>
    <w:rsid w:val="36AA5135"/>
    <w:rsid w:val="399100E3"/>
    <w:rsid w:val="3A131E82"/>
    <w:rsid w:val="3D98207C"/>
    <w:rsid w:val="42F030C3"/>
    <w:rsid w:val="4B085149"/>
    <w:rsid w:val="4B4737BC"/>
    <w:rsid w:val="4B4F25DA"/>
    <w:rsid w:val="4BE068DB"/>
    <w:rsid w:val="4D577224"/>
    <w:rsid w:val="4D900EE9"/>
    <w:rsid w:val="4ECE2238"/>
    <w:rsid w:val="4F065A01"/>
    <w:rsid w:val="505D27AB"/>
    <w:rsid w:val="507F7622"/>
    <w:rsid w:val="508B4857"/>
    <w:rsid w:val="51BE6AF7"/>
    <w:rsid w:val="52C13B13"/>
    <w:rsid w:val="53FC1391"/>
    <w:rsid w:val="59663343"/>
    <w:rsid w:val="59A408D9"/>
    <w:rsid w:val="5CD71FC4"/>
    <w:rsid w:val="5DD40C0B"/>
    <w:rsid w:val="5DF97462"/>
    <w:rsid w:val="5FDB0934"/>
    <w:rsid w:val="606973C4"/>
    <w:rsid w:val="63BB1A39"/>
    <w:rsid w:val="67091C85"/>
    <w:rsid w:val="677F6D65"/>
    <w:rsid w:val="67B644D5"/>
    <w:rsid w:val="692D4413"/>
    <w:rsid w:val="69E854A6"/>
    <w:rsid w:val="6C09489F"/>
    <w:rsid w:val="6C4A05C8"/>
    <w:rsid w:val="6DD23556"/>
    <w:rsid w:val="6E7E3605"/>
    <w:rsid w:val="70865D28"/>
    <w:rsid w:val="72734D90"/>
    <w:rsid w:val="757C7BAA"/>
    <w:rsid w:val="77CF7238"/>
    <w:rsid w:val="7C0168D2"/>
    <w:rsid w:val="7D820538"/>
    <w:rsid w:val="7FA30C79"/>
  </w:rsids>
  <m:mathPr>
    <m:lMargin m:val="0"/>
    <m:mathFont m:val="Cambria Math"/>
    <m:rMargin m:val="0"/>
    <m:wrapIndent m:val="1440"/>
    <m:brkBin m:val="before"/>
    <m:brkBinSub m:val="--"/>
    <m:defJc m:val="centerGroup"/>
    <m:intLim m:val="subSup"/>
    <m:naryLim m:val="undOvr"/>
    <m:smallFrac m:val=""/>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qFormat="1" w:uiPriority="99" w:semiHidden="0"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4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43"/>
    <w:unhideWhenUsed/>
    <w:qFormat/>
    <w:uiPriority w:val="9"/>
    <w:pPr>
      <w:keepNext/>
      <w:keepLines/>
      <w:spacing w:before="260" w:after="260" w:line="416" w:lineRule="auto"/>
      <w:outlineLvl w:val="2"/>
    </w:pPr>
    <w:rPr>
      <w:b/>
      <w:bCs/>
      <w:sz w:val="32"/>
      <w:szCs w:val="32"/>
    </w:rPr>
  </w:style>
  <w:style w:type="character" w:default="1" w:styleId="25">
    <w:name w:val="Default Paragraph Font"/>
    <w:unhideWhenUsed/>
    <w:qFormat/>
    <w:uiPriority w:val="1"/>
  </w:style>
  <w:style w:type="table" w:default="1" w:styleId="29">
    <w:name w:val="Normal Table"/>
    <w:unhideWhenUsed/>
    <w:qFormat/>
    <w:uiPriority w:val="99"/>
    <w:tblPr>
      <w:tblLayout w:type="fixed"/>
      <w:tblCellMar>
        <w:top w:w="0" w:type="dxa"/>
        <w:left w:w="108" w:type="dxa"/>
        <w:bottom w:w="0" w:type="dxa"/>
        <w:right w:w="108" w:type="dxa"/>
      </w:tblCellMar>
    </w:tblPr>
  </w:style>
  <w:style w:type="paragraph" w:customStyle="1" w:styleId="2">
    <w:name w:val="ToCaption"/>
    <w:basedOn w:val="1"/>
    <w:next w:val="1"/>
    <w:qFormat/>
    <w:uiPriority w:val="0"/>
    <w:pPr>
      <w:ind w:left="200" w:leftChars="200" w:hanging="200" w:hangingChars="200"/>
      <w:jc w:val="both"/>
      <w:textAlignment w:val="baseline"/>
    </w:pPr>
    <w:rPr>
      <w:rFonts w:ascii="Times New Roman" w:hAnsi="Times New Roman"/>
      <w:kern w:val="2"/>
      <w:sz w:val="21"/>
      <w:szCs w:val="24"/>
      <w:lang w:val="en-US" w:eastAsia="zh-CN" w:bidi="ar-SA"/>
    </w:rPr>
  </w:style>
  <w:style w:type="paragraph" w:styleId="6">
    <w:name w:val="annotation subject"/>
    <w:basedOn w:val="7"/>
    <w:next w:val="7"/>
    <w:link w:val="46"/>
    <w:unhideWhenUsed/>
    <w:qFormat/>
    <w:uiPriority w:val="99"/>
    <w:rPr>
      <w:b/>
      <w:bCs/>
    </w:rPr>
  </w:style>
  <w:style w:type="paragraph" w:styleId="7">
    <w:name w:val="annotation text"/>
    <w:basedOn w:val="1"/>
    <w:link w:val="45"/>
    <w:unhideWhenUsed/>
    <w:qFormat/>
    <w:uiPriority w:val="99"/>
    <w:pPr>
      <w:jc w:val="left"/>
    </w:pPr>
  </w:style>
  <w:style w:type="paragraph" w:styleId="8">
    <w:name w:val="toc 7"/>
    <w:basedOn w:val="1"/>
    <w:next w:val="1"/>
    <w:unhideWhenUsed/>
    <w:uiPriority w:val="39"/>
    <w:pPr>
      <w:ind w:left="2520" w:leftChars="1200"/>
    </w:pPr>
  </w:style>
  <w:style w:type="paragraph" w:styleId="9">
    <w:name w:val="Salutation"/>
    <w:basedOn w:val="1"/>
    <w:next w:val="1"/>
    <w:unhideWhenUsed/>
    <w:uiPriority w:val="99"/>
  </w:style>
  <w:style w:type="paragraph" w:styleId="10">
    <w:name w:val="Body Text"/>
    <w:basedOn w:val="1"/>
    <w:link w:val="36"/>
    <w:qFormat/>
    <w:uiPriority w:val="99"/>
    <w:pPr>
      <w:spacing w:beforeLines="30"/>
    </w:pPr>
    <w:rPr>
      <w:rFonts w:ascii="仿宋_GB2312" w:eastAsia="仿宋_GB2312"/>
      <w:kern w:val="0"/>
      <w:sz w:val="30"/>
    </w:rPr>
  </w:style>
  <w:style w:type="paragraph" w:styleId="11">
    <w:name w:val="toc 5"/>
    <w:basedOn w:val="1"/>
    <w:next w:val="1"/>
    <w:unhideWhenUsed/>
    <w:uiPriority w:val="39"/>
    <w:pPr>
      <w:ind w:left="1680" w:leftChars="800"/>
    </w:pPr>
  </w:style>
  <w:style w:type="paragraph" w:styleId="12">
    <w:name w:val="toc 3"/>
    <w:basedOn w:val="1"/>
    <w:next w:val="1"/>
    <w:unhideWhenUsed/>
    <w:qFormat/>
    <w:uiPriority w:val="39"/>
    <w:pPr>
      <w:ind w:left="840" w:leftChars="400"/>
    </w:pPr>
  </w:style>
  <w:style w:type="paragraph" w:styleId="13">
    <w:name w:val="toc 8"/>
    <w:basedOn w:val="1"/>
    <w:next w:val="1"/>
    <w:unhideWhenUsed/>
    <w:uiPriority w:val="39"/>
    <w:pPr>
      <w:ind w:left="2940" w:leftChars="1400"/>
    </w:pPr>
  </w:style>
  <w:style w:type="paragraph" w:styleId="14">
    <w:name w:val="Balloon Text"/>
    <w:basedOn w:val="1"/>
    <w:link w:val="42"/>
    <w:unhideWhenUsed/>
    <w:qFormat/>
    <w:uiPriority w:val="99"/>
    <w:rPr>
      <w:sz w:val="18"/>
      <w:szCs w:val="18"/>
    </w:rPr>
  </w:style>
  <w:style w:type="paragraph" w:styleId="15">
    <w:name w:val="footer"/>
    <w:basedOn w:val="1"/>
    <w:next w:val="1"/>
    <w:link w:val="34"/>
    <w:qFormat/>
    <w:uiPriority w:val="99"/>
    <w:pPr>
      <w:tabs>
        <w:tab w:val="center" w:pos="4153"/>
        <w:tab w:val="right" w:pos="8306"/>
      </w:tabs>
      <w:snapToGrid w:val="0"/>
      <w:jc w:val="left"/>
    </w:pPr>
    <w:rPr>
      <w:rFonts w:ascii="Calibri" w:hAnsi="Calibri"/>
      <w:kern w:val="0"/>
      <w:sz w:val="18"/>
      <w:szCs w:val="18"/>
    </w:rPr>
  </w:style>
  <w:style w:type="paragraph" w:styleId="16">
    <w:name w:val="header"/>
    <w:basedOn w:val="1"/>
    <w:link w:val="3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7">
    <w:name w:val="toc 1"/>
    <w:basedOn w:val="1"/>
    <w:next w:val="1"/>
    <w:unhideWhenUsed/>
    <w:qFormat/>
    <w:uiPriority w:val="39"/>
  </w:style>
  <w:style w:type="paragraph" w:styleId="18">
    <w:name w:val="toc 4"/>
    <w:basedOn w:val="1"/>
    <w:next w:val="1"/>
    <w:unhideWhenUsed/>
    <w:uiPriority w:val="39"/>
    <w:pPr>
      <w:ind w:left="1260" w:leftChars="600"/>
    </w:pPr>
  </w:style>
  <w:style w:type="paragraph" w:styleId="19">
    <w:name w:val="toc 6"/>
    <w:basedOn w:val="1"/>
    <w:next w:val="1"/>
    <w:unhideWhenUsed/>
    <w:uiPriority w:val="39"/>
    <w:pPr>
      <w:ind w:left="2100" w:leftChars="1000"/>
    </w:pPr>
  </w:style>
  <w:style w:type="paragraph" w:styleId="20">
    <w:name w:val="table of figures"/>
    <w:basedOn w:val="1"/>
    <w:next w:val="1"/>
    <w:unhideWhenUsed/>
    <w:qFormat/>
    <w:uiPriority w:val="99"/>
    <w:pPr>
      <w:ind w:left="200" w:leftChars="200" w:hanging="200" w:hangingChars="200"/>
    </w:pPr>
  </w:style>
  <w:style w:type="paragraph" w:styleId="21">
    <w:name w:val="toc 2"/>
    <w:basedOn w:val="1"/>
    <w:next w:val="1"/>
    <w:unhideWhenUsed/>
    <w:qFormat/>
    <w:uiPriority w:val="39"/>
    <w:pPr>
      <w:ind w:left="420" w:leftChars="200"/>
    </w:pPr>
  </w:style>
  <w:style w:type="paragraph" w:styleId="22">
    <w:name w:val="toc 9"/>
    <w:basedOn w:val="1"/>
    <w:next w:val="1"/>
    <w:unhideWhenUsed/>
    <w:uiPriority w:val="39"/>
    <w:pPr>
      <w:ind w:left="3360" w:leftChars="1600"/>
    </w:pPr>
  </w:style>
  <w:style w:type="paragraph" w:styleId="23">
    <w:name w:val="HTML Preformatted"/>
    <w:basedOn w:val="1"/>
    <w:link w:val="48"/>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4">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26">
    <w:name w:val="Strong"/>
    <w:basedOn w:val="25"/>
    <w:qFormat/>
    <w:uiPriority w:val="99"/>
    <w:rPr>
      <w:b/>
    </w:rPr>
  </w:style>
  <w:style w:type="character" w:styleId="27">
    <w:name w:val="Hyperlink"/>
    <w:basedOn w:val="25"/>
    <w:unhideWhenUsed/>
    <w:qFormat/>
    <w:uiPriority w:val="99"/>
    <w:rPr>
      <w:color w:val="0000FF" w:themeColor="hyperlink"/>
      <w:u w:val="single"/>
    </w:rPr>
  </w:style>
  <w:style w:type="character" w:styleId="28">
    <w:name w:val="annotation reference"/>
    <w:basedOn w:val="25"/>
    <w:unhideWhenUsed/>
    <w:qFormat/>
    <w:uiPriority w:val="99"/>
    <w:rPr>
      <w:sz w:val="21"/>
      <w:szCs w:val="21"/>
    </w:rPr>
  </w:style>
  <w:style w:type="table" w:styleId="30">
    <w:name w:val="Table Grid"/>
    <w:basedOn w:val="29"/>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31">
    <w:name w:val="Header Char"/>
    <w:basedOn w:val="25"/>
    <w:semiHidden/>
    <w:qFormat/>
    <w:uiPriority w:val="99"/>
    <w:rPr>
      <w:rFonts w:ascii="Times New Roman" w:hAnsi="Times New Roman"/>
      <w:sz w:val="18"/>
      <w:szCs w:val="18"/>
    </w:rPr>
  </w:style>
  <w:style w:type="character" w:customStyle="1" w:styleId="32">
    <w:name w:val="页眉 Char"/>
    <w:link w:val="16"/>
    <w:semiHidden/>
    <w:qFormat/>
    <w:locked/>
    <w:uiPriority w:val="99"/>
    <w:rPr>
      <w:sz w:val="18"/>
    </w:rPr>
  </w:style>
  <w:style w:type="character" w:customStyle="1" w:styleId="33">
    <w:name w:val="Footer Char"/>
    <w:basedOn w:val="25"/>
    <w:semiHidden/>
    <w:qFormat/>
    <w:uiPriority w:val="99"/>
    <w:rPr>
      <w:rFonts w:ascii="Times New Roman" w:hAnsi="Times New Roman"/>
      <w:sz w:val="18"/>
      <w:szCs w:val="18"/>
    </w:rPr>
  </w:style>
  <w:style w:type="character" w:customStyle="1" w:styleId="34">
    <w:name w:val="页脚 Char"/>
    <w:link w:val="15"/>
    <w:qFormat/>
    <w:locked/>
    <w:uiPriority w:val="99"/>
    <w:rPr>
      <w:sz w:val="18"/>
    </w:rPr>
  </w:style>
  <w:style w:type="character" w:customStyle="1" w:styleId="35">
    <w:name w:val="Body Text Char"/>
    <w:basedOn w:val="25"/>
    <w:semiHidden/>
    <w:qFormat/>
    <w:uiPriority w:val="99"/>
    <w:rPr>
      <w:rFonts w:ascii="Times New Roman" w:hAnsi="Times New Roman"/>
      <w:szCs w:val="24"/>
    </w:rPr>
  </w:style>
  <w:style w:type="character" w:customStyle="1" w:styleId="36">
    <w:name w:val="正文文本 Char"/>
    <w:link w:val="10"/>
    <w:qFormat/>
    <w:locked/>
    <w:uiPriority w:val="99"/>
    <w:rPr>
      <w:rFonts w:ascii="仿宋_GB2312" w:hAnsi="Times New Roman" w:eastAsia="仿宋_GB2312"/>
      <w:sz w:val="24"/>
    </w:rPr>
  </w:style>
  <w:style w:type="paragraph" w:customStyle="1" w:styleId="3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38">
    <w:name w:val="List Paragraph"/>
    <w:basedOn w:val="1"/>
    <w:qFormat/>
    <w:uiPriority w:val="34"/>
    <w:pPr>
      <w:ind w:firstLine="420" w:firstLineChars="200"/>
    </w:pPr>
  </w:style>
  <w:style w:type="character" w:customStyle="1" w:styleId="39">
    <w:name w:val="标题 1 Char"/>
    <w:basedOn w:val="25"/>
    <w:link w:val="3"/>
    <w:qFormat/>
    <w:uiPriority w:val="9"/>
    <w:rPr>
      <w:rFonts w:ascii="Times New Roman" w:hAnsi="Times New Roman"/>
      <w:b/>
      <w:bCs/>
      <w:kern w:val="44"/>
      <w:sz w:val="44"/>
      <w:szCs w:val="44"/>
    </w:rPr>
  </w:style>
  <w:style w:type="character" w:customStyle="1" w:styleId="40">
    <w:name w:val="标题 2 Char"/>
    <w:basedOn w:val="25"/>
    <w:link w:val="4"/>
    <w:qFormat/>
    <w:uiPriority w:val="9"/>
    <w:rPr>
      <w:rFonts w:asciiTheme="majorHAnsi" w:hAnsiTheme="majorHAnsi" w:eastAsiaTheme="majorEastAsia" w:cstheme="majorBidi"/>
      <w:b/>
      <w:bCs/>
      <w:kern w:val="2"/>
      <w:sz w:val="32"/>
      <w:szCs w:val="32"/>
    </w:rPr>
  </w:style>
  <w:style w:type="paragraph" w:customStyle="1" w:styleId="41">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42">
    <w:name w:val="批注框文本 Char"/>
    <w:basedOn w:val="25"/>
    <w:link w:val="14"/>
    <w:semiHidden/>
    <w:qFormat/>
    <w:uiPriority w:val="99"/>
    <w:rPr>
      <w:rFonts w:ascii="Times New Roman" w:hAnsi="Times New Roman"/>
      <w:kern w:val="2"/>
      <w:sz w:val="18"/>
      <w:szCs w:val="18"/>
    </w:rPr>
  </w:style>
  <w:style w:type="character" w:customStyle="1" w:styleId="43">
    <w:name w:val="标题 3 Char"/>
    <w:basedOn w:val="25"/>
    <w:link w:val="5"/>
    <w:qFormat/>
    <w:uiPriority w:val="9"/>
    <w:rPr>
      <w:rFonts w:ascii="Times New Roman" w:hAnsi="Times New Roman"/>
      <w:b/>
      <w:bCs/>
      <w:kern w:val="2"/>
      <w:sz w:val="32"/>
      <w:szCs w:val="32"/>
    </w:rPr>
  </w:style>
  <w:style w:type="paragraph" w:customStyle="1" w:styleId="4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45">
    <w:name w:val="批注文字 Char"/>
    <w:basedOn w:val="25"/>
    <w:link w:val="7"/>
    <w:semiHidden/>
    <w:qFormat/>
    <w:uiPriority w:val="99"/>
    <w:rPr>
      <w:rFonts w:ascii="Times New Roman" w:hAnsi="Times New Roman" w:eastAsia="宋体" w:cs="Times New Roman"/>
      <w:kern w:val="2"/>
      <w:sz w:val="21"/>
      <w:szCs w:val="24"/>
    </w:rPr>
  </w:style>
  <w:style w:type="character" w:customStyle="1" w:styleId="46">
    <w:name w:val="批注主题 Char"/>
    <w:basedOn w:val="45"/>
    <w:link w:val="6"/>
    <w:semiHidden/>
    <w:qFormat/>
    <w:uiPriority w:val="99"/>
    <w:rPr>
      <w:b/>
      <w:bCs/>
    </w:rPr>
  </w:style>
  <w:style w:type="paragraph" w:customStyle="1" w:styleId="47">
    <w:name w:val="Revision"/>
    <w:hidden/>
    <w:unhideWhenUsed/>
    <w:qFormat/>
    <w:uiPriority w:val="99"/>
    <w:rPr>
      <w:rFonts w:ascii="Times New Roman" w:hAnsi="Times New Roman" w:eastAsia="宋体" w:cs="Times New Roman"/>
      <w:kern w:val="2"/>
      <w:sz w:val="21"/>
      <w:szCs w:val="24"/>
      <w:lang w:val="en-US" w:eastAsia="zh-CN" w:bidi="ar-SA"/>
    </w:rPr>
  </w:style>
  <w:style w:type="character" w:customStyle="1" w:styleId="48">
    <w:name w:val="HTML 预设格式 Char"/>
    <w:basedOn w:val="25"/>
    <w:link w:val="23"/>
    <w:qFormat/>
    <w:uiPriority w:val="0"/>
    <w:rPr>
      <w:rFonts w:ascii="宋体" w:hAnsi="宋体" w:eastAsia="宋体" w:cs="Times New Roman"/>
      <w:sz w:val="24"/>
      <w:szCs w:val="24"/>
    </w:rPr>
  </w:style>
  <w:style w:type="paragraph" w:customStyle="1" w:styleId="49">
    <w:name w:val="正文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50">
    <w:name w:val="正文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5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52">
    <w:name w:val="四号正文"/>
    <w:basedOn w:val="1"/>
    <w:qFormat/>
    <w:uiPriority w:val="0"/>
    <w:pPr>
      <w:spacing w:line="360" w:lineRule="auto"/>
    </w:pPr>
    <w:rPr>
      <w:rFonts w:ascii="??" w:hAnsi="??" w:eastAsia="宋体"/>
      <w:color w:val="000000"/>
      <w:kern w:val="0"/>
      <w:sz w:val="28"/>
      <w:szCs w:val="21"/>
      <w:lang w:val="zh-CN" w:eastAsia="zh-CN"/>
    </w:rPr>
  </w:style>
  <w:style w:type="paragraph" w:customStyle="1" w:styleId="53">
    <w:name w:val="正文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eastAsia="仿宋_GB2312" w:asciiTheme="minorHAnsi" w:hAnsiTheme="minorHAnsi" w:cstheme="minorBidi"/>
      <w:kern w:val="2"/>
      <w:sz w:val="32"/>
      <w:szCs w:val="24"/>
      <w:lang w:val="en-US" w:eastAsia="zh-CN" w:bidi="ar-SA"/>
    </w:rPr>
  </w:style>
  <w:style w:type="paragraph" w:customStyle="1" w:styleId="54">
    <w:name w:val="正文 New New New New New New New New New New New New New New New New New New New New New New New New New New New New New New New New New New New New New New New New New New New New New New New New New New New New New New New New New New New New New New Ne1"/>
    <w:qFormat/>
    <w:uiPriority w:val="0"/>
    <w:pPr>
      <w:widowControl w:val="0"/>
      <w:jc w:val="both"/>
    </w:pPr>
    <w:rPr>
      <w:rFonts w:ascii="Calibri" w:hAnsi="Calibri" w:eastAsia="仿宋_GB2312" w:cstheme="minorBidi"/>
      <w:kern w:val="2"/>
      <w:sz w:val="32"/>
      <w:szCs w:val="22"/>
      <w:lang w:val="en-US" w:eastAsia="zh-CN" w:bidi="ar-SA"/>
    </w:rPr>
  </w:style>
  <w:style w:type="character" w:customStyle="1" w:styleId="55">
    <w:name w:val="s1"/>
    <w:basedOn w:val="25"/>
    <w:qFormat/>
    <w:uiPriority w:val="0"/>
  </w:style>
  <w:style w:type="paragraph" w:customStyle="1" w:styleId="56">
    <w:name w:val="正文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eastAsia="仿宋_GB2312" w:asciiTheme="minorHAnsi" w:hAnsiTheme="minorHAnsi" w:cstheme="minorBidi"/>
      <w:kern w:val="2"/>
      <w:sz w:val="32"/>
      <w:szCs w:val="22"/>
      <w:lang w:val="en-US" w:eastAsia="zh-CN" w:bidi="ar-SA"/>
    </w:rPr>
  </w:style>
  <w:style w:type="paragraph" w:customStyle="1" w:styleId="57">
    <w:name w:val="正文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eastAsia="仿宋_GB2312" w:asciiTheme="minorHAnsi" w:hAnsiTheme="minorHAnsi" w:cstheme="minorBidi"/>
      <w:kern w:val="2"/>
      <w:sz w:val="32"/>
      <w:szCs w:val="22"/>
      <w:lang w:val="en-US" w:eastAsia="zh-CN" w:bidi="ar-SA"/>
    </w:rPr>
  </w:style>
  <w:style w:type="paragraph" w:customStyle="1" w:styleId="5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60">
    <w:name w:val="font11"/>
    <w:basedOn w:val="25"/>
    <w:qFormat/>
    <w:uiPriority w:val="0"/>
    <w:rPr>
      <w:rFonts w:hint="eastAsia" w:ascii="宋体" w:hAnsi="宋体" w:eastAsia="宋体" w:cs="宋体"/>
      <w:color w:val="000000"/>
      <w:sz w:val="28"/>
      <w:szCs w:val="28"/>
      <w:u w:val="none"/>
    </w:rPr>
  </w:style>
  <w:style w:type="character" w:customStyle="1" w:styleId="61">
    <w:name w:val="font01"/>
    <w:basedOn w:val="25"/>
    <w:qFormat/>
    <w:uiPriority w:val="0"/>
    <w:rPr>
      <w:rFonts w:hint="eastAsia" w:ascii="宋体" w:hAnsi="宋体" w:eastAsia="宋体" w:cs="宋体"/>
      <w:color w:val="000000"/>
      <w:sz w:val="28"/>
      <w:szCs w:val="28"/>
      <w:u w:val="none"/>
    </w:rPr>
  </w:style>
  <w:style w:type="paragraph" w:customStyle="1" w:styleId="62">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63">
    <w:name w:val="font21"/>
    <w:basedOn w:val="25"/>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2455870\Desktop\&#26032;&#24314;%20Microsoft%20Office%20Excel%20&#24037;&#20316;&#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G:\2020&#24180;&#20915;&#31639;\&#22235;&#24029;&#30465;&#21457;&#23637;&#21644;&#25913;&#38761;&#22996;&#21592;&#20250;(&#26412;&#32423;&#6528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2455870\Desktop\&#26032;&#24314;%20Microsoft%20Office%20Excel%20&#24037;&#20316;&#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2455870\Desktop\&#26032;&#24314;%20Microsoft%20Office%20Excel%20&#24037;&#20316;&#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2455870\Desktop\&#26032;&#24314;%20Microsoft%20Office%20Excel%20&#24037;&#20316;&#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2455870\Desktop\&#26032;&#24314;%20Microsoft%20Office%20Excel%20&#24037;&#20316;&#349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2455870\Desktop\&#26032;&#24314;%20Microsoft%20Office%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600" b="1" i="0" u="none" strike="noStrike" baseline="0"/>
              <a:t>收、支决算总计变动情况图</a:t>
            </a:r>
            <a:endParaRPr lang="zh-CN" altLang="en-US" sz="1600" b="1" i="0" u="none" strike="noStrike" baseline="0"/>
          </a:p>
        </c:rich>
      </c:tx>
      <c:layout/>
      <c:overlay val="0"/>
    </c:title>
    <c:autoTitleDeleted val="0"/>
    <c:plotArea>
      <c:layout/>
      <c:barChart>
        <c:barDir val="col"/>
        <c:grouping val="clustered"/>
        <c:varyColors val="0"/>
        <c:ser>
          <c:idx val="0"/>
          <c:order val="0"/>
          <c:invertIfNegative val="0"/>
          <c:dLbls>
            <c:delete val="1"/>
          </c:dLbls>
          <c:cat>
            <c:strRef>
              <c:f>Sheet1!$A$2:$A$3</c:f>
              <c:strCache>
                <c:ptCount val="2"/>
                <c:pt idx="0">
                  <c:v>2020年</c:v>
                </c:pt>
                <c:pt idx="1">
                  <c:v>2019年</c:v>
                </c:pt>
              </c:strCache>
            </c:strRef>
          </c:cat>
          <c:val>
            <c:numRef>
              <c:f>Sheet1!$B$2:$B$3</c:f>
              <c:numCache>
                <c:formatCode>#,##0.00</c:formatCode>
                <c:ptCount val="2"/>
                <c:pt idx="0">
                  <c:v>18145.36</c:v>
                </c:pt>
                <c:pt idx="1">
                  <c:v>17364.88</c:v>
                </c:pt>
              </c:numCache>
            </c:numRef>
          </c:val>
        </c:ser>
        <c:dLbls>
          <c:showLegendKey val="0"/>
          <c:showVal val="0"/>
          <c:showCatName val="0"/>
          <c:showSerName val="0"/>
          <c:showPercent val="0"/>
          <c:showBubbleSize val="0"/>
        </c:dLbls>
        <c:gapWidth val="150"/>
        <c:axId val="268389376"/>
        <c:axId val="268396032"/>
      </c:barChart>
      <c:catAx>
        <c:axId val="268389376"/>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8396032"/>
        <c:crosses val="autoZero"/>
        <c:auto val="1"/>
        <c:lblAlgn val="ctr"/>
        <c:lblOffset val="100"/>
        <c:noMultiLvlLbl val="0"/>
      </c:catAx>
      <c:valAx>
        <c:axId val="268396032"/>
        <c:scaling>
          <c:orientation val="minMax"/>
        </c:scaling>
        <c:delete val="0"/>
        <c:axPos val="l"/>
        <c:majorGridlines/>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8389376"/>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0" i="0" u="none" strike="noStrike" kern="1200" spc="0" baseline="0">
                <a:solidFill>
                  <a:schemeClr val="tx1">
                    <a:lumMod val="65000"/>
                    <a:lumOff val="35000"/>
                  </a:schemeClr>
                </a:solidFill>
                <a:latin typeface="+mn-ea"/>
                <a:ea typeface="+mn-ea"/>
                <a:cs typeface="+mn-ea"/>
                <a:sym typeface="+mn-ea"/>
              </a:defRPr>
            </a:pPr>
            <a:r>
              <a:rPr sz="1600" b="1">
                <a:solidFill>
                  <a:sysClr val="windowText" lastClr="000000"/>
                </a:solidFill>
                <a:latin typeface="+mn-ea"/>
                <a:ea typeface="+mn-ea"/>
                <a:cs typeface="+mn-ea"/>
                <a:sym typeface="+mn-ea"/>
              </a:rPr>
              <a:t>收入决算结构图</a:t>
            </a:r>
            <a:endParaRPr sz="1600" b="1">
              <a:solidFill>
                <a:sysClr val="windowText" lastClr="000000"/>
              </a:solidFill>
              <a:latin typeface="+mn-ea"/>
              <a:ea typeface="+mn-ea"/>
              <a:cs typeface="+mn-ea"/>
              <a:sym typeface="+mn-ea"/>
            </a:endParaRPr>
          </a:p>
        </c:rich>
      </c:tx>
      <c:layout>
        <c:manualLayout>
          <c:xMode val="edge"/>
          <c:yMode val="edge"/>
          <c:x val="0.339510100206776"/>
          <c:y val="0.0345953002610966"/>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'[四川省发展和改革委员会(本级）.XLS]Z01 收入支出决算总表(财决01表)'!$C$47:$C$50</c:f>
              <c:strCache>
                <c:ptCount val="4"/>
                <c:pt idx="0">
                  <c:v>一般公共预算财政拨款收入</c:v>
                </c:pt>
                <c:pt idx="1">
                  <c:v>事业收入</c:v>
                </c:pt>
                <c:pt idx="2">
                  <c:v>经营收入</c:v>
                </c:pt>
                <c:pt idx="3">
                  <c:v>其他收入</c:v>
                </c:pt>
              </c:strCache>
            </c:strRef>
          </c:cat>
          <c:val>
            <c:numRef>
              <c:f>'[四川省发展和改革委员会(本级）.XLS]Z01 收入支出决算总表(财决01表)'!$D$47:$D$50</c:f>
              <c:numCache>
                <c:formatCode>General</c:formatCode>
                <c:ptCount val="4"/>
                <c:pt idx="0" c:formatCode="General">
                  <c:v>18145.36</c:v>
                </c:pt>
                <c:pt idx="1" c:formatCode="General">
                  <c:v>989.9</c:v>
                </c:pt>
                <c:pt idx="2" c:formatCode="General">
                  <c:v>655.83</c:v>
                </c:pt>
                <c:pt idx="3" c:formatCode="General">
                  <c:v>46.27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600" b="1" i="0" u="none" strike="noStrike" kern="1200" baseline="0">
                <a:solidFill>
                  <a:schemeClr val="tx1"/>
                </a:solidFill>
                <a:latin typeface="+mn-lt"/>
                <a:ea typeface="+mn-ea"/>
                <a:cs typeface="+mn-cs"/>
              </a:defRPr>
            </a:pPr>
            <a:r>
              <a:rPr lang="zh-CN" altLang="en-US" sz="1600" b="1" i="0" u="none" strike="noStrike" baseline="0"/>
              <a:t>支出决算结构图</a:t>
            </a:r>
            <a:endParaRPr lang="zh-CN" altLang="en-US" sz="1600"/>
          </a:p>
        </c:rich>
      </c:tx>
      <c:layout/>
      <c:overlay val="0"/>
    </c:title>
    <c:autoTitleDeleted val="0"/>
    <c:plotArea>
      <c:layout>
        <c:manualLayout>
          <c:layoutTarget val="inner"/>
          <c:xMode val="edge"/>
          <c:yMode val="edge"/>
          <c:x val="0.188076990376203"/>
          <c:y val="0.200925925925926"/>
          <c:w val="0.448888888888889"/>
          <c:h val="0.748148148148148"/>
        </c:manualLayout>
      </c:layout>
      <c:pieChart>
        <c:varyColors val="1"/>
        <c:ser>
          <c:idx val="0"/>
          <c:order val="0"/>
          <c:explosion val="0"/>
          <c:dPt>
            <c:idx val="0"/>
            <c:bubble3D val="0"/>
          </c:dPt>
          <c:dPt>
            <c:idx val="1"/>
            <c:bubble3D val="0"/>
          </c:dPt>
          <c:dPt>
            <c:idx val="2"/>
            <c:bubble3D val="0"/>
          </c:dPt>
          <c:dLbls>
            <c:delete val="1"/>
          </c:dLbls>
          <c:cat>
            <c:strRef>
              <c:f>Sheet1!$A$30:$A$32</c:f>
              <c:strCache>
                <c:ptCount val="3"/>
                <c:pt idx="0">
                  <c:v>基本支出</c:v>
                </c:pt>
                <c:pt idx="1">
                  <c:v>项目支出</c:v>
                </c:pt>
                <c:pt idx="2">
                  <c:v>经营支出</c:v>
                </c:pt>
              </c:strCache>
            </c:strRef>
          </c:cat>
          <c:val>
            <c:numRef>
              <c:f>Sheet1!$B$30:$B$32</c:f>
              <c:numCache>
                <c:formatCode>#,##0.00</c:formatCode>
                <c:ptCount val="3"/>
                <c:pt idx="0">
                  <c:v>12653.18</c:v>
                </c:pt>
                <c:pt idx="1">
                  <c:v>6511.07</c:v>
                </c:pt>
                <c:pt idx="2" c:formatCode="General">
                  <c:v>526.71</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600" b="1" i="0" u="none" strike="noStrike" kern="1200" baseline="0">
                <a:solidFill>
                  <a:schemeClr val="tx1"/>
                </a:solidFill>
                <a:latin typeface="+mn-lt"/>
                <a:ea typeface="+mn-ea"/>
                <a:cs typeface="+mn-cs"/>
              </a:defRPr>
            </a:pPr>
            <a:r>
              <a:rPr lang="zh-CN" altLang="en-US" sz="1600" b="1" i="0" u="none" strike="noStrike" baseline="0"/>
              <a:t>财政拨款收、支决算总计变动情况</a:t>
            </a:r>
            <a:endParaRPr lang="zh-CN" altLang="en-US" sz="1600"/>
          </a:p>
        </c:rich>
      </c:tx>
      <c:layout/>
      <c:overlay val="0"/>
    </c:title>
    <c:autoTitleDeleted val="0"/>
    <c:plotArea>
      <c:layout/>
      <c:barChart>
        <c:barDir val="col"/>
        <c:grouping val="clustered"/>
        <c:varyColors val="0"/>
        <c:ser>
          <c:idx val="0"/>
          <c:order val="0"/>
          <c:invertIfNegative val="0"/>
          <c:dLbls>
            <c:delete val="1"/>
          </c:dLbls>
          <c:cat>
            <c:strRef>
              <c:f>Sheet1!$A$2:$A$3</c:f>
              <c:strCache>
                <c:ptCount val="2"/>
                <c:pt idx="0">
                  <c:v>2020年</c:v>
                </c:pt>
                <c:pt idx="1">
                  <c:v>2019年</c:v>
                </c:pt>
              </c:strCache>
            </c:strRef>
          </c:cat>
          <c:val>
            <c:numRef>
              <c:f>Sheet1!$B$2:$B$3</c:f>
              <c:numCache>
                <c:formatCode>#,##0.00</c:formatCode>
                <c:ptCount val="2"/>
                <c:pt idx="0">
                  <c:v>18145.36</c:v>
                </c:pt>
                <c:pt idx="1">
                  <c:v>17364.88</c:v>
                </c:pt>
              </c:numCache>
            </c:numRef>
          </c:val>
        </c:ser>
        <c:dLbls>
          <c:showLegendKey val="0"/>
          <c:showVal val="0"/>
          <c:showCatName val="0"/>
          <c:showSerName val="0"/>
          <c:showPercent val="0"/>
          <c:showBubbleSize val="0"/>
        </c:dLbls>
        <c:gapWidth val="150"/>
        <c:axId val="284917760"/>
        <c:axId val="284920064"/>
      </c:barChart>
      <c:catAx>
        <c:axId val="284917760"/>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4920064"/>
        <c:crosses val="autoZero"/>
        <c:auto val="1"/>
        <c:lblAlgn val="ctr"/>
        <c:lblOffset val="100"/>
        <c:noMultiLvlLbl val="0"/>
      </c:catAx>
      <c:valAx>
        <c:axId val="284920064"/>
        <c:scaling>
          <c:orientation val="minMax"/>
        </c:scaling>
        <c:delete val="0"/>
        <c:axPos val="l"/>
        <c:majorGridlines/>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4917760"/>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600" b="1" i="0" u="none" strike="noStrike" kern="1200" baseline="0">
                <a:solidFill>
                  <a:schemeClr val="tx1"/>
                </a:solidFill>
                <a:latin typeface="+mn-lt"/>
                <a:ea typeface="+mn-ea"/>
                <a:cs typeface="+mn-cs"/>
              </a:defRPr>
            </a:pPr>
            <a:r>
              <a:rPr lang="zh-CN" altLang="en-US" sz="1600" b="1" i="0" u="none" strike="noStrike" baseline="0"/>
              <a:t>一般公共预算财政拨款支出决算变动情况</a:t>
            </a:r>
            <a:endParaRPr lang="zh-CN" altLang="en-US" sz="1600"/>
          </a:p>
        </c:rich>
      </c:tx>
      <c:layout/>
      <c:overlay val="0"/>
    </c:title>
    <c:autoTitleDeleted val="0"/>
    <c:plotArea>
      <c:layout/>
      <c:barChart>
        <c:barDir val="col"/>
        <c:grouping val="clustered"/>
        <c:varyColors val="0"/>
        <c:ser>
          <c:idx val="0"/>
          <c:order val="0"/>
          <c:invertIfNegative val="0"/>
          <c:dLbls>
            <c:delete val="1"/>
          </c:dLbls>
          <c:cat>
            <c:strRef>
              <c:f>Sheet1!$A$2:$A$3</c:f>
              <c:strCache>
                <c:ptCount val="2"/>
                <c:pt idx="0">
                  <c:v>2020年</c:v>
                </c:pt>
                <c:pt idx="1">
                  <c:v>2019年</c:v>
                </c:pt>
              </c:strCache>
            </c:strRef>
          </c:cat>
          <c:val>
            <c:numRef>
              <c:f>Sheet1!$B$2:$B$3</c:f>
              <c:numCache>
                <c:formatCode>#,##0.00</c:formatCode>
                <c:ptCount val="2"/>
                <c:pt idx="0">
                  <c:v>18145.36</c:v>
                </c:pt>
                <c:pt idx="1">
                  <c:v>17364.88</c:v>
                </c:pt>
              </c:numCache>
            </c:numRef>
          </c:val>
        </c:ser>
        <c:dLbls>
          <c:showLegendKey val="0"/>
          <c:showVal val="0"/>
          <c:showCatName val="0"/>
          <c:showSerName val="0"/>
          <c:showPercent val="0"/>
          <c:showBubbleSize val="0"/>
        </c:dLbls>
        <c:gapWidth val="150"/>
        <c:axId val="285040640"/>
        <c:axId val="285042176"/>
      </c:barChart>
      <c:catAx>
        <c:axId val="285040640"/>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5042176"/>
        <c:crosses val="autoZero"/>
        <c:auto val="1"/>
        <c:lblAlgn val="ctr"/>
        <c:lblOffset val="100"/>
        <c:noMultiLvlLbl val="0"/>
      </c:catAx>
      <c:valAx>
        <c:axId val="285042176"/>
        <c:scaling>
          <c:orientation val="minMax"/>
        </c:scaling>
        <c:delete val="0"/>
        <c:axPos val="l"/>
        <c:majorGridlines/>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5040640"/>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600" b="1" i="0" u="none" strike="noStrike" kern="1200" baseline="0">
                <a:solidFill>
                  <a:schemeClr val="tx1"/>
                </a:solidFill>
                <a:latin typeface="+mn-lt"/>
                <a:ea typeface="+mn-ea"/>
                <a:cs typeface="+mn-cs"/>
              </a:defRPr>
            </a:pPr>
            <a:r>
              <a:rPr lang="zh-CN" altLang="en-US" sz="1600" b="1" i="0" u="none" strike="noStrike" baseline="0"/>
              <a:t>一般公共预算财政拨款支出决算结构</a:t>
            </a:r>
            <a:endParaRPr lang="zh-CN" altLang="en-US" sz="1600"/>
          </a:p>
        </c:rich>
      </c:tx>
      <c:layout>
        <c:manualLayout>
          <c:xMode val="edge"/>
          <c:yMode val="edge"/>
          <c:x val="0.124861111111111"/>
          <c:y val="0.0324074074074075"/>
        </c:manualLayout>
      </c:layout>
      <c:overlay val="0"/>
    </c:title>
    <c:autoTitleDeleted val="0"/>
    <c:plotArea>
      <c:layout/>
      <c:pieChart>
        <c:varyColors val="1"/>
        <c:ser>
          <c:idx val="0"/>
          <c:order val="0"/>
          <c:explosion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delete val="1"/>
          </c:dLbls>
          <c:cat>
            <c:strRef>
              <c:f>Sheet3!$A$1:$A$8</c:f>
              <c:strCache>
                <c:ptCount val="8"/>
                <c:pt idx="0">
                  <c:v>一般公共服务支出</c:v>
                </c:pt>
                <c:pt idx="1">
                  <c:v>教育支出</c:v>
                </c:pt>
                <c:pt idx="2">
                  <c:v>科学技术支出</c:v>
                </c:pt>
                <c:pt idx="3">
                  <c:v>社会保障和就业支出</c:v>
                </c:pt>
                <c:pt idx="4">
                  <c:v>卫生健康支出</c:v>
                </c:pt>
                <c:pt idx="5">
                  <c:v>住房保障支出</c:v>
                </c:pt>
                <c:pt idx="6">
                  <c:v>灾害防治及应急管理支出</c:v>
                </c:pt>
                <c:pt idx="7">
                  <c:v>其他支出</c:v>
                </c:pt>
              </c:strCache>
            </c:strRef>
          </c:cat>
          <c:val>
            <c:numRef>
              <c:f>Sheet3!$B$1:$B$8</c:f>
              <c:numCache>
                <c:formatCode>#,##0.00</c:formatCode>
                <c:ptCount val="8"/>
                <c:pt idx="0">
                  <c:v>13742.48</c:v>
                </c:pt>
                <c:pt idx="1" c:formatCode="General">
                  <c:v>74.59</c:v>
                </c:pt>
                <c:pt idx="2" c:formatCode="General">
                  <c:v>404.15</c:v>
                </c:pt>
                <c:pt idx="3">
                  <c:v>2174.32</c:v>
                </c:pt>
                <c:pt idx="4" c:formatCode="General">
                  <c:v>613.34</c:v>
                </c:pt>
                <c:pt idx="5">
                  <c:v>1020.49</c:v>
                </c:pt>
                <c:pt idx="6" c:formatCode="General">
                  <c:v>16</c:v>
                </c:pt>
                <c:pt idx="7" c:formatCode="General">
                  <c:v>100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8376421697288"/>
          <c:y val="0.157882035578886"/>
          <c:w val="0.324956911636046"/>
          <c:h val="0.83793963254593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b="1" i="0" u="none" strike="noStrike" baseline="0"/>
              <a:t>“三公”经费财政拨款支出结构</a:t>
            </a:r>
            <a:endParaRPr lang="zh-CN" altLang="en-US"/>
          </a:p>
        </c:rich>
      </c:tx>
      <c:layout/>
      <c:overlay val="0"/>
    </c:title>
    <c:autoTitleDeleted val="0"/>
    <c:plotArea>
      <c:layout/>
      <c:pieChart>
        <c:varyColors val="1"/>
        <c:ser>
          <c:idx val="0"/>
          <c:order val="0"/>
          <c:explosion val="0"/>
          <c:dPt>
            <c:idx val="0"/>
            <c:bubble3D val="0"/>
          </c:dPt>
          <c:dPt>
            <c:idx val="1"/>
            <c:bubble3D val="0"/>
          </c:dPt>
          <c:dPt>
            <c:idx val="2"/>
            <c:bubble3D val="0"/>
          </c:dPt>
          <c:dLbls>
            <c:delete val="1"/>
          </c:dLbls>
          <c:cat>
            <c:strRef>
              <c:f>Sheet2!$I$13:$I$15</c:f>
              <c:strCache>
                <c:ptCount val="3"/>
                <c:pt idx="0">
                  <c:v>公务用车购置及运行维护费</c:v>
                </c:pt>
                <c:pt idx="1">
                  <c:v>公务接待费</c:v>
                </c:pt>
                <c:pt idx="2">
                  <c:v>因公出国（境）费</c:v>
                </c:pt>
              </c:strCache>
            </c:strRef>
          </c:cat>
          <c:val>
            <c:numRef>
              <c:f>Sheet2!$J$13:$J$15</c:f>
              <c:numCache>
                <c:formatCode>General</c:formatCode>
                <c:ptCount val="3"/>
                <c:pt idx="0" c:formatCode="General">
                  <c:v>141.08</c:v>
                </c:pt>
                <c:pt idx="1" c:formatCode="General">
                  <c:v>13.66</c:v>
                </c:pt>
                <c:pt idx="2" c:formatCode="General">
                  <c:v>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16709755030622"/>
          <c:y val="0.299774351122777"/>
          <c:w val="0.366623578302712"/>
          <c:h val="0.45600685331000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4A6E4F-F066-4828-BBFF-CFA03E5E7BA2}">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47</Pages>
  <Words>3020</Words>
  <Characters>17219</Characters>
  <Lines>143</Lines>
  <Paragraphs>40</Paragraphs>
  <ScaleCrop>false</ScaleCrop>
  <LinksUpToDate>false</LinksUpToDate>
  <CharactersWithSpaces>20199</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刘印</cp:lastModifiedBy>
  <cp:lastPrinted>2021-08-26T08:40:00Z</cp:lastPrinted>
  <dcterms:modified xsi:type="dcterms:W3CDTF">2021-08-27T09:22:26Z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