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60" w:lineRule="exact"/>
        <w:jc w:val="center"/>
        <w:outlineLvl w:val="0"/>
        <w:rPr>
          <w:rFonts w:hint="default" w:ascii="Times New Roman" w:hAnsi="Times New Roman" w:eastAsia="方正小标宋简体" w:cs="Times New Roman"/>
          <w:color w:val="auto"/>
          <w:sz w:val="72"/>
          <w:szCs w:val="72"/>
        </w:rPr>
      </w:pPr>
      <w:bookmarkStart w:id="0" w:name="_Toc15378441"/>
      <w:bookmarkStart w:id="1" w:name="_Toc15377425"/>
      <w:bookmarkStart w:id="2" w:name="_Toc15396475"/>
      <w:bookmarkStart w:id="3" w:name="_Toc15377193"/>
      <w:bookmarkStart w:id="4" w:name="_Toc15396597"/>
      <w:bookmarkStart w:id="5" w:name="_Toc15306267"/>
    </w:p>
    <w:p>
      <w:pPr>
        <w:pageBreakBefore w:val="0"/>
        <w:kinsoku/>
        <w:wordWrap/>
        <w:overflowPunct/>
        <w:topLinePunct w:val="0"/>
        <w:bidi w:val="0"/>
        <w:spacing w:line="560" w:lineRule="exact"/>
        <w:jc w:val="center"/>
        <w:outlineLvl w:val="0"/>
        <w:rPr>
          <w:rFonts w:hint="default" w:ascii="Times New Roman" w:hAnsi="Times New Roman" w:eastAsia="方正小标宋简体" w:cs="Times New Roman"/>
          <w:color w:val="auto"/>
          <w:sz w:val="72"/>
          <w:szCs w:val="72"/>
        </w:rPr>
      </w:pPr>
    </w:p>
    <w:p>
      <w:pPr>
        <w:pageBreakBefore w:val="0"/>
        <w:kinsoku/>
        <w:wordWrap/>
        <w:overflowPunct/>
        <w:topLinePunct w:val="0"/>
        <w:bidi w:val="0"/>
        <w:spacing w:line="560" w:lineRule="exact"/>
        <w:jc w:val="center"/>
        <w:outlineLvl w:val="0"/>
        <w:rPr>
          <w:rFonts w:hint="default" w:ascii="Times New Roman" w:hAnsi="Times New Roman" w:eastAsia="方正小标宋简体" w:cs="Times New Roman"/>
          <w:color w:val="auto"/>
          <w:sz w:val="72"/>
          <w:szCs w:val="72"/>
        </w:rPr>
      </w:pPr>
    </w:p>
    <w:p>
      <w:pPr>
        <w:keepNext w:val="0"/>
        <w:keepLines w:val="0"/>
        <w:pageBreakBefore w:val="0"/>
        <w:widowControl w:val="0"/>
        <w:kinsoku/>
        <w:wordWrap/>
        <w:overflowPunct/>
        <w:topLinePunct w:val="0"/>
        <w:autoSpaceDE/>
        <w:autoSpaceDN/>
        <w:bidi w:val="0"/>
        <w:spacing w:line="240" w:lineRule="auto"/>
        <w:jc w:val="center"/>
        <w:textAlignment w:val="auto"/>
        <w:outlineLvl w:val="0"/>
        <w:rPr>
          <w:rFonts w:hint="default" w:ascii="Times New Roman" w:hAnsi="Times New Roman" w:eastAsia="方正小标宋简体" w:cs="Times New Roman"/>
          <w:color w:val="auto"/>
          <w:sz w:val="72"/>
          <w:szCs w:val="7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default" w:ascii="Times New Roman" w:hAnsi="Times New Roman" w:eastAsia="方正小标宋简体" w:cs="Times New Roman"/>
          <w:color w:val="auto"/>
          <w:sz w:val="72"/>
          <w:szCs w:val="72"/>
        </w:rPr>
      </w:pPr>
      <w:bookmarkStart w:id="6" w:name="_Toc112248376"/>
      <w:r>
        <w:rPr>
          <w:rFonts w:hint="default" w:ascii="Times New Roman" w:hAnsi="Times New Roman" w:eastAsia="方正小标宋简体" w:cs="Times New Roman"/>
          <w:color w:val="auto"/>
          <w:sz w:val="72"/>
          <w:szCs w:val="72"/>
        </w:rPr>
        <w:t>2021年度</w:t>
      </w:r>
      <w:bookmarkEnd w:id="0"/>
      <w:bookmarkEnd w:id="1"/>
      <w:bookmarkEnd w:id="2"/>
      <w:bookmarkEnd w:id="3"/>
      <w:bookmarkEnd w:id="4"/>
      <w:bookmarkEnd w:id="6"/>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default" w:ascii="Times New Roman" w:hAnsi="Times New Roman" w:eastAsia="方正小标宋简体" w:cs="Times New Roman"/>
          <w:color w:val="auto"/>
          <w:sz w:val="72"/>
          <w:szCs w:val="72"/>
        </w:rPr>
      </w:pPr>
      <w:bookmarkStart w:id="7" w:name="_Toc112248377"/>
      <w:bookmarkStart w:id="8" w:name="_Toc15377194"/>
      <w:bookmarkStart w:id="9" w:name="_Toc15396476"/>
      <w:bookmarkStart w:id="10" w:name="_Toc15396598"/>
      <w:bookmarkStart w:id="11" w:name="_Toc15377426"/>
      <w:bookmarkStart w:id="12" w:name="_Toc15378442"/>
      <w:r>
        <w:rPr>
          <w:rFonts w:hint="default" w:ascii="Times New Roman" w:hAnsi="Times New Roman" w:eastAsia="方正小标宋简体" w:cs="Times New Roman"/>
          <w:color w:val="auto"/>
          <w:sz w:val="72"/>
          <w:szCs w:val="72"/>
        </w:rPr>
        <w:t>四川省</w:t>
      </w:r>
      <w:bookmarkEnd w:id="5"/>
      <w:bookmarkStart w:id="13" w:name="_Toc15306268"/>
      <w:r>
        <w:rPr>
          <w:rFonts w:hint="default" w:ascii="Times New Roman" w:hAnsi="Times New Roman" w:eastAsia="方正小标宋简体" w:cs="Times New Roman"/>
          <w:color w:val="auto"/>
          <w:sz w:val="72"/>
          <w:szCs w:val="72"/>
        </w:rPr>
        <w:t>发展和改革委员会</w:t>
      </w:r>
      <w:bookmarkEnd w:id="7"/>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default" w:ascii="Times New Roman" w:hAnsi="Times New Roman" w:eastAsia="方正小标宋简体" w:cs="Times New Roman"/>
          <w:color w:val="auto"/>
          <w:sz w:val="72"/>
          <w:szCs w:val="72"/>
        </w:rPr>
      </w:pPr>
      <w:bookmarkStart w:id="14" w:name="_Toc112248378"/>
      <w:r>
        <w:rPr>
          <w:rFonts w:hint="default" w:ascii="Times New Roman" w:hAnsi="Times New Roman" w:eastAsia="方正小标宋简体" w:cs="Times New Roman"/>
          <w:color w:val="auto"/>
          <w:sz w:val="72"/>
          <w:szCs w:val="72"/>
        </w:rPr>
        <w:t>部门决算</w:t>
      </w:r>
      <w:bookmarkEnd w:id="8"/>
      <w:bookmarkEnd w:id="9"/>
      <w:bookmarkEnd w:id="10"/>
      <w:bookmarkEnd w:id="11"/>
      <w:bookmarkEnd w:id="12"/>
      <w:bookmarkEnd w:id="13"/>
      <w:bookmarkEnd w:id="14"/>
    </w:p>
    <w:p>
      <w:pPr>
        <w:pageBreakBefore w:val="0"/>
        <w:widowControl/>
        <w:kinsoku/>
        <w:wordWrap/>
        <w:overflowPunct/>
        <w:topLinePunct w:val="0"/>
        <w:bidi w:val="0"/>
        <w:spacing w:line="560" w:lineRule="exact"/>
        <w:jc w:val="center"/>
        <w:rPr>
          <w:rFonts w:hint="default" w:ascii="Times New Roman" w:hAnsi="Times New Roman" w:eastAsia="黑体" w:cs="Times New Roman"/>
          <w:color w:val="auto"/>
          <w:sz w:val="48"/>
          <w:szCs w:val="48"/>
        </w:rPr>
        <w:sectPr>
          <w:footerReference r:id="rId3" w:type="first"/>
          <w:pgSz w:w="11906" w:h="16838"/>
          <w:pgMar w:top="2098" w:right="1474" w:bottom="1984" w:left="1587" w:header="851" w:footer="1928" w:gutter="0"/>
          <w:pgNumType w:fmt="decimal"/>
          <w:cols w:space="720" w:num="1"/>
          <w:rtlGutter w:val="0"/>
          <w:docGrid w:type="lines" w:linePitch="312" w:charSpace="0"/>
        </w:sectPr>
      </w:pPr>
    </w:p>
    <w:p>
      <w:pPr>
        <w:pageBreakBefore w:val="0"/>
        <w:widowControl/>
        <w:kinsoku/>
        <w:wordWrap/>
        <w:overflowPunct/>
        <w:topLinePunct w:val="0"/>
        <w:bidi w:val="0"/>
        <w:spacing w:line="560" w:lineRule="exact"/>
        <w:jc w:val="center"/>
        <w:rPr>
          <w:rFonts w:hint="default" w:ascii="Times New Roman" w:hAnsi="Times New Roman" w:eastAsia="黑体" w:cs="Times New Roman"/>
          <w:color w:val="auto"/>
          <w:sz w:val="48"/>
          <w:szCs w:val="48"/>
        </w:rPr>
      </w:pPr>
      <w:r>
        <w:rPr>
          <w:rFonts w:hint="default" w:ascii="Times New Roman" w:hAnsi="Times New Roman" w:eastAsia="黑体" w:cs="Times New Roman"/>
          <w:color w:val="auto"/>
          <w:sz w:val="48"/>
          <w:szCs w:val="48"/>
        </w:rPr>
        <w:t>目录</w:t>
      </w:r>
    </w:p>
    <w:p>
      <w:pPr>
        <w:pageBreakBefore w:val="0"/>
        <w:widowControl/>
        <w:kinsoku/>
        <w:wordWrap/>
        <w:overflowPunct/>
        <w:topLinePunct w:val="0"/>
        <w:bidi w:val="0"/>
        <w:spacing w:line="560" w:lineRule="exact"/>
        <w:jc w:val="center"/>
        <w:rPr>
          <w:rFonts w:hint="default" w:ascii="Times New Roman" w:hAnsi="Times New Roman" w:eastAsia="黑体" w:cs="Times New Roman"/>
          <w:color w:val="auto"/>
          <w:sz w:val="28"/>
          <w:szCs w:val="28"/>
        </w:rPr>
      </w:pPr>
    </w:p>
    <w:p>
      <w:pPr>
        <w:pStyle w:val="15"/>
        <w:pageBreakBefore w:val="0"/>
        <w:kinsoku/>
        <w:wordWrap/>
        <w:overflowPunct/>
        <w:topLinePunct w:val="0"/>
        <w:bidi w:val="0"/>
        <w:spacing w:line="560" w:lineRule="exact"/>
        <w:rPr>
          <w:rFonts w:hint="default" w:ascii="Times New Roman" w:hAnsi="Times New Roman" w:cs="Times New Roman"/>
          <w:color w:val="auto"/>
        </w:rPr>
      </w:pPr>
      <w:r>
        <w:rPr>
          <w:rFonts w:hint="default" w:ascii="Times New Roman" w:hAnsi="Times New Roman" w:cs="Times New Roman"/>
          <w:color w:val="auto"/>
        </w:rPr>
        <w:t>公开时间：2022年8月29日</w:t>
      </w:r>
    </w:p>
    <w:sdt>
      <w:sdtPr>
        <w:rPr>
          <w:rFonts w:hint="default" w:ascii="Times New Roman" w:hAnsi="Times New Roman" w:cs="Times New Roman"/>
          <w:color w:val="auto"/>
          <w:lang w:val="zh-CN"/>
        </w:rPr>
        <w:id w:val="23527797"/>
        <w:docPartObj>
          <w:docPartGallery w:val="Table of Contents"/>
          <w:docPartUnique/>
        </w:docPartObj>
      </w:sdtPr>
      <w:sdtEndPr>
        <w:rPr>
          <w:rFonts w:hint="default" w:ascii="Times New Roman" w:hAnsi="Times New Roman" w:eastAsia="宋体" w:cs="Times New Roman"/>
          <w:b w:val="0"/>
          <w:bCs w:val="0"/>
          <w:color w:val="auto"/>
          <w:kern w:val="2"/>
          <w:sz w:val="21"/>
          <w:szCs w:val="24"/>
          <w:lang w:val="en-US"/>
        </w:rPr>
      </w:sdtEndPr>
      <w:sdtContent>
        <w:p>
          <w:pPr>
            <w:pStyle w:val="59"/>
            <w:pageBreakBefore w:val="0"/>
            <w:kinsoku/>
            <w:wordWrap/>
            <w:overflowPunct/>
            <w:topLinePunct w:val="0"/>
            <w:bidi w:val="0"/>
            <w:spacing w:line="560" w:lineRule="exact"/>
            <w:rPr>
              <w:rStyle w:val="24"/>
              <w:rFonts w:hint="default" w:ascii="Times New Roman" w:hAnsi="Times New Roman" w:eastAsia="仿宋_GB2312" w:cs="Times New Roman"/>
              <w:b w:val="0"/>
              <w:color w:val="auto"/>
              <w:kern w:val="2"/>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TOC \o "1-3" \h \z \u </w:instrText>
          </w:r>
          <w:r>
            <w:rPr>
              <w:rFonts w:hint="default" w:ascii="Times New Roman" w:hAnsi="Times New Roman" w:cs="Times New Roman"/>
              <w:color w:val="auto"/>
            </w:rPr>
            <w:fldChar w:fldCharType="separate"/>
          </w:r>
        </w:p>
        <w:p>
          <w:pPr>
            <w:pStyle w:val="15"/>
            <w:pageBreakBefore w:val="0"/>
            <w:kinsoku/>
            <w:wordWrap/>
            <w:overflowPunct/>
            <w:topLinePunct w:val="0"/>
            <w:bidi w:val="0"/>
            <w:spacing w:line="560" w:lineRule="exact"/>
            <w:rPr>
              <w:rStyle w:val="24"/>
              <w:rFonts w:hint="default" w:ascii="Times New Roman" w:hAnsi="Times New Roman" w:eastAsia="仿宋_GB2312" w:cs="Times New Roman"/>
              <w:bCs/>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"_Toc112248379"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bCs/>
              <w:color w:val="auto"/>
              <w:sz w:val="30"/>
              <w:szCs w:val="30"/>
            </w:rPr>
            <w:t>第一部分 部门概况</w:t>
          </w:r>
          <w:r>
            <w:rPr>
              <w:rStyle w:val="24"/>
              <w:rFonts w:hint="default" w:ascii="Times New Roman" w:hAnsi="Times New Roman" w:eastAsia="仿宋_GB2312" w:cs="Times New Roman"/>
              <w:bCs/>
              <w:color w:val="auto"/>
              <w:sz w:val="30"/>
              <w:szCs w:val="30"/>
            </w:rPr>
            <w:tab/>
          </w:r>
          <w:r>
            <w:rPr>
              <w:rStyle w:val="24"/>
              <w:rFonts w:hint="default" w:ascii="Times New Roman" w:hAnsi="Times New Roman" w:eastAsia="仿宋_GB2312" w:cs="Times New Roman"/>
              <w:bCs/>
              <w:color w:val="auto"/>
              <w:sz w:val="30"/>
              <w:szCs w:val="30"/>
            </w:rPr>
            <w:fldChar w:fldCharType="begin"/>
          </w:r>
          <w:r>
            <w:rPr>
              <w:rStyle w:val="24"/>
              <w:rFonts w:hint="default" w:ascii="Times New Roman" w:hAnsi="Times New Roman" w:eastAsia="仿宋_GB2312" w:cs="Times New Roman"/>
              <w:bCs/>
              <w:color w:val="auto"/>
              <w:sz w:val="30"/>
              <w:szCs w:val="30"/>
            </w:rPr>
            <w:instrText xml:space="preserve"> PAGEREF _Toc112248379 \h </w:instrText>
          </w:r>
          <w:r>
            <w:rPr>
              <w:rStyle w:val="24"/>
              <w:rFonts w:hint="default" w:ascii="Times New Roman" w:hAnsi="Times New Roman" w:eastAsia="仿宋_GB2312" w:cs="Times New Roman"/>
              <w:bCs/>
              <w:color w:val="auto"/>
              <w:sz w:val="30"/>
              <w:szCs w:val="30"/>
            </w:rPr>
            <w:fldChar w:fldCharType="separate"/>
          </w:r>
          <w:r>
            <w:rPr>
              <w:rStyle w:val="24"/>
              <w:rFonts w:hint="default" w:ascii="Times New Roman" w:hAnsi="Times New Roman" w:eastAsia="仿宋_GB2312" w:cs="Times New Roman"/>
              <w:bCs/>
              <w:color w:val="auto"/>
              <w:sz w:val="30"/>
              <w:szCs w:val="30"/>
            </w:rPr>
            <w:t>4</w:t>
          </w:r>
          <w:r>
            <w:rPr>
              <w:rStyle w:val="24"/>
              <w:rFonts w:hint="default" w:ascii="Times New Roman" w:hAnsi="Times New Roman" w:eastAsia="仿宋_GB2312" w:cs="Times New Roman"/>
              <w:bCs/>
              <w:color w:val="auto"/>
              <w:sz w:val="30"/>
              <w:szCs w:val="30"/>
            </w:rPr>
            <w:fldChar w:fldCharType="end"/>
          </w:r>
          <w:r>
            <w:rPr>
              <w:rStyle w:val="24"/>
              <w:rFonts w:hint="default" w:ascii="Times New Roman" w:hAnsi="Times New Roman" w:eastAsia="仿宋_GB2312" w:cs="Times New Roman"/>
              <w:bCs/>
              <w:color w:val="auto"/>
              <w:sz w:val="30"/>
              <w:szCs w:val="30"/>
            </w:rPr>
            <w:fldChar w:fldCharType="end"/>
          </w:r>
        </w:p>
        <w:p>
          <w:pPr>
            <w:pStyle w:val="18"/>
            <w:pageBreakBefore w:val="0"/>
            <w:kinsoku/>
            <w:wordWrap/>
            <w:overflowPunct/>
            <w:topLinePunct w:val="0"/>
            <w:bidi w:val="0"/>
            <w:spacing w:line="560" w:lineRule="exact"/>
            <w:rPr>
              <w:rStyle w:val="24"/>
              <w:rFonts w:hint="default" w:ascii="Times New Roman" w:hAnsi="Times New Roman" w:eastAsia="仿宋_GB2312" w:cs="Times New Roman"/>
              <w:bCs/>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"_Toc112248380"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bCs/>
              <w:color w:val="auto"/>
              <w:sz w:val="30"/>
              <w:szCs w:val="30"/>
            </w:rPr>
            <w:t>一、 基本职能及主要工作</w:t>
          </w:r>
          <w:r>
            <w:rPr>
              <w:rStyle w:val="24"/>
              <w:rFonts w:hint="default" w:ascii="Times New Roman" w:hAnsi="Times New Roman" w:eastAsia="仿宋_GB2312" w:cs="Times New Roman"/>
              <w:bCs/>
              <w:color w:val="auto"/>
              <w:sz w:val="30"/>
              <w:szCs w:val="30"/>
            </w:rPr>
            <w:tab/>
          </w:r>
          <w:r>
            <w:rPr>
              <w:rStyle w:val="24"/>
              <w:rFonts w:hint="default" w:ascii="Times New Roman" w:hAnsi="Times New Roman" w:eastAsia="仿宋_GB2312" w:cs="Times New Roman"/>
              <w:bCs/>
              <w:color w:val="auto"/>
              <w:sz w:val="30"/>
              <w:szCs w:val="30"/>
            </w:rPr>
            <w:fldChar w:fldCharType="begin"/>
          </w:r>
          <w:r>
            <w:rPr>
              <w:rStyle w:val="24"/>
              <w:rFonts w:hint="default" w:ascii="Times New Roman" w:hAnsi="Times New Roman" w:eastAsia="仿宋_GB2312" w:cs="Times New Roman"/>
              <w:bCs/>
              <w:color w:val="auto"/>
              <w:sz w:val="30"/>
              <w:szCs w:val="30"/>
            </w:rPr>
            <w:instrText xml:space="preserve"> PAGEREF _Toc112248380 \h </w:instrText>
          </w:r>
          <w:r>
            <w:rPr>
              <w:rStyle w:val="24"/>
              <w:rFonts w:hint="default" w:ascii="Times New Roman" w:hAnsi="Times New Roman" w:eastAsia="仿宋_GB2312" w:cs="Times New Roman"/>
              <w:bCs/>
              <w:color w:val="auto"/>
              <w:sz w:val="30"/>
              <w:szCs w:val="30"/>
            </w:rPr>
            <w:fldChar w:fldCharType="separate"/>
          </w:r>
          <w:r>
            <w:rPr>
              <w:rStyle w:val="24"/>
              <w:rFonts w:hint="default" w:ascii="Times New Roman" w:hAnsi="Times New Roman" w:eastAsia="仿宋_GB2312" w:cs="Times New Roman"/>
              <w:bCs/>
              <w:color w:val="auto"/>
              <w:sz w:val="30"/>
              <w:szCs w:val="30"/>
            </w:rPr>
            <w:t>4</w:t>
          </w:r>
          <w:r>
            <w:rPr>
              <w:rStyle w:val="24"/>
              <w:rFonts w:hint="default" w:ascii="Times New Roman" w:hAnsi="Times New Roman" w:eastAsia="仿宋_GB2312" w:cs="Times New Roman"/>
              <w:bCs/>
              <w:color w:val="auto"/>
              <w:sz w:val="30"/>
              <w:szCs w:val="30"/>
            </w:rPr>
            <w:fldChar w:fldCharType="end"/>
          </w:r>
          <w:r>
            <w:rPr>
              <w:rStyle w:val="24"/>
              <w:rFonts w:hint="default" w:ascii="Times New Roman" w:hAnsi="Times New Roman" w:eastAsia="仿宋_GB2312" w:cs="Times New Roman"/>
              <w:bCs/>
              <w:color w:val="auto"/>
              <w:sz w:val="30"/>
              <w:szCs w:val="30"/>
            </w:rPr>
            <w:fldChar w:fldCharType="end"/>
          </w:r>
        </w:p>
        <w:p>
          <w:pPr>
            <w:pStyle w:val="18"/>
            <w:pageBreakBefore w:val="0"/>
            <w:kinsoku/>
            <w:wordWrap/>
            <w:overflowPunct/>
            <w:topLinePunct w:val="0"/>
            <w:bidi w:val="0"/>
            <w:spacing w:line="560" w:lineRule="exact"/>
            <w:rPr>
              <w:rStyle w:val="24"/>
              <w:rFonts w:hint="default" w:ascii="Times New Roman" w:hAnsi="Times New Roman" w:eastAsia="仿宋_GB2312" w:cs="Times New Roman"/>
              <w:bCs/>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"_Toc112248383"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bCs/>
              <w:color w:val="auto"/>
              <w:sz w:val="30"/>
              <w:szCs w:val="30"/>
            </w:rPr>
            <w:t>二、机构设置</w:t>
          </w:r>
          <w:r>
            <w:rPr>
              <w:rStyle w:val="24"/>
              <w:rFonts w:hint="default" w:ascii="Times New Roman" w:hAnsi="Times New Roman" w:eastAsia="仿宋_GB2312" w:cs="Times New Roman"/>
              <w:bCs/>
              <w:color w:val="auto"/>
              <w:sz w:val="30"/>
              <w:szCs w:val="30"/>
            </w:rPr>
            <w:tab/>
          </w:r>
          <w:r>
            <w:rPr>
              <w:rStyle w:val="24"/>
              <w:rFonts w:hint="default" w:ascii="Times New Roman" w:hAnsi="Times New Roman" w:eastAsia="仿宋_GB2312" w:cs="Times New Roman"/>
              <w:bCs/>
              <w:color w:val="auto"/>
              <w:sz w:val="30"/>
              <w:szCs w:val="30"/>
            </w:rPr>
            <w:fldChar w:fldCharType="begin"/>
          </w:r>
          <w:r>
            <w:rPr>
              <w:rStyle w:val="24"/>
              <w:rFonts w:hint="default" w:ascii="Times New Roman" w:hAnsi="Times New Roman" w:eastAsia="仿宋_GB2312" w:cs="Times New Roman"/>
              <w:bCs/>
              <w:color w:val="auto"/>
              <w:sz w:val="30"/>
              <w:szCs w:val="30"/>
            </w:rPr>
            <w:instrText xml:space="preserve"> PAGEREF _Toc112248383 \h </w:instrText>
          </w:r>
          <w:r>
            <w:rPr>
              <w:rStyle w:val="24"/>
              <w:rFonts w:hint="default" w:ascii="Times New Roman" w:hAnsi="Times New Roman" w:eastAsia="仿宋_GB2312" w:cs="Times New Roman"/>
              <w:bCs/>
              <w:color w:val="auto"/>
              <w:sz w:val="30"/>
              <w:szCs w:val="30"/>
            </w:rPr>
            <w:fldChar w:fldCharType="separate"/>
          </w:r>
          <w:r>
            <w:rPr>
              <w:rStyle w:val="24"/>
              <w:rFonts w:hint="default" w:ascii="Times New Roman" w:hAnsi="Times New Roman" w:eastAsia="仿宋_GB2312" w:cs="Times New Roman"/>
              <w:bCs/>
              <w:color w:val="auto"/>
              <w:sz w:val="30"/>
              <w:szCs w:val="30"/>
            </w:rPr>
            <w:t>7</w:t>
          </w:r>
          <w:r>
            <w:rPr>
              <w:rStyle w:val="24"/>
              <w:rFonts w:hint="default" w:ascii="Times New Roman" w:hAnsi="Times New Roman" w:eastAsia="仿宋_GB2312" w:cs="Times New Roman"/>
              <w:bCs/>
              <w:color w:val="auto"/>
              <w:sz w:val="30"/>
              <w:szCs w:val="30"/>
            </w:rPr>
            <w:fldChar w:fldCharType="end"/>
          </w:r>
          <w:r>
            <w:rPr>
              <w:rStyle w:val="24"/>
              <w:rFonts w:hint="default" w:ascii="Times New Roman" w:hAnsi="Times New Roman" w:eastAsia="仿宋_GB2312" w:cs="Times New Roman"/>
              <w:bCs/>
              <w:color w:val="auto"/>
              <w:sz w:val="30"/>
              <w:szCs w:val="30"/>
            </w:rPr>
            <w:fldChar w:fldCharType="end"/>
          </w:r>
        </w:p>
        <w:p>
          <w:pPr>
            <w:pStyle w:val="15"/>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"_Toc112248396"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第二部分 2021年度部门决算情况说明</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_Toc112248396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9</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"_Toc112248397"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一、收</w:t>
          </w:r>
          <w:r>
            <w:rPr>
              <w:rStyle w:val="24"/>
              <w:rFonts w:hint="default" w:ascii="Times New Roman" w:hAnsi="Times New Roman" w:eastAsia="仿宋_GB2312" w:cs="Times New Roman"/>
              <w:bCs/>
              <w:color w:val="auto"/>
              <w:sz w:val="30"/>
              <w:szCs w:val="30"/>
            </w:rPr>
            <w:t>入支出决算总体情况说明</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_Toc112248397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9</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"_Toc112248398"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二、收</w:t>
          </w:r>
          <w:r>
            <w:rPr>
              <w:rStyle w:val="24"/>
              <w:rFonts w:hint="default" w:ascii="Times New Roman" w:hAnsi="Times New Roman" w:eastAsia="仿宋_GB2312" w:cs="Times New Roman"/>
              <w:bCs/>
              <w:color w:val="auto"/>
              <w:sz w:val="30"/>
              <w:szCs w:val="30"/>
            </w:rPr>
            <w:t>入决算情况说明</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_Toc112248398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9</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"_Toc112248400"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三、支</w:t>
          </w:r>
          <w:r>
            <w:rPr>
              <w:rStyle w:val="24"/>
              <w:rFonts w:hint="default" w:ascii="Times New Roman" w:hAnsi="Times New Roman" w:eastAsia="仿宋_GB2312" w:cs="Times New Roman"/>
              <w:bCs/>
              <w:color w:val="auto"/>
              <w:sz w:val="30"/>
              <w:szCs w:val="30"/>
            </w:rPr>
            <w:t>出决算情况说明</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_Toc112248400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10</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"_Toc112248402"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四、财</w:t>
          </w:r>
          <w:r>
            <w:rPr>
              <w:rStyle w:val="24"/>
              <w:rFonts w:hint="default" w:ascii="Times New Roman" w:hAnsi="Times New Roman" w:eastAsia="仿宋_GB2312" w:cs="Times New Roman"/>
              <w:bCs/>
              <w:color w:val="auto"/>
              <w:sz w:val="30"/>
              <w:szCs w:val="30"/>
            </w:rPr>
            <w:t>政拨款收入支出决算总体情况说明</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_Toc112248402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11</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"_Toc112248403"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五、</w:t>
          </w:r>
          <w:r>
            <w:rPr>
              <w:rStyle w:val="24"/>
              <w:rFonts w:hint="default" w:ascii="Times New Roman" w:hAnsi="Times New Roman" w:eastAsia="仿宋_GB2312" w:cs="Times New Roman"/>
              <w:b w:val="0"/>
              <w:bCs/>
              <w:color w:val="auto"/>
              <w:sz w:val="30"/>
              <w:szCs w:val="30"/>
            </w:rPr>
            <w:t>一</w:t>
          </w:r>
          <w:r>
            <w:rPr>
              <w:rStyle w:val="24"/>
              <w:rFonts w:hint="default" w:ascii="Times New Roman" w:hAnsi="Times New Roman" w:eastAsia="仿宋_GB2312" w:cs="Times New Roman"/>
              <w:bCs/>
              <w:color w:val="auto"/>
              <w:sz w:val="30"/>
              <w:szCs w:val="30"/>
            </w:rPr>
            <w:t>般公共预算财政拨款支出决算情况说明</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_Toc112248403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11</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"_Toc112248408"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六</w:t>
          </w:r>
          <w:r>
            <w:rPr>
              <w:rStyle w:val="24"/>
              <w:rFonts w:hint="default" w:ascii="Times New Roman" w:hAnsi="Times New Roman" w:eastAsia="仿宋_GB2312" w:cs="Times New Roman"/>
              <w:b/>
              <w:color w:val="auto"/>
              <w:sz w:val="30"/>
              <w:szCs w:val="30"/>
            </w:rPr>
            <w:t>、</w:t>
          </w:r>
          <w:r>
            <w:rPr>
              <w:rStyle w:val="24"/>
              <w:rFonts w:hint="default" w:ascii="Times New Roman" w:hAnsi="Times New Roman" w:eastAsia="仿宋_GB2312" w:cs="Times New Roman"/>
              <w:b w:val="0"/>
              <w:bCs/>
              <w:color w:val="auto"/>
              <w:sz w:val="30"/>
              <w:szCs w:val="30"/>
            </w:rPr>
            <w:t>一</w:t>
          </w:r>
          <w:r>
            <w:rPr>
              <w:rStyle w:val="24"/>
              <w:rFonts w:hint="default" w:ascii="Times New Roman" w:hAnsi="Times New Roman" w:eastAsia="仿宋_GB2312" w:cs="Times New Roman"/>
              <w:bCs/>
              <w:color w:val="auto"/>
              <w:sz w:val="30"/>
              <w:szCs w:val="30"/>
            </w:rPr>
            <w:t>般公共预算财政拨款基本支出决算情况说明</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_Toc112248408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16</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"_Toc112248409"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七、</w:t>
          </w:r>
          <w:r>
            <w:rPr>
              <w:rStyle w:val="24"/>
              <w:rFonts w:hint="default" w:ascii="Times New Roman" w:hAnsi="Times New Roman" w:eastAsia="仿宋_GB2312" w:cs="Times New Roman"/>
              <w:b/>
              <w:bCs/>
              <w:color w:val="auto"/>
              <w:sz w:val="30"/>
              <w:szCs w:val="30"/>
            </w:rPr>
            <w:t>“</w:t>
          </w:r>
          <w:r>
            <w:rPr>
              <w:rStyle w:val="24"/>
              <w:rFonts w:hint="default" w:ascii="Times New Roman" w:hAnsi="Times New Roman" w:eastAsia="仿宋_GB2312" w:cs="Times New Roman"/>
              <w:bCs/>
              <w:color w:val="auto"/>
              <w:sz w:val="30"/>
              <w:szCs w:val="30"/>
            </w:rPr>
            <w:t>三公”经费财政拨款支出决算情况说明</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_Toc112248409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17</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"_Toc112248412"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八、</w:t>
          </w:r>
          <w:r>
            <w:rPr>
              <w:rStyle w:val="24"/>
              <w:rFonts w:hint="default" w:ascii="Times New Roman" w:hAnsi="Times New Roman" w:eastAsia="仿宋_GB2312" w:cs="Times New Roman"/>
              <w:bCs/>
              <w:color w:val="auto"/>
              <w:sz w:val="30"/>
              <w:szCs w:val="30"/>
            </w:rPr>
            <w:t>政府性基金预算支出决算情况说明</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_Toc112248412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19</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"_Toc112248413"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bCs/>
              <w:color w:val="auto"/>
              <w:sz w:val="30"/>
              <w:szCs w:val="30"/>
            </w:rPr>
            <w:t>九、 国有资本经营预算支出决算情况说明</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_Toc112248413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19</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"_Toc112248414"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bCs/>
              <w:color w:val="auto"/>
              <w:sz w:val="30"/>
              <w:szCs w:val="30"/>
            </w:rPr>
            <w:t>十、 其他重要事项的情况说明</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_Toc112248414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19</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5"/>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"_Toc112248419"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bCs/>
              <w:color w:val="auto"/>
              <w:kern w:val="44"/>
              <w:sz w:val="30"/>
              <w:szCs w:val="30"/>
            </w:rPr>
            <w:t>第三部分</w:t>
          </w:r>
          <w:r>
            <w:rPr>
              <w:rStyle w:val="24"/>
              <w:rFonts w:hint="default" w:ascii="Times New Roman" w:hAnsi="Times New Roman" w:eastAsia="仿宋_GB2312" w:cs="Times New Roman"/>
              <w:color w:val="auto"/>
              <w:sz w:val="30"/>
              <w:szCs w:val="30"/>
            </w:rPr>
            <w:t xml:space="preserve"> 名</w:t>
          </w:r>
          <w:r>
            <w:rPr>
              <w:rStyle w:val="24"/>
              <w:rFonts w:hint="default" w:ascii="Times New Roman" w:hAnsi="Times New Roman" w:eastAsia="仿宋_GB2312" w:cs="Times New Roman"/>
              <w:bCs/>
              <w:color w:val="auto"/>
              <w:kern w:val="44"/>
              <w:sz w:val="30"/>
              <w:szCs w:val="30"/>
            </w:rPr>
            <w:t>词解释</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_Toc112248419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22</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5"/>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"_Toc112248420"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第</w:t>
          </w:r>
          <w:r>
            <w:rPr>
              <w:rStyle w:val="24"/>
              <w:rFonts w:hint="default" w:ascii="Times New Roman" w:hAnsi="Times New Roman" w:eastAsia="仿宋_GB2312" w:cs="Times New Roman"/>
              <w:bCs/>
              <w:color w:val="auto"/>
              <w:kern w:val="44"/>
              <w:sz w:val="30"/>
              <w:szCs w:val="30"/>
            </w:rPr>
            <w:t>四部分 附件</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_Toc112248420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28</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5"/>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"_Toc112248422"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第</w:t>
          </w:r>
          <w:r>
            <w:rPr>
              <w:rStyle w:val="24"/>
              <w:rFonts w:hint="default" w:ascii="Times New Roman" w:hAnsi="Times New Roman" w:eastAsia="仿宋_GB2312" w:cs="Times New Roman"/>
              <w:bCs/>
              <w:color w:val="auto"/>
              <w:kern w:val="44"/>
              <w:sz w:val="30"/>
              <w:szCs w:val="30"/>
            </w:rPr>
            <w:t>五部分 附表</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_Toc112248422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72</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"_Toc112248423"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一、收入支出决算总表</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_Toc112248423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72</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"_Toc112248424"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二、收入决算表</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_Toc112248424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72</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"_Toc112248425"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三、支出决算表</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_Toc112248425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72</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"_Toc112248426"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四、财政拨款收入支出决算总表</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_Toc112248426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72</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"_Toc112248427"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五、财政拨款支出决算明细表</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_Toc112248427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72</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"_Toc112248428"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六、一般公共预算财政拨款支出决算表</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_Toc112248428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72</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"_Toc112248429"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七、一般公共预算财政拨款支出决算明细表</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_Toc112248429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72</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"_Toc112248430"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八、一般公共预算财政拨款基本支出决算表</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_Toc112248430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72</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"_Toc112248431"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九、一般公共预算财政拨款项目支出决算表</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_Toc112248431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72</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"_Toc112248432"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十、一般公共预算财政拨款“三公”经费支出决算表</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_Toc112248432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72</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"_Toc112248433"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十一、政府性基金预算财政拨款收入支出决算表</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_Toc112248433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72</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"_Toc112248434"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十二、政府性基金预算财政拨款“三公”经费支出决算表</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_Toc112248434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72</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"_Toc112248435"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十三、国有资本经营预算财政拨款收入支出决算表</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_Toc112248435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72</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Style w:val="18"/>
            <w:pageBreakBefore w:val="0"/>
            <w:kinsoku/>
            <w:wordWrap/>
            <w:overflowPunct/>
            <w:topLinePunct w:val="0"/>
            <w:bidi w:val="0"/>
            <w:spacing w:line="560" w:lineRule="exact"/>
            <w:rPr>
              <w:rFonts w:hint="default" w:ascii="Times New Roman" w:hAnsi="Times New Roman" w:eastAsia="仿宋_GB2312" w:cs="Times New Roman"/>
              <w:color w:val="auto"/>
              <w:sz w:val="30"/>
              <w:szCs w:val="30"/>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"_Toc112248436" </w:instrText>
          </w:r>
          <w:r>
            <w:rPr>
              <w:rFonts w:hint="default" w:ascii="Times New Roman" w:hAnsi="Times New Roman" w:cs="Times New Roman"/>
              <w:color w:val="auto"/>
            </w:rPr>
            <w:fldChar w:fldCharType="separate"/>
          </w:r>
          <w:r>
            <w:rPr>
              <w:rStyle w:val="24"/>
              <w:rFonts w:hint="default" w:ascii="Times New Roman" w:hAnsi="Times New Roman" w:eastAsia="仿宋_GB2312" w:cs="Times New Roman"/>
              <w:color w:val="auto"/>
              <w:sz w:val="30"/>
              <w:szCs w:val="30"/>
            </w:rPr>
            <w:t>十四、国有资本经营预算财政拨款支出决算表</w:t>
          </w:r>
          <w:r>
            <w:rPr>
              <w:rFonts w:hint="default" w:ascii="Times New Roman" w:hAnsi="Times New Roman" w:eastAsia="仿宋_GB2312" w:cs="Times New Roman"/>
              <w:color w:val="auto"/>
              <w:sz w:val="30"/>
              <w:szCs w:val="30"/>
            </w:rPr>
            <w:tab/>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PAGEREF _Toc112248436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72</w:t>
          </w:r>
          <w:r>
            <w:rPr>
              <w:rFonts w:hint="default" w:ascii="Times New Roman" w:hAnsi="Times New Roman" w:eastAsia="仿宋_GB2312" w:cs="Times New Roman"/>
              <w:color w:val="auto"/>
              <w:sz w:val="30"/>
              <w:szCs w:val="30"/>
            </w:rPr>
            <w:fldChar w:fldCharType="end"/>
          </w:r>
          <w:r>
            <w:rPr>
              <w:rFonts w:hint="default" w:ascii="Times New Roman" w:hAnsi="Times New Roman" w:eastAsia="仿宋_GB2312" w:cs="Times New Roman"/>
              <w:color w:val="auto"/>
              <w:sz w:val="30"/>
              <w:szCs w:val="30"/>
            </w:rPr>
            <w:fldChar w:fldCharType="end"/>
          </w:r>
        </w:p>
        <w:p>
          <w:pPr>
            <w:pageBreakBefore w:val="0"/>
            <w:kinsoku/>
            <w:wordWrap/>
            <w:overflowPunct/>
            <w:topLinePunct w:val="0"/>
            <w:bidi w:val="0"/>
            <w:spacing w:line="560" w:lineRule="exact"/>
            <w:rPr>
              <w:rFonts w:hint="default" w:ascii="Times New Roman" w:hAnsi="Times New Roman" w:cs="Times New Roman"/>
              <w:color w:val="auto"/>
            </w:rPr>
          </w:pPr>
          <w:r>
            <w:rPr>
              <w:rFonts w:hint="default" w:ascii="Times New Roman" w:hAnsi="Times New Roman" w:cs="Times New Roman"/>
              <w:color w:val="auto"/>
            </w:rPr>
            <w:fldChar w:fldCharType="end"/>
          </w:r>
        </w:p>
      </w:sdtContent>
    </w:sdt>
    <w:p>
      <w:pPr>
        <w:pageBreakBefore w:val="0"/>
        <w:widowControl/>
        <w:kinsoku/>
        <w:wordWrap/>
        <w:overflowPunct/>
        <w:topLinePunct w:val="0"/>
        <w:bidi w:val="0"/>
        <w:spacing w:line="560" w:lineRule="exact"/>
        <w:jc w:val="left"/>
        <w:rPr>
          <w:rFonts w:hint="default" w:ascii="Times New Roman" w:hAnsi="Times New Roman" w:eastAsia="仿宋_GB2312" w:cs="Times New Roman"/>
          <w:bCs/>
          <w:color w:val="auto"/>
          <w:kern w:val="44"/>
          <w:sz w:val="30"/>
          <w:szCs w:val="30"/>
        </w:rPr>
      </w:pPr>
      <w:bookmarkStart w:id="15" w:name="_Toc15396599"/>
      <w:bookmarkStart w:id="16" w:name="_Toc15377196"/>
      <w:r>
        <w:rPr>
          <w:rFonts w:hint="default" w:ascii="Times New Roman" w:hAnsi="Times New Roman" w:eastAsia="仿宋_GB2312" w:cs="Times New Roman"/>
          <w:b/>
          <w:color w:val="auto"/>
          <w:sz w:val="30"/>
          <w:szCs w:val="30"/>
        </w:rPr>
        <w:br w:type="page"/>
      </w:r>
    </w:p>
    <w:p>
      <w:pPr>
        <w:pStyle w:val="3"/>
        <w:pageBreakBefore w:val="0"/>
        <w:kinsoku/>
        <w:wordWrap/>
        <w:overflowPunct/>
        <w:topLinePunct w:val="0"/>
        <w:bidi w:val="0"/>
        <w:spacing w:line="560" w:lineRule="exact"/>
        <w:jc w:val="center"/>
        <w:rPr>
          <w:rFonts w:hint="default" w:ascii="Times New Roman" w:hAnsi="Times New Roman" w:eastAsia="黑体" w:cs="Times New Roman"/>
          <w:color w:val="auto"/>
          <w:sz w:val="32"/>
          <w:szCs w:val="32"/>
        </w:rPr>
      </w:pPr>
      <w:bookmarkStart w:id="17" w:name="_Toc112248379"/>
      <w:r>
        <w:rPr>
          <w:rFonts w:hint="default" w:ascii="Times New Roman" w:hAnsi="Times New Roman" w:eastAsia="黑体" w:cs="Times New Roman"/>
          <w:b w:val="0"/>
          <w:color w:val="auto"/>
        </w:rPr>
        <w:t xml:space="preserve">第一部分 </w:t>
      </w:r>
      <w:r>
        <w:rPr>
          <w:rStyle w:val="33"/>
          <w:rFonts w:hint="default" w:ascii="Times New Roman" w:hAnsi="Times New Roman" w:eastAsia="黑体" w:cs="Times New Roman"/>
          <w:b w:val="0"/>
          <w:bCs w:val="0"/>
          <w:color w:val="auto"/>
        </w:rPr>
        <w:t>部门概况</w:t>
      </w:r>
      <w:bookmarkEnd w:id="15"/>
      <w:bookmarkEnd w:id="16"/>
      <w:bookmarkEnd w:id="17"/>
    </w:p>
    <w:p>
      <w:pPr>
        <w:pStyle w:val="4"/>
        <w:pageBreakBefore w:val="0"/>
        <w:numPr>
          <w:ilvl w:val="0"/>
          <w:numId w:val="1"/>
        </w:numPr>
        <w:kinsoku/>
        <w:wordWrap/>
        <w:overflowPunct/>
        <w:topLinePunct w:val="0"/>
        <w:bidi w:val="0"/>
        <w:spacing w:before="0" w:after="0" w:line="560" w:lineRule="exact"/>
        <w:rPr>
          <w:rStyle w:val="34"/>
          <w:rFonts w:hint="default" w:ascii="Times New Roman" w:hAnsi="Times New Roman" w:eastAsia="黑体" w:cs="Times New Roman"/>
          <w:b w:val="0"/>
          <w:bCs w:val="0"/>
          <w:color w:val="auto"/>
        </w:rPr>
      </w:pPr>
      <w:bookmarkStart w:id="18" w:name="_Toc15396600"/>
      <w:bookmarkStart w:id="19" w:name="_Toc15377197"/>
      <w:bookmarkStart w:id="20" w:name="_Toc112248380"/>
      <w:r>
        <w:rPr>
          <w:rFonts w:hint="default" w:ascii="Times New Roman" w:hAnsi="Times New Roman" w:eastAsia="黑体" w:cs="Times New Roman"/>
          <w:b w:val="0"/>
          <w:color w:val="auto"/>
        </w:rPr>
        <w:t>基</w:t>
      </w:r>
      <w:r>
        <w:rPr>
          <w:rStyle w:val="34"/>
          <w:rFonts w:hint="default" w:ascii="Times New Roman" w:hAnsi="Times New Roman" w:eastAsia="黑体" w:cs="Times New Roman"/>
          <w:b w:val="0"/>
          <w:bCs w:val="0"/>
          <w:color w:val="auto"/>
        </w:rPr>
        <w:t>本职能及主要工作</w:t>
      </w:r>
      <w:bookmarkEnd w:id="18"/>
      <w:bookmarkEnd w:id="19"/>
      <w:bookmarkEnd w:id="20"/>
      <w:bookmarkStart w:id="21" w:name="_Toc15377198"/>
      <w:bookmarkStart w:id="22" w:name="_Toc15378445"/>
    </w:p>
    <w:p>
      <w:pPr>
        <w:pStyle w:val="4"/>
        <w:pageBreakBefore w:val="0"/>
        <w:numPr>
          <w:ilvl w:val="0"/>
          <w:numId w:val="2"/>
        </w:numPr>
        <w:kinsoku/>
        <w:wordWrap/>
        <w:overflowPunct/>
        <w:topLinePunct w:val="0"/>
        <w:bidi w:val="0"/>
        <w:spacing w:before="0" w:after="0" w:line="560" w:lineRule="exact"/>
        <w:ind w:firstLine="642" w:firstLineChars="200"/>
        <w:rPr>
          <w:rFonts w:hint="default" w:ascii="Times New Roman" w:hAnsi="Times New Roman" w:eastAsia="楷体_GB2312" w:cs="Times New Roman"/>
          <w:color w:val="auto"/>
        </w:rPr>
      </w:pPr>
      <w:bookmarkStart w:id="23" w:name="_Toc112248381"/>
      <w:r>
        <w:rPr>
          <w:rFonts w:hint="default" w:ascii="Times New Roman" w:hAnsi="Times New Roman" w:eastAsia="楷体_GB2312" w:cs="Times New Roman"/>
          <w:color w:val="auto"/>
        </w:rPr>
        <w:t>主要职能。</w:t>
      </w:r>
      <w:bookmarkEnd w:id="21"/>
      <w:bookmarkEnd w:id="22"/>
      <w:bookmarkEnd w:id="23"/>
      <w:bookmarkStart w:id="24" w:name="_Toc15378446"/>
      <w:bookmarkStart w:id="25" w:name="_Toc15377199"/>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1.贯彻实施国家有关国民经济和社会发展、经济体制改革的方针、政策和法律、法规。拟订全省有关国民经济和社会发展、经济体制改革的地方性法规、规章草案，负责本系统、本部门依法行政工作，落实行政执法责任制。</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2.负责拟订并组织实施全省国民经济和社会发展战略、中长期规划和年度计划，统筹协调全省经济社会发展，研究分析宏观经济形势，提出全省经济社会发展、经济结构优化、价格总水平调控目标和政策建议。受省政府委托向省人大提交国民经济和社会发展计划报告。</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3.负责监测宏观经济和社会发展态势，承担预测预警和信息引导的责任，研究宏观调控重大问题并提出政策建议，搞好总量平衡，综合协调经济社会发展中的重大问题。负责省级以上开发区的指导、协调和宏观管理。</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4.负责汇总分析全省财政、金融等方面情况，参与制订财政、金融、土地政策，综合分析政策执行效果，负责全省全口径外债管理有关工作，提出多渠道融资的政策建议，综合协调财政、金融、价格和产业政策等经济杠杆，保证全省国民经济计划和发展规划的实施。</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5.承担指导推进和综合协调全省经济体制改革的责任，研究经济体制改革和对外开放的重大问题，组织拟订综合性经济体制改革方案，协调有关专项经济体制改革方案，会同有关部门搞好重要专项经济体制改革之间的衔接，指导经济体制改革试点和改革试验区工作。</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6.贯彻实施国家和省价格法律、法规和方针、政策，编制和执行价格调整改革规划，提出年度价格总水平调控目标及价格调控措施并组织实施，管理国家、省列名管理的商品和服务价格，承担行政事业性收费管理工作，负责全省价格成本调查监审、价格监测、价格认证等工作。</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7.负责全省投资宏观管理和协调推进重大项目建设。拟订全社会固定资产投资总规模和投资结构的调控目标、政策及措施，安排省级预算内基本建设资金，按规定权限审批、核准、备案或转报固定资产投资项目（企业技术改造项目除外）和资源开发利用、外资、境外投资项目。引导民间投资方向，研究提出利用外资和境外投资的规划、总量平衡和结构优化的目标和政策，指导和协调国外贷款项目实施。</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8.推进经济结构战略性调整。组织拟订全省综合性产业政策，负责协调第一、二、三产业发展的重大问题，衔接平衡相关发展规划和重大政策，拟订重大产业发展规划，引导全省重大生产力合理布局，协调推进全省重大技术装备推广应用和重大产业基地建设，会同有关部门拟订服务业、现代物流业发展战略、规划和重大政策。组织拟订高技术产业发展、产业技术进步的战略、规划和重大政策，指导全省自主创新体系建设发展。</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9.促进城乡区域协调发展。组织拟订区域协调发展战略、规划和重大政策，研究提出城镇化发展战略，负责地区经济协作的统筹协调。</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10.负责重要商品总量平衡和宏观调控。研究分析省内外市场和对外贸易运行情况，会同有关部门管理重要物资的省级储备工作。</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11.负责全省社会发展与国民经济发展的政策衔接，组织拟订社会发展战略、总体规划和年度计划，研究提出促进就业、调整收入分配、完善社会保障与经济协调发展的政策建议，协调社会事业发展中的重大问题及政策。</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12.推进可持续发展，负责全省节能的综合协调工作，组织拟订并协调实施全省发展循环经济、能源资源节约和综合利用规划及政策措施，参与编制生态建设规划，协调生态建设、能源资源节约和综合利用的重大问题，综合协调环保产业和清洁生产促进有关工作。</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13.会同有关部门拟订民族地区、革命老区、贫困地区经济发展规划，会同有关部门制定加快民族地区、革命老区、贫困地区经济发展的重大政策，协调推进重大项目建设。</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14.指导、协调并综合管理全省招标投标工作。</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15.负责组织协调和处理全省铁路、机场建设项目前期工作、征地拆迁、建设过程中涉及的重大问题，做好全省铁路、机场建设规划及年度计划编制的相关工作。</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16.承担省实施西部大开发领导小组（省攀西地区资源开发领导小组）、省重点项目领导小组等具体工作。</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17.承担省政府公布的有关行政审批事项。</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18.承办省政府交办的其他事项。</w:t>
      </w:r>
    </w:p>
    <w:p>
      <w:pPr>
        <w:pStyle w:val="8"/>
        <w:pageBreakBefore w:val="0"/>
        <w:kinsoku/>
        <w:wordWrap/>
        <w:overflowPunct/>
        <w:topLinePunct w:val="0"/>
        <w:bidi w:val="0"/>
        <w:adjustRightInd w:val="0"/>
        <w:snapToGrid w:val="0"/>
        <w:spacing w:beforeLines="0" w:line="560" w:lineRule="exact"/>
        <w:ind w:firstLine="674" w:firstLineChars="210"/>
        <w:outlineLvl w:val="2"/>
        <w:rPr>
          <w:rFonts w:hint="default" w:ascii="Times New Roman" w:hAnsi="Times New Roman" w:eastAsia="楷体_GB2312" w:cs="Times New Roman"/>
          <w:b/>
          <w:bCs w:val="0"/>
          <w:color w:val="auto"/>
          <w:sz w:val="32"/>
          <w:szCs w:val="32"/>
        </w:rPr>
      </w:pPr>
      <w:bookmarkStart w:id="26" w:name="_Toc112248382"/>
      <w:r>
        <w:rPr>
          <w:rFonts w:hint="default" w:ascii="Times New Roman" w:hAnsi="Times New Roman" w:eastAsia="楷体_GB2312" w:cs="Times New Roman"/>
          <w:b/>
          <w:bCs w:val="0"/>
          <w:color w:val="auto"/>
          <w:sz w:val="32"/>
          <w:szCs w:val="32"/>
        </w:rPr>
        <w:t>（二）2021年重点工作完成情况。</w:t>
      </w:r>
      <w:bookmarkEnd w:id="24"/>
      <w:bookmarkEnd w:id="25"/>
      <w:bookmarkEnd w:id="26"/>
    </w:p>
    <w:p>
      <w:pPr>
        <w:pStyle w:val="20"/>
        <w:pageBreakBefore w:val="0"/>
        <w:widowControl/>
        <w:shd w:val="clear" w:color="auto" w:fill="FFFFFF"/>
        <w:kinsoku/>
        <w:wordWrap/>
        <w:overflowPunct/>
        <w:topLinePunct w:val="0"/>
        <w:bidi w:val="0"/>
        <w:adjustRightInd w:val="0"/>
        <w:snapToGrid w:val="0"/>
        <w:spacing w:beforeAutospacing="0" w:afterAutospacing="0" w:line="560" w:lineRule="exact"/>
        <w:ind w:firstLine="640" w:firstLineChars="200"/>
        <w:jc w:val="both"/>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一是坚持把稳增长放在突出位置，强化“周监测、月调度、季盘点”，充分发挥投资关键作用，努力推动经济稳中加固、稳中向好</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二是强化统筹协调，推动“十四五”规划落地落实</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三是强化协同联动，推动双城经济圈建设成势见效</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四是强化创新驱动，推动特色优势产业竞争力提升。五是强化生态保护，推动绿色低碳转型发展</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六是强化民生保障，推动民生领域补短板强弱项。</w:t>
      </w:r>
    </w:p>
    <w:p>
      <w:pPr>
        <w:pStyle w:val="4"/>
        <w:pageBreakBefore w:val="0"/>
        <w:kinsoku/>
        <w:wordWrap/>
        <w:overflowPunct/>
        <w:topLinePunct w:val="0"/>
        <w:bidi w:val="0"/>
        <w:spacing w:before="0" w:after="0" w:line="560" w:lineRule="exact"/>
        <w:ind w:firstLine="640" w:firstLineChars="200"/>
        <w:rPr>
          <w:rStyle w:val="34"/>
          <w:rFonts w:hint="default" w:ascii="Times New Roman" w:hAnsi="Times New Roman" w:cs="Times New Roman"/>
          <w:b w:val="0"/>
          <w:bCs w:val="0"/>
          <w:color w:val="auto"/>
        </w:rPr>
      </w:pPr>
      <w:bookmarkStart w:id="27" w:name="_Toc112248383"/>
      <w:bookmarkStart w:id="28" w:name="_Toc15377200"/>
      <w:bookmarkStart w:id="29" w:name="_Toc15396601"/>
      <w:r>
        <w:rPr>
          <w:rFonts w:hint="default" w:ascii="Times New Roman" w:hAnsi="Times New Roman" w:eastAsia="黑体" w:cs="Times New Roman"/>
          <w:b w:val="0"/>
          <w:color w:val="auto"/>
        </w:rPr>
        <w:t>二、机</w:t>
      </w:r>
      <w:r>
        <w:rPr>
          <w:rStyle w:val="34"/>
          <w:rFonts w:hint="default" w:ascii="Times New Roman" w:hAnsi="Times New Roman" w:eastAsia="黑体" w:cs="Times New Roman"/>
          <w:b w:val="0"/>
          <w:bCs w:val="0"/>
          <w:color w:val="auto"/>
        </w:rPr>
        <w:t>构设置</w:t>
      </w:r>
      <w:bookmarkEnd w:id="27"/>
      <w:bookmarkEnd w:id="28"/>
      <w:bookmarkEnd w:id="29"/>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四川省发展和改革委员会下属二级单位12个，其中行政单位3个，参照公务员法管理的事业单位</w:t>
      </w:r>
      <w:r>
        <w:rPr>
          <w:rFonts w:hint="default" w:ascii="Times New Roman" w:hAnsi="Times New Roman" w:eastAsia="仿宋_GB2312" w:cs="Times New Roman"/>
          <w:bCs/>
          <w:color w:val="auto"/>
          <w:sz w:val="32"/>
          <w:szCs w:val="32"/>
        </w:rPr>
        <w:t>2</w:t>
      </w:r>
      <w:r>
        <w:rPr>
          <w:rFonts w:hint="default" w:ascii="Times New Roman" w:hAnsi="Times New Roman" w:eastAsia="仿宋_GB2312" w:cs="Times New Roman"/>
          <w:color w:val="auto"/>
          <w:sz w:val="32"/>
          <w:szCs w:val="32"/>
        </w:rPr>
        <w:t>个，其他事业单位7个。</w:t>
      </w:r>
    </w:p>
    <w:p>
      <w:pPr>
        <w:pStyle w:val="8"/>
        <w:pageBreakBefore w:val="0"/>
        <w:kinsoku/>
        <w:wordWrap/>
        <w:overflowPunct/>
        <w:topLinePunct w:val="0"/>
        <w:bidi w:val="0"/>
        <w:adjustRightInd w:val="0"/>
        <w:snapToGrid w:val="0"/>
        <w:spacing w:beforeLines="0" w:line="560" w:lineRule="exact"/>
        <w:ind w:firstLine="672" w:firstLineChars="21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纳入四川省发展和改革委员会2021年度部门决算编制范围的二级预算单位包括：</w:t>
      </w:r>
    </w:p>
    <w:p>
      <w:pPr>
        <w:pStyle w:val="8"/>
        <w:pageBreakBefore w:val="0"/>
        <w:numPr>
          <w:ilvl w:val="0"/>
          <w:numId w:val="3"/>
        </w:numPr>
        <w:kinsoku/>
        <w:wordWrap/>
        <w:overflowPunct/>
        <w:topLinePunct w:val="0"/>
        <w:bidi w:val="0"/>
        <w:adjustRightInd w:val="0"/>
        <w:snapToGrid w:val="0"/>
        <w:spacing w:beforeLines="0" w:line="560" w:lineRule="exact"/>
        <w:outlineLvl w:val="2"/>
        <w:rPr>
          <w:rFonts w:hint="default" w:ascii="Times New Roman" w:hAnsi="Times New Roman" w:cs="Times New Roman"/>
          <w:color w:val="auto"/>
          <w:sz w:val="32"/>
          <w:szCs w:val="32"/>
        </w:rPr>
      </w:pPr>
      <w:bookmarkStart w:id="30" w:name="_Toc112248384"/>
      <w:bookmarkStart w:id="31" w:name="_Toc15377433"/>
      <w:bookmarkStart w:id="32" w:name="_Toc15377202"/>
      <w:bookmarkStart w:id="33" w:name="_Toc15378449"/>
      <w:bookmarkStart w:id="34" w:name="_Toc15306276"/>
      <w:r>
        <w:rPr>
          <w:rFonts w:hint="default" w:ascii="Times New Roman" w:hAnsi="Times New Roman" w:cs="Times New Roman"/>
          <w:color w:val="auto"/>
          <w:sz w:val="32"/>
          <w:szCs w:val="32"/>
        </w:rPr>
        <w:t>四川省发展和改革委员会</w:t>
      </w:r>
      <w:r>
        <w:rPr>
          <w:rFonts w:hint="eastAsia" w:ascii="Times New Roman" w:cs="Times New Roman"/>
          <w:color w:val="auto"/>
          <w:sz w:val="32"/>
          <w:szCs w:val="32"/>
          <w:lang w:eastAsia="zh-CN"/>
        </w:rPr>
        <w:t>（</w:t>
      </w:r>
      <w:r>
        <w:rPr>
          <w:rFonts w:hint="default" w:ascii="Times New Roman" w:hAnsi="Times New Roman" w:cs="Times New Roman"/>
          <w:color w:val="auto"/>
          <w:sz w:val="32"/>
          <w:szCs w:val="32"/>
        </w:rPr>
        <w:t>本级）</w:t>
      </w:r>
      <w:bookmarkEnd w:id="30"/>
    </w:p>
    <w:p>
      <w:pPr>
        <w:pStyle w:val="8"/>
        <w:pageBreakBefore w:val="0"/>
        <w:numPr>
          <w:ilvl w:val="0"/>
          <w:numId w:val="3"/>
        </w:numPr>
        <w:kinsoku/>
        <w:wordWrap/>
        <w:overflowPunct/>
        <w:topLinePunct w:val="0"/>
        <w:bidi w:val="0"/>
        <w:adjustRightInd w:val="0"/>
        <w:snapToGrid w:val="0"/>
        <w:spacing w:beforeLines="0" w:line="560" w:lineRule="exact"/>
        <w:outlineLvl w:val="2"/>
        <w:rPr>
          <w:rFonts w:hint="default" w:ascii="Times New Roman" w:hAnsi="Times New Roman" w:cs="Times New Roman"/>
          <w:color w:val="auto"/>
          <w:sz w:val="32"/>
          <w:szCs w:val="32"/>
        </w:rPr>
      </w:pPr>
      <w:bookmarkStart w:id="35" w:name="_Toc112248385"/>
      <w:r>
        <w:rPr>
          <w:rFonts w:hint="default" w:ascii="Times New Roman" w:hAnsi="Times New Roman" w:cs="Times New Roman"/>
          <w:color w:val="auto"/>
          <w:sz w:val="32"/>
          <w:szCs w:val="32"/>
        </w:rPr>
        <w:t>四川省发展和改革委员会机关服务中心</w:t>
      </w:r>
      <w:bookmarkEnd w:id="35"/>
    </w:p>
    <w:p>
      <w:pPr>
        <w:pStyle w:val="8"/>
        <w:pageBreakBefore w:val="0"/>
        <w:numPr>
          <w:ilvl w:val="0"/>
          <w:numId w:val="3"/>
        </w:numPr>
        <w:kinsoku/>
        <w:wordWrap/>
        <w:overflowPunct/>
        <w:topLinePunct w:val="0"/>
        <w:bidi w:val="0"/>
        <w:adjustRightInd w:val="0"/>
        <w:snapToGrid w:val="0"/>
        <w:spacing w:beforeLines="0" w:line="560" w:lineRule="exact"/>
        <w:outlineLvl w:val="2"/>
        <w:rPr>
          <w:rFonts w:hint="default" w:ascii="Times New Roman" w:hAnsi="Times New Roman" w:cs="Times New Roman"/>
          <w:color w:val="auto"/>
          <w:sz w:val="32"/>
          <w:szCs w:val="32"/>
        </w:rPr>
      </w:pPr>
      <w:bookmarkStart w:id="36" w:name="_Toc112248386"/>
      <w:r>
        <w:rPr>
          <w:rFonts w:hint="default" w:ascii="Times New Roman" w:hAnsi="Times New Roman" w:cs="Times New Roman"/>
          <w:color w:val="auto"/>
          <w:sz w:val="32"/>
          <w:szCs w:val="32"/>
        </w:rPr>
        <w:t>四川省总部经济发展中心（原四川省对外交流合作中心）</w:t>
      </w:r>
      <w:bookmarkEnd w:id="36"/>
    </w:p>
    <w:p>
      <w:pPr>
        <w:pStyle w:val="8"/>
        <w:pageBreakBefore w:val="0"/>
        <w:numPr>
          <w:ilvl w:val="0"/>
          <w:numId w:val="3"/>
        </w:numPr>
        <w:kinsoku/>
        <w:wordWrap/>
        <w:overflowPunct/>
        <w:topLinePunct w:val="0"/>
        <w:bidi w:val="0"/>
        <w:adjustRightInd w:val="0"/>
        <w:snapToGrid w:val="0"/>
        <w:spacing w:beforeLines="0" w:line="560" w:lineRule="exact"/>
        <w:outlineLvl w:val="2"/>
        <w:rPr>
          <w:rFonts w:hint="default" w:ascii="Times New Roman" w:hAnsi="Times New Roman" w:cs="Times New Roman"/>
          <w:color w:val="auto"/>
          <w:sz w:val="32"/>
          <w:szCs w:val="32"/>
        </w:rPr>
      </w:pPr>
      <w:bookmarkStart w:id="37" w:name="_Toc112248387"/>
      <w:r>
        <w:rPr>
          <w:rFonts w:hint="default" w:ascii="Times New Roman" w:hAnsi="Times New Roman" w:cs="Times New Roman"/>
          <w:color w:val="auto"/>
          <w:sz w:val="32"/>
          <w:szCs w:val="32"/>
        </w:rPr>
        <w:t>四川省成本调查监审局</w:t>
      </w:r>
      <w:bookmarkEnd w:id="37"/>
    </w:p>
    <w:p>
      <w:pPr>
        <w:pStyle w:val="8"/>
        <w:pageBreakBefore w:val="0"/>
        <w:numPr>
          <w:ilvl w:val="0"/>
          <w:numId w:val="3"/>
        </w:numPr>
        <w:kinsoku/>
        <w:wordWrap/>
        <w:overflowPunct/>
        <w:topLinePunct w:val="0"/>
        <w:bidi w:val="0"/>
        <w:adjustRightInd w:val="0"/>
        <w:snapToGrid w:val="0"/>
        <w:spacing w:beforeLines="0" w:line="560" w:lineRule="exact"/>
        <w:outlineLvl w:val="2"/>
        <w:rPr>
          <w:rFonts w:hint="default" w:ascii="Times New Roman" w:hAnsi="Times New Roman" w:cs="Times New Roman"/>
          <w:color w:val="auto"/>
          <w:sz w:val="32"/>
          <w:szCs w:val="32"/>
        </w:rPr>
      </w:pPr>
      <w:bookmarkStart w:id="38" w:name="_Toc112248388"/>
      <w:r>
        <w:rPr>
          <w:rFonts w:hint="default" w:ascii="Times New Roman" w:hAnsi="Times New Roman" w:cs="Times New Roman"/>
          <w:color w:val="auto"/>
          <w:sz w:val="32"/>
          <w:szCs w:val="32"/>
        </w:rPr>
        <w:t>四川省价格监测局</w:t>
      </w:r>
      <w:bookmarkEnd w:id="38"/>
    </w:p>
    <w:p>
      <w:pPr>
        <w:pStyle w:val="8"/>
        <w:pageBreakBefore w:val="0"/>
        <w:numPr>
          <w:ilvl w:val="0"/>
          <w:numId w:val="3"/>
        </w:numPr>
        <w:kinsoku/>
        <w:wordWrap/>
        <w:overflowPunct/>
        <w:topLinePunct w:val="0"/>
        <w:bidi w:val="0"/>
        <w:adjustRightInd w:val="0"/>
        <w:snapToGrid w:val="0"/>
        <w:spacing w:beforeLines="0" w:line="560" w:lineRule="exact"/>
        <w:outlineLvl w:val="2"/>
        <w:rPr>
          <w:rFonts w:hint="default" w:ascii="Times New Roman" w:hAnsi="Times New Roman" w:cs="Times New Roman"/>
          <w:color w:val="auto"/>
          <w:sz w:val="32"/>
          <w:szCs w:val="32"/>
        </w:rPr>
      </w:pPr>
      <w:bookmarkStart w:id="39" w:name="_Toc112248389"/>
      <w:r>
        <w:rPr>
          <w:rFonts w:hint="default" w:ascii="Times New Roman" w:hAnsi="Times New Roman" w:cs="Times New Roman"/>
          <w:color w:val="auto"/>
          <w:sz w:val="32"/>
          <w:szCs w:val="32"/>
        </w:rPr>
        <w:t>四川省价格认证中心</w:t>
      </w:r>
      <w:bookmarkEnd w:id="39"/>
    </w:p>
    <w:p>
      <w:pPr>
        <w:pStyle w:val="8"/>
        <w:pageBreakBefore w:val="0"/>
        <w:numPr>
          <w:ilvl w:val="0"/>
          <w:numId w:val="3"/>
        </w:numPr>
        <w:kinsoku/>
        <w:wordWrap/>
        <w:overflowPunct/>
        <w:topLinePunct w:val="0"/>
        <w:bidi w:val="0"/>
        <w:adjustRightInd w:val="0"/>
        <w:snapToGrid w:val="0"/>
        <w:spacing w:beforeLines="0" w:line="560" w:lineRule="exact"/>
        <w:outlineLvl w:val="2"/>
        <w:rPr>
          <w:rFonts w:hint="default" w:ascii="Times New Roman" w:hAnsi="Times New Roman" w:cs="Times New Roman"/>
          <w:color w:val="auto"/>
          <w:sz w:val="32"/>
          <w:szCs w:val="32"/>
        </w:rPr>
      </w:pPr>
      <w:bookmarkStart w:id="40" w:name="_Toc112248390"/>
      <w:r>
        <w:rPr>
          <w:rFonts w:hint="default" w:ascii="Times New Roman" w:hAnsi="Times New Roman" w:cs="Times New Roman"/>
          <w:color w:val="auto"/>
          <w:sz w:val="32"/>
          <w:szCs w:val="32"/>
        </w:rPr>
        <w:t>四川省发展与改革研究所</w:t>
      </w:r>
      <w:bookmarkEnd w:id="40"/>
    </w:p>
    <w:p>
      <w:pPr>
        <w:pStyle w:val="8"/>
        <w:pageBreakBefore w:val="0"/>
        <w:numPr>
          <w:ilvl w:val="0"/>
          <w:numId w:val="3"/>
        </w:numPr>
        <w:kinsoku/>
        <w:wordWrap/>
        <w:overflowPunct/>
        <w:topLinePunct w:val="0"/>
        <w:bidi w:val="0"/>
        <w:adjustRightInd w:val="0"/>
        <w:snapToGrid w:val="0"/>
        <w:spacing w:beforeLines="0" w:line="560" w:lineRule="exact"/>
        <w:outlineLvl w:val="2"/>
        <w:rPr>
          <w:rFonts w:hint="default" w:ascii="Times New Roman" w:hAnsi="Times New Roman" w:cs="Times New Roman"/>
          <w:color w:val="auto"/>
          <w:sz w:val="32"/>
          <w:szCs w:val="32"/>
        </w:rPr>
      </w:pPr>
      <w:bookmarkStart w:id="41" w:name="_Toc112248391"/>
      <w:r>
        <w:rPr>
          <w:rFonts w:hint="default" w:ascii="Times New Roman" w:hAnsi="Times New Roman" w:cs="Times New Roman"/>
          <w:color w:val="auto"/>
          <w:sz w:val="32"/>
          <w:szCs w:val="32"/>
        </w:rPr>
        <w:t>四川省经济和社会发展研究院</w:t>
      </w:r>
      <w:bookmarkEnd w:id="41"/>
    </w:p>
    <w:p>
      <w:pPr>
        <w:pStyle w:val="8"/>
        <w:pageBreakBefore w:val="0"/>
        <w:numPr>
          <w:ilvl w:val="0"/>
          <w:numId w:val="3"/>
        </w:numPr>
        <w:kinsoku/>
        <w:wordWrap/>
        <w:overflowPunct/>
        <w:topLinePunct w:val="0"/>
        <w:bidi w:val="0"/>
        <w:adjustRightInd w:val="0"/>
        <w:snapToGrid w:val="0"/>
        <w:spacing w:beforeLines="0" w:line="560" w:lineRule="exact"/>
        <w:outlineLvl w:val="2"/>
        <w:rPr>
          <w:rFonts w:hint="default" w:ascii="Times New Roman" w:hAnsi="Times New Roman" w:cs="Times New Roman"/>
          <w:color w:val="auto"/>
          <w:sz w:val="32"/>
          <w:szCs w:val="32"/>
        </w:rPr>
      </w:pPr>
      <w:bookmarkStart w:id="42" w:name="_Toc112248392"/>
      <w:r>
        <w:rPr>
          <w:rFonts w:hint="default" w:ascii="Times New Roman" w:hAnsi="Times New Roman" w:cs="Times New Roman"/>
          <w:color w:val="auto"/>
          <w:sz w:val="32"/>
          <w:szCs w:val="32"/>
        </w:rPr>
        <w:t>四川省县域经济研究中心</w:t>
      </w:r>
      <w:bookmarkEnd w:id="42"/>
    </w:p>
    <w:p>
      <w:pPr>
        <w:pStyle w:val="8"/>
        <w:pageBreakBefore w:val="0"/>
        <w:numPr>
          <w:ilvl w:val="0"/>
          <w:numId w:val="3"/>
        </w:numPr>
        <w:kinsoku/>
        <w:wordWrap/>
        <w:overflowPunct/>
        <w:topLinePunct w:val="0"/>
        <w:bidi w:val="0"/>
        <w:adjustRightInd w:val="0"/>
        <w:snapToGrid w:val="0"/>
        <w:spacing w:beforeLines="0" w:line="560" w:lineRule="exact"/>
        <w:outlineLvl w:val="2"/>
        <w:rPr>
          <w:rFonts w:hint="default" w:ascii="Times New Roman" w:hAnsi="Times New Roman" w:cs="Times New Roman"/>
          <w:color w:val="auto"/>
          <w:sz w:val="32"/>
          <w:szCs w:val="32"/>
        </w:rPr>
      </w:pPr>
      <w:bookmarkStart w:id="43" w:name="_Toc112248393"/>
      <w:r>
        <w:rPr>
          <w:rFonts w:hint="default" w:ascii="Times New Roman" w:hAnsi="Times New Roman" w:cs="Times New Roman"/>
          <w:color w:val="auto"/>
          <w:sz w:val="32"/>
          <w:szCs w:val="32"/>
        </w:rPr>
        <w:t>四川省工程咨询研究院</w:t>
      </w:r>
      <w:bookmarkEnd w:id="43"/>
    </w:p>
    <w:p>
      <w:pPr>
        <w:pStyle w:val="8"/>
        <w:pageBreakBefore w:val="0"/>
        <w:numPr>
          <w:ilvl w:val="0"/>
          <w:numId w:val="3"/>
        </w:numPr>
        <w:kinsoku/>
        <w:wordWrap/>
        <w:overflowPunct/>
        <w:topLinePunct w:val="0"/>
        <w:bidi w:val="0"/>
        <w:adjustRightInd w:val="0"/>
        <w:snapToGrid w:val="0"/>
        <w:spacing w:beforeLines="0" w:line="560" w:lineRule="exact"/>
        <w:outlineLvl w:val="2"/>
        <w:rPr>
          <w:rFonts w:hint="default" w:ascii="Times New Roman" w:hAnsi="Times New Roman" w:cs="Times New Roman"/>
          <w:color w:val="auto"/>
          <w:sz w:val="32"/>
          <w:szCs w:val="32"/>
        </w:rPr>
      </w:pPr>
      <w:bookmarkStart w:id="44" w:name="_Toc112248394"/>
      <w:r>
        <w:rPr>
          <w:rFonts w:hint="default" w:ascii="Times New Roman" w:hAnsi="Times New Roman" w:cs="Times New Roman"/>
          <w:color w:val="auto"/>
          <w:sz w:val="32"/>
          <w:szCs w:val="32"/>
        </w:rPr>
        <w:t>四川省创新驱动发展中心</w:t>
      </w:r>
      <w:bookmarkEnd w:id="44"/>
    </w:p>
    <w:bookmarkEnd w:id="31"/>
    <w:bookmarkEnd w:id="32"/>
    <w:bookmarkEnd w:id="33"/>
    <w:bookmarkEnd w:id="34"/>
    <w:p>
      <w:pPr>
        <w:pStyle w:val="8"/>
        <w:pageBreakBefore w:val="0"/>
        <w:numPr>
          <w:ilvl w:val="0"/>
          <w:numId w:val="3"/>
        </w:numPr>
        <w:kinsoku/>
        <w:wordWrap/>
        <w:overflowPunct/>
        <w:topLinePunct w:val="0"/>
        <w:bidi w:val="0"/>
        <w:adjustRightInd w:val="0"/>
        <w:snapToGrid w:val="0"/>
        <w:spacing w:beforeLines="0" w:line="560" w:lineRule="exact"/>
        <w:outlineLvl w:val="2"/>
        <w:rPr>
          <w:rFonts w:hint="default" w:ascii="Times New Roman" w:hAnsi="Times New Roman" w:cs="Times New Roman"/>
          <w:color w:val="auto"/>
          <w:sz w:val="32"/>
          <w:szCs w:val="32"/>
        </w:rPr>
      </w:pPr>
      <w:bookmarkStart w:id="45" w:name="_Toc112248395"/>
      <w:bookmarkStart w:id="46" w:name="_Toc15396602"/>
      <w:bookmarkStart w:id="47" w:name="_Toc15377204"/>
      <w:r>
        <w:rPr>
          <w:rFonts w:hint="default" w:ascii="Times New Roman" w:hAnsi="Times New Roman" w:cs="Times New Roman"/>
          <w:color w:val="auto"/>
          <w:sz w:val="32"/>
          <w:szCs w:val="32"/>
        </w:rPr>
        <w:t>四川省数字经济研究中心</w:t>
      </w:r>
      <w:bookmarkEnd w:id="45"/>
    </w:p>
    <w:p>
      <w:pPr>
        <w:pStyle w:val="3"/>
        <w:pageBreakBefore w:val="0"/>
        <w:kinsoku/>
        <w:wordWrap/>
        <w:overflowPunct/>
        <w:topLinePunct w:val="0"/>
        <w:bidi w:val="0"/>
        <w:spacing w:before="0" w:after="0" w:line="560" w:lineRule="exact"/>
        <w:ind w:right="440"/>
        <w:rPr>
          <w:rFonts w:hint="default" w:ascii="Times New Roman" w:hAnsi="Times New Roman" w:eastAsia="黑体" w:cs="Times New Roman"/>
          <w:b w:val="0"/>
          <w:color w:val="auto"/>
        </w:rPr>
      </w:pPr>
    </w:p>
    <w:p>
      <w:pPr>
        <w:pStyle w:val="3"/>
        <w:pageBreakBefore w:val="0"/>
        <w:kinsoku/>
        <w:wordWrap/>
        <w:overflowPunct/>
        <w:topLinePunct w:val="0"/>
        <w:bidi w:val="0"/>
        <w:spacing w:before="0" w:after="0" w:line="560" w:lineRule="exact"/>
        <w:ind w:right="440"/>
        <w:jc w:val="center"/>
        <w:rPr>
          <w:rFonts w:hint="default" w:ascii="Times New Roman" w:hAnsi="Times New Roman" w:eastAsia="黑体" w:cs="Times New Roman"/>
          <w:b w:val="0"/>
          <w:color w:val="auto"/>
        </w:rPr>
      </w:pPr>
    </w:p>
    <w:p>
      <w:pPr>
        <w:pStyle w:val="3"/>
        <w:pageBreakBefore w:val="0"/>
        <w:kinsoku/>
        <w:wordWrap/>
        <w:overflowPunct/>
        <w:topLinePunct w:val="0"/>
        <w:bidi w:val="0"/>
        <w:spacing w:before="0" w:after="0" w:line="560" w:lineRule="exact"/>
        <w:ind w:right="440"/>
        <w:jc w:val="center"/>
        <w:rPr>
          <w:rFonts w:hint="default" w:ascii="Times New Roman" w:hAnsi="Times New Roman" w:eastAsia="黑体" w:cs="Times New Roman"/>
          <w:b w:val="0"/>
          <w:color w:val="auto"/>
        </w:rPr>
      </w:pPr>
    </w:p>
    <w:p>
      <w:pPr>
        <w:pStyle w:val="3"/>
        <w:pageBreakBefore w:val="0"/>
        <w:kinsoku/>
        <w:wordWrap/>
        <w:overflowPunct/>
        <w:topLinePunct w:val="0"/>
        <w:bidi w:val="0"/>
        <w:spacing w:before="0" w:after="0" w:line="560" w:lineRule="exact"/>
        <w:ind w:right="440"/>
        <w:jc w:val="center"/>
        <w:rPr>
          <w:rFonts w:hint="default" w:ascii="Times New Roman" w:hAnsi="Times New Roman" w:eastAsia="黑体" w:cs="Times New Roman"/>
          <w:b w:val="0"/>
          <w:color w:val="auto"/>
        </w:rPr>
      </w:pPr>
    </w:p>
    <w:p>
      <w:pPr>
        <w:pStyle w:val="3"/>
        <w:pageBreakBefore w:val="0"/>
        <w:kinsoku/>
        <w:wordWrap/>
        <w:overflowPunct/>
        <w:topLinePunct w:val="0"/>
        <w:bidi w:val="0"/>
        <w:spacing w:before="0" w:after="0" w:line="560" w:lineRule="exact"/>
        <w:ind w:right="440"/>
        <w:jc w:val="center"/>
        <w:rPr>
          <w:rFonts w:hint="default" w:ascii="Times New Roman" w:hAnsi="Times New Roman" w:eastAsia="黑体" w:cs="Times New Roman"/>
          <w:b w:val="0"/>
          <w:color w:val="auto"/>
        </w:rPr>
      </w:pPr>
    </w:p>
    <w:p>
      <w:pPr>
        <w:pStyle w:val="3"/>
        <w:pageBreakBefore w:val="0"/>
        <w:kinsoku/>
        <w:wordWrap/>
        <w:overflowPunct/>
        <w:topLinePunct w:val="0"/>
        <w:bidi w:val="0"/>
        <w:spacing w:before="0" w:after="0" w:line="560" w:lineRule="exact"/>
        <w:ind w:right="440"/>
        <w:rPr>
          <w:rFonts w:hint="default" w:ascii="Times New Roman" w:hAnsi="Times New Roman" w:eastAsia="黑体" w:cs="Times New Roman"/>
          <w:b w:val="0"/>
          <w:color w:val="auto"/>
        </w:rPr>
      </w:pPr>
    </w:p>
    <w:p>
      <w:pPr>
        <w:pageBreakBefore w:val="0"/>
        <w:kinsoku/>
        <w:wordWrap/>
        <w:overflowPunct/>
        <w:topLinePunct w:val="0"/>
        <w:bidi w:val="0"/>
        <w:spacing w:line="560" w:lineRule="exact"/>
        <w:rPr>
          <w:rFonts w:hint="default" w:ascii="Times New Roman" w:hAnsi="Times New Roman" w:eastAsia="黑体" w:cs="Times New Roman"/>
          <w:color w:val="auto"/>
        </w:rPr>
      </w:pPr>
    </w:p>
    <w:p>
      <w:pPr>
        <w:pStyle w:val="7"/>
        <w:pageBreakBefore w:val="0"/>
        <w:kinsoku/>
        <w:wordWrap/>
        <w:overflowPunct/>
        <w:topLinePunct w:val="0"/>
        <w:bidi w:val="0"/>
        <w:spacing w:line="560" w:lineRule="exact"/>
        <w:rPr>
          <w:rFonts w:hint="default" w:ascii="Times New Roman" w:hAnsi="Times New Roman" w:eastAsia="黑体" w:cs="Times New Roman"/>
          <w:color w:val="auto"/>
        </w:rPr>
      </w:pPr>
    </w:p>
    <w:p>
      <w:pPr>
        <w:pageBreakBefore w:val="0"/>
        <w:kinsoku/>
        <w:wordWrap/>
        <w:overflowPunct/>
        <w:topLinePunct w:val="0"/>
        <w:bidi w:val="0"/>
        <w:spacing w:line="560" w:lineRule="exact"/>
        <w:rPr>
          <w:rFonts w:hint="default" w:ascii="Times New Roman" w:hAnsi="Times New Roman" w:eastAsia="黑体" w:cs="Times New Roman"/>
          <w:color w:val="auto"/>
        </w:rPr>
      </w:pPr>
    </w:p>
    <w:p>
      <w:pPr>
        <w:pStyle w:val="7"/>
        <w:pageBreakBefore w:val="0"/>
        <w:kinsoku/>
        <w:wordWrap/>
        <w:overflowPunct/>
        <w:topLinePunct w:val="0"/>
        <w:bidi w:val="0"/>
        <w:spacing w:line="560" w:lineRule="exact"/>
        <w:rPr>
          <w:rFonts w:hint="default" w:ascii="Times New Roman" w:hAnsi="Times New Roman" w:eastAsia="黑体" w:cs="Times New Roman"/>
          <w:color w:val="auto"/>
        </w:rPr>
      </w:pPr>
    </w:p>
    <w:p>
      <w:pPr>
        <w:pageBreakBefore w:val="0"/>
        <w:kinsoku/>
        <w:wordWrap/>
        <w:overflowPunct/>
        <w:topLinePunct w:val="0"/>
        <w:bidi w:val="0"/>
        <w:spacing w:line="560" w:lineRule="exact"/>
        <w:rPr>
          <w:rFonts w:hint="default" w:ascii="Times New Roman" w:hAnsi="Times New Roman" w:eastAsia="黑体" w:cs="Times New Roman"/>
          <w:color w:val="auto"/>
        </w:rPr>
      </w:pPr>
    </w:p>
    <w:p>
      <w:pPr>
        <w:pStyle w:val="7"/>
        <w:pageBreakBefore w:val="0"/>
        <w:kinsoku/>
        <w:wordWrap/>
        <w:overflowPunct/>
        <w:topLinePunct w:val="0"/>
        <w:bidi w:val="0"/>
        <w:spacing w:line="560" w:lineRule="exact"/>
        <w:rPr>
          <w:rFonts w:hint="default" w:ascii="Times New Roman" w:hAnsi="Times New Roman" w:cs="Times New Roman"/>
          <w:color w:val="auto"/>
        </w:rPr>
      </w:pPr>
    </w:p>
    <w:p>
      <w:pPr>
        <w:pageBreakBefore w:val="0"/>
        <w:kinsoku/>
        <w:wordWrap/>
        <w:overflowPunct/>
        <w:topLinePunct w:val="0"/>
        <w:bidi w:val="0"/>
        <w:spacing w:line="560" w:lineRule="exact"/>
        <w:rPr>
          <w:rFonts w:hint="default" w:ascii="Times New Roman" w:hAnsi="Times New Roman" w:cs="Times New Roman"/>
          <w:color w:val="auto"/>
        </w:rPr>
      </w:pPr>
    </w:p>
    <w:p>
      <w:pPr>
        <w:pStyle w:val="8"/>
        <w:pageBreakBefore w:val="0"/>
        <w:kinsoku/>
        <w:wordWrap/>
        <w:overflowPunct/>
        <w:topLinePunct w:val="0"/>
        <w:bidi w:val="0"/>
        <w:spacing w:before="93" w:line="560" w:lineRule="exact"/>
        <w:rPr>
          <w:rFonts w:hint="default" w:ascii="Times New Roman" w:hAnsi="Times New Roman" w:cs="Times New Roman"/>
          <w:color w:val="auto"/>
        </w:rPr>
      </w:pPr>
    </w:p>
    <w:p>
      <w:pPr>
        <w:pStyle w:val="3"/>
        <w:pageBreakBefore w:val="0"/>
        <w:kinsoku/>
        <w:wordWrap/>
        <w:overflowPunct/>
        <w:topLinePunct w:val="0"/>
        <w:bidi w:val="0"/>
        <w:spacing w:before="0" w:after="0" w:line="560" w:lineRule="exact"/>
        <w:ind w:right="440"/>
        <w:jc w:val="center"/>
        <w:rPr>
          <w:rFonts w:hint="default" w:ascii="Times New Roman" w:hAnsi="Times New Roman" w:eastAsia="黑体" w:cs="Times New Roman"/>
          <w:b w:val="0"/>
          <w:color w:val="auto"/>
        </w:rPr>
      </w:pPr>
      <w:bookmarkStart w:id="48" w:name="_Toc112248396"/>
      <w:r>
        <w:rPr>
          <w:rFonts w:hint="default" w:ascii="Times New Roman" w:hAnsi="Times New Roman" w:eastAsia="黑体" w:cs="Times New Roman"/>
          <w:b w:val="0"/>
          <w:color w:val="auto"/>
        </w:rPr>
        <w:t>第二部分 2021年度</w:t>
      </w:r>
      <w:r>
        <w:rPr>
          <w:rStyle w:val="33"/>
          <w:rFonts w:hint="default" w:ascii="Times New Roman" w:hAnsi="Times New Roman" w:eastAsia="黑体" w:cs="Times New Roman"/>
          <w:b w:val="0"/>
          <w:bCs/>
          <w:color w:val="auto"/>
        </w:rPr>
        <w:t>部门决算情况说明</w:t>
      </w:r>
      <w:bookmarkEnd w:id="46"/>
      <w:bookmarkEnd w:id="47"/>
      <w:bookmarkEnd w:id="48"/>
    </w:p>
    <w:p>
      <w:pPr>
        <w:pStyle w:val="32"/>
        <w:pageBreakBefore w:val="0"/>
        <w:kinsoku/>
        <w:wordWrap/>
        <w:overflowPunct/>
        <w:topLinePunct w:val="0"/>
        <w:bidi w:val="0"/>
        <w:spacing w:line="560" w:lineRule="exact"/>
        <w:ind w:firstLine="640"/>
        <w:outlineLvl w:val="1"/>
        <w:rPr>
          <w:rFonts w:hint="default" w:ascii="Times New Roman" w:hAnsi="Times New Roman" w:eastAsia="黑体" w:cs="Times New Roman"/>
          <w:color w:val="auto"/>
          <w:sz w:val="32"/>
          <w:szCs w:val="32"/>
        </w:rPr>
      </w:pPr>
      <w:bookmarkStart w:id="49" w:name="_Toc15396603"/>
      <w:bookmarkStart w:id="50" w:name="_Toc15377205"/>
    </w:p>
    <w:p>
      <w:pPr>
        <w:pStyle w:val="32"/>
        <w:pageBreakBefore w:val="0"/>
        <w:kinsoku/>
        <w:wordWrap/>
        <w:overflowPunct/>
        <w:topLinePunct w:val="0"/>
        <w:bidi w:val="0"/>
        <w:spacing w:line="560" w:lineRule="exact"/>
        <w:ind w:firstLine="640"/>
        <w:outlineLvl w:val="1"/>
        <w:rPr>
          <w:rStyle w:val="34"/>
          <w:rFonts w:hint="default" w:ascii="Times New Roman" w:hAnsi="Times New Roman" w:eastAsia="黑体" w:cs="Times New Roman"/>
          <w:b w:val="0"/>
          <w:color w:val="auto"/>
        </w:rPr>
      </w:pPr>
      <w:bookmarkStart w:id="51" w:name="_Toc112248397"/>
      <w:r>
        <w:rPr>
          <w:rFonts w:hint="default" w:ascii="Times New Roman" w:hAnsi="Times New Roman" w:eastAsia="黑体" w:cs="Times New Roman"/>
          <w:color w:val="auto"/>
          <w:sz w:val="32"/>
          <w:szCs w:val="32"/>
        </w:rPr>
        <w:t>一、收</w:t>
      </w:r>
      <w:r>
        <w:rPr>
          <w:rStyle w:val="34"/>
          <w:rFonts w:hint="default" w:ascii="Times New Roman" w:hAnsi="Times New Roman" w:eastAsia="黑体" w:cs="Times New Roman"/>
          <w:b w:val="0"/>
          <w:color w:val="auto"/>
        </w:rPr>
        <w:t>入支出决算总体情况说明</w:t>
      </w:r>
      <w:bookmarkEnd w:id="49"/>
      <w:bookmarkEnd w:id="50"/>
      <w:bookmarkEnd w:id="51"/>
    </w:p>
    <w:p>
      <w:pPr>
        <w:keepNext w:val="0"/>
        <w:keepLines w:val="0"/>
        <w:widowControl/>
        <w:suppressLineNumbers w:val="0"/>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drawing>
          <wp:anchor distT="0" distB="0" distL="114300" distR="114300" simplePos="0" relativeHeight="251666432" behindDoc="0" locked="0" layoutInCell="1" allowOverlap="1">
            <wp:simplePos x="0" y="0"/>
            <wp:positionH relativeFrom="column">
              <wp:posOffset>165735</wp:posOffset>
            </wp:positionH>
            <wp:positionV relativeFrom="paragraph">
              <wp:posOffset>2592705</wp:posOffset>
            </wp:positionV>
            <wp:extent cx="5473700" cy="2752725"/>
            <wp:effectExtent l="4445" t="4445" r="8255" b="5080"/>
            <wp:wrapTopAndBottom/>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default" w:ascii="Times New Roman" w:hAnsi="Times New Roman" w:eastAsia="仿宋_GB2312" w:cs="Times New Roman"/>
          <w:color w:val="auto"/>
          <w:sz w:val="32"/>
          <w:szCs w:val="32"/>
        </w:rPr>
        <w:t>2021年度收、支总计29,477.23万元。与2020年相比，收、支总计各增加9,400.09万元，增长46.82%。主要变动原因：</w:t>
      </w:r>
      <w:r>
        <w:rPr>
          <w:rFonts w:hint="default" w:ascii="Times New Roman" w:hAnsi="Times New Roman" w:eastAsia="仿宋_GB2312" w:cs="Times New Roman"/>
          <w:b/>
          <w:bCs/>
          <w:color w:val="auto"/>
          <w:sz w:val="32"/>
          <w:szCs w:val="32"/>
        </w:rPr>
        <w:t>一是</w:t>
      </w:r>
      <w:r>
        <w:rPr>
          <w:rFonts w:hint="default" w:ascii="Times New Roman" w:hAnsi="Times New Roman" w:eastAsia="仿宋_GB2312" w:cs="Times New Roman"/>
          <w:i w:val="0"/>
          <w:caps w:val="0"/>
          <w:color w:val="auto"/>
          <w:spacing w:val="0"/>
          <w:kern w:val="0"/>
          <w:sz w:val="31"/>
          <w:szCs w:val="31"/>
          <w:shd w:val="clear" w:fill="FFFFFF"/>
          <w:lang w:val="en-US" w:eastAsia="zh-CN" w:bidi="ar"/>
        </w:rPr>
        <w:t>下达我委作为预算主体购买服务省预算内基本建设投资等专项资金较上年增加2711.47万元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auto"/>
          <w:sz w:val="32"/>
          <w:szCs w:val="32"/>
        </w:rPr>
        <w:t>二是</w:t>
      </w:r>
      <w:r>
        <w:rPr>
          <w:rFonts w:hint="default" w:ascii="Times New Roman" w:hAnsi="Times New Roman" w:eastAsia="仿宋_GB2312" w:cs="Times New Roman"/>
          <w:color w:val="auto"/>
          <w:sz w:val="32"/>
          <w:szCs w:val="32"/>
        </w:rPr>
        <w:t>调资及新进人员等因素导致人员经费增加2409.18万元，</w:t>
      </w:r>
      <w:r>
        <w:rPr>
          <w:rFonts w:hint="default" w:ascii="Times New Roman" w:hAnsi="Times New Roman" w:eastAsia="仿宋_GB2312" w:cs="Times New Roman"/>
          <w:b/>
          <w:bCs/>
          <w:color w:val="auto"/>
          <w:sz w:val="32"/>
          <w:szCs w:val="32"/>
        </w:rPr>
        <w:t>三是</w:t>
      </w:r>
      <w:r>
        <w:rPr>
          <w:rFonts w:hint="default" w:ascii="Times New Roman" w:hAnsi="Times New Roman" w:eastAsia="仿宋_GB2312" w:cs="Times New Roman"/>
          <w:color w:val="auto"/>
          <w:sz w:val="32"/>
          <w:szCs w:val="32"/>
        </w:rPr>
        <w:t>省工程咨询研究院于2021年纳入部门预算管理，其收、支总计2891.17万元。</w:t>
      </w:r>
    </w:p>
    <w:p>
      <w:pPr>
        <w:pStyle w:val="32"/>
        <w:pageBreakBefore w:val="0"/>
        <w:kinsoku/>
        <w:wordWrap/>
        <w:overflowPunct/>
        <w:topLinePunct w:val="0"/>
        <w:bidi w:val="0"/>
        <w:spacing w:line="560" w:lineRule="exact"/>
        <w:ind w:left="640" w:firstLine="0" w:firstLineChars="0"/>
        <w:outlineLvl w:val="1"/>
        <w:rPr>
          <w:rStyle w:val="34"/>
          <w:rFonts w:hint="default" w:ascii="Times New Roman" w:hAnsi="Times New Roman" w:eastAsia="黑体" w:cs="Times New Roman"/>
          <w:b w:val="0"/>
          <w:color w:val="auto"/>
        </w:rPr>
      </w:pPr>
      <w:bookmarkStart w:id="52" w:name="_Toc112248398"/>
      <w:r>
        <w:rPr>
          <w:rFonts w:hint="default" w:ascii="Times New Roman" w:hAnsi="Times New Roman" w:eastAsia="黑体" w:cs="Times New Roman"/>
          <w:color w:val="auto"/>
          <w:sz w:val="32"/>
          <w:szCs w:val="32"/>
        </w:rPr>
        <w:t>二、收</w:t>
      </w:r>
      <w:r>
        <w:rPr>
          <w:rStyle w:val="34"/>
          <w:rFonts w:hint="default" w:ascii="Times New Roman" w:hAnsi="Times New Roman" w:eastAsia="黑体" w:cs="Times New Roman"/>
          <w:b w:val="0"/>
          <w:color w:val="auto"/>
        </w:rPr>
        <w:t>入决算情况说明</w:t>
      </w:r>
      <w:bookmarkEnd w:id="52"/>
    </w:p>
    <w:p>
      <w:pPr>
        <w:pageBreakBefore w:val="0"/>
        <w:kinsoku/>
        <w:wordWrap/>
        <w:overflowPunct/>
        <w:topLinePunct w:val="0"/>
        <w:bidi w:val="0"/>
        <w:spacing w:line="560" w:lineRule="exact"/>
        <w:ind w:firstLine="640" w:firstLineChars="200"/>
        <w:outlineLvl w:val="1"/>
        <w:rPr>
          <w:rFonts w:hint="default" w:ascii="Times New Roman" w:hAnsi="Times New Roman" w:eastAsia="仿宋_GB2312" w:cs="Times New Roman"/>
          <w:color w:val="auto"/>
          <w:sz w:val="32"/>
          <w:szCs w:val="32"/>
        </w:rPr>
      </w:pPr>
      <w:bookmarkStart w:id="53" w:name="_Toc112248399"/>
      <w:r>
        <w:rPr>
          <w:rFonts w:hint="default" w:ascii="Times New Roman" w:hAnsi="Times New Roman" w:eastAsia="仿宋_GB2312" w:cs="Times New Roman"/>
          <w:color w:val="auto"/>
          <w:sz w:val="32"/>
          <w:szCs w:val="32"/>
        </w:rPr>
        <w:t>2021年本年收入合计29,149.45万元，其中：一般公共预算财政拨款收入23,766.68万元，占81.53%；事业收入1,374.30万元，占4.72%；经营收入3,596.87万元，占12.34%；其他收入</w:t>
      </w:r>
      <w:r>
        <w:rPr>
          <w:rFonts w:hint="default" w:ascii="Times New Roman" w:hAnsi="Times New Roman" w:eastAsia="黑体" w:cs="Times New Roman"/>
          <w:bCs/>
          <w:color w:val="auto"/>
          <w:sz w:val="32"/>
          <w:szCs w:val="32"/>
        </w:rPr>
        <w:drawing>
          <wp:anchor distT="0" distB="0" distL="114300" distR="114300" simplePos="0" relativeHeight="251660288" behindDoc="0" locked="0" layoutInCell="1" allowOverlap="1">
            <wp:simplePos x="0" y="0"/>
            <wp:positionH relativeFrom="margin">
              <wp:posOffset>142240</wp:posOffset>
            </wp:positionH>
            <wp:positionV relativeFrom="margin">
              <wp:posOffset>450215</wp:posOffset>
            </wp:positionV>
            <wp:extent cx="5248275" cy="2924175"/>
            <wp:effectExtent l="4445" t="4445" r="5080" b="508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default" w:ascii="Times New Roman" w:hAnsi="Times New Roman" w:eastAsia="仿宋_GB2312" w:cs="Times New Roman"/>
          <w:color w:val="auto"/>
          <w:sz w:val="32"/>
          <w:szCs w:val="32"/>
        </w:rPr>
        <w:t>411.60万元，占1.41%。</w:t>
      </w:r>
      <w:bookmarkEnd w:id="53"/>
    </w:p>
    <w:p>
      <w:pPr>
        <w:pStyle w:val="32"/>
        <w:pageBreakBefore w:val="0"/>
        <w:kinsoku/>
        <w:wordWrap/>
        <w:overflowPunct/>
        <w:topLinePunct w:val="0"/>
        <w:bidi w:val="0"/>
        <w:spacing w:line="560" w:lineRule="exact"/>
        <w:ind w:left="640" w:firstLine="0" w:firstLineChars="0"/>
        <w:outlineLvl w:val="1"/>
        <w:rPr>
          <w:rStyle w:val="34"/>
          <w:rFonts w:hint="default" w:ascii="Times New Roman" w:hAnsi="Times New Roman" w:eastAsia="黑体" w:cs="Times New Roman"/>
          <w:b w:val="0"/>
          <w:color w:val="auto"/>
        </w:rPr>
      </w:pPr>
      <w:bookmarkStart w:id="54" w:name="_Toc112248400"/>
      <w:r>
        <w:rPr>
          <w:rFonts w:hint="default" w:ascii="Times New Roman" w:hAnsi="Times New Roman" w:eastAsia="黑体" w:cs="Times New Roman"/>
          <w:color w:val="auto"/>
          <w:sz w:val="32"/>
          <w:szCs w:val="32"/>
        </w:rPr>
        <w:t>三、支</w:t>
      </w:r>
      <w:r>
        <w:rPr>
          <w:rStyle w:val="34"/>
          <w:rFonts w:hint="default" w:ascii="Times New Roman" w:hAnsi="Times New Roman" w:eastAsia="黑体" w:cs="Times New Roman"/>
          <w:b w:val="0"/>
          <w:color w:val="auto"/>
        </w:rPr>
        <w:t>出决算情况说明</w:t>
      </w:r>
      <w:bookmarkEnd w:id="54"/>
    </w:p>
    <w:p>
      <w:pPr>
        <w:pageBreakBefore w:val="0"/>
        <w:kinsoku/>
        <w:wordWrap/>
        <w:overflowPunct/>
        <w:topLinePunct w:val="0"/>
        <w:bidi w:val="0"/>
        <w:spacing w:line="560" w:lineRule="exact"/>
        <w:ind w:firstLine="640" w:firstLineChars="200"/>
        <w:outlineLvl w:val="1"/>
        <w:rPr>
          <w:rFonts w:hint="default" w:ascii="Times New Roman" w:hAnsi="Times New Roman" w:eastAsia="仿宋_GB2312" w:cs="Times New Roman"/>
          <w:color w:val="auto"/>
          <w:sz w:val="32"/>
          <w:szCs w:val="32"/>
        </w:rPr>
      </w:pPr>
      <w:bookmarkStart w:id="55" w:name="_Toc112248401"/>
      <w:r>
        <w:rPr>
          <w:rFonts w:hint="default" w:ascii="Times New Roman" w:hAnsi="Times New Roman" w:eastAsia="仿宋_GB2312" w:cs="Times New Roman"/>
          <w:color w:val="auto"/>
          <w:sz w:val="32"/>
          <w:szCs w:val="32"/>
        </w:rPr>
        <w:drawing>
          <wp:anchor distT="0" distB="0" distL="114300" distR="114300" simplePos="0" relativeHeight="251661312" behindDoc="0" locked="0" layoutInCell="1" allowOverlap="1">
            <wp:simplePos x="0" y="0"/>
            <wp:positionH relativeFrom="column">
              <wp:posOffset>163830</wp:posOffset>
            </wp:positionH>
            <wp:positionV relativeFrom="paragraph">
              <wp:posOffset>1259205</wp:posOffset>
            </wp:positionV>
            <wp:extent cx="5250815" cy="2857500"/>
            <wp:effectExtent l="5080" t="4445" r="20955" b="1460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default" w:ascii="Times New Roman" w:hAnsi="Times New Roman" w:eastAsia="仿宋_GB2312" w:cs="Times New Roman"/>
          <w:color w:val="auto"/>
          <w:sz w:val="32"/>
          <w:szCs w:val="32"/>
        </w:rPr>
        <w:t>2021年本年支出合计28,149.42万元，其中：基本支出15,242.91万元，占54.15%；项目支出9,795.98万元，占34.80%；经营支出3,110.53万元，占11.05%。</w:t>
      </w:r>
      <w:bookmarkEnd w:id="55"/>
      <w:bookmarkStart w:id="56" w:name="_Toc112248402"/>
      <w:bookmarkStart w:id="57" w:name="_Toc15377208"/>
      <w:bookmarkStart w:id="58" w:name="_Toc15396606"/>
    </w:p>
    <w:p>
      <w:pPr>
        <w:pageBreakBefore w:val="0"/>
        <w:kinsoku/>
        <w:wordWrap/>
        <w:overflowPunct/>
        <w:topLinePunct w:val="0"/>
        <w:bidi w:val="0"/>
        <w:spacing w:line="560" w:lineRule="exact"/>
        <w:ind w:firstLine="640" w:firstLineChars="200"/>
        <w:outlineLvl w:val="1"/>
        <w:rPr>
          <w:rStyle w:val="34"/>
          <w:rFonts w:hint="default" w:ascii="Times New Roman" w:hAnsi="Times New Roman" w:eastAsia="黑体" w:cs="Times New Roman"/>
          <w:b w:val="0"/>
          <w:color w:val="auto"/>
        </w:rPr>
      </w:pPr>
      <w:r>
        <w:rPr>
          <w:rFonts w:hint="default" w:ascii="Times New Roman" w:hAnsi="Times New Roman" w:eastAsia="黑体" w:cs="Times New Roman"/>
          <w:color w:val="auto"/>
          <w:sz w:val="32"/>
          <w:szCs w:val="32"/>
        </w:rPr>
        <w:t>四、财</w:t>
      </w:r>
      <w:r>
        <w:rPr>
          <w:rStyle w:val="34"/>
          <w:rFonts w:hint="default" w:ascii="Times New Roman" w:hAnsi="Times New Roman" w:eastAsia="黑体" w:cs="Times New Roman"/>
          <w:b w:val="0"/>
          <w:color w:val="auto"/>
        </w:rPr>
        <w:t>政拨款收入支出决算总体情况说明</w:t>
      </w:r>
      <w:bookmarkEnd w:id="56"/>
      <w:bookmarkEnd w:id="57"/>
      <w:bookmarkEnd w:id="58"/>
    </w:p>
    <w:p>
      <w:pPr>
        <w:keepNext w:val="0"/>
        <w:keepLines w:val="0"/>
        <w:widowControl/>
        <w:suppressLineNumbers w:val="0"/>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2021年财政拨款收、支总计23,767.18万元。与2020年相比，财政拨款收、支总计各增加5,621.32 万元，增长30.98%。主要变动原因：</w:t>
      </w:r>
      <w:r>
        <w:rPr>
          <w:rFonts w:hint="default" w:ascii="Times New Roman" w:hAnsi="Times New Roman" w:eastAsia="仿宋_GB2312" w:cs="Times New Roman"/>
          <w:b/>
          <w:bCs/>
          <w:color w:val="auto"/>
          <w:sz w:val="32"/>
          <w:szCs w:val="32"/>
        </w:rPr>
        <w:t>一是</w:t>
      </w:r>
      <w:r>
        <w:rPr>
          <w:rFonts w:hint="default" w:ascii="Times New Roman" w:hAnsi="Times New Roman" w:eastAsia="仿宋_GB2312" w:cs="Times New Roman"/>
          <w:i w:val="0"/>
          <w:caps w:val="0"/>
          <w:color w:val="auto"/>
          <w:spacing w:val="0"/>
          <w:kern w:val="0"/>
          <w:sz w:val="31"/>
          <w:szCs w:val="31"/>
          <w:shd w:val="clear" w:fill="FFFFFF"/>
          <w:lang w:val="en-US" w:eastAsia="zh-CN" w:bidi="ar"/>
        </w:rPr>
        <w:t>下达我委作为预算主体购买服务省预算内基本建设投资等专项资金较上年增加2711.47万元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auto"/>
          <w:sz w:val="32"/>
          <w:szCs w:val="32"/>
        </w:rPr>
        <w:t>二是</w:t>
      </w:r>
      <w:r>
        <w:rPr>
          <w:rFonts w:hint="default" w:ascii="Times New Roman" w:hAnsi="Times New Roman" w:eastAsia="仿宋_GB2312" w:cs="Times New Roman"/>
          <w:color w:val="auto"/>
          <w:sz w:val="32"/>
          <w:szCs w:val="32"/>
        </w:rPr>
        <w:t>调资及新进人员等因素导致人员经费增加2359.2万元。</w:t>
      </w:r>
    </w:p>
    <w:p>
      <w:pPr>
        <w:pageBreakBefore w:val="0"/>
        <w:kinsoku/>
        <w:wordWrap/>
        <w:overflowPunct/>
        <w:topLinePunct w:val="0"/>
        <w:bidi w:val="0"/>
        <w:spacing w:line="560" w:lineRule="exact"/>
        <w:ind w:firstLine="640" w:firstLineChars="200"/>
        <w:outlineLvl w:val="1"/>
        <w:rPr>
          <w:rStyle w:val="34"/>
          <w:rFonts w:hint="default" w:ascii="Times New Roman" w:hAnsi="Times New Roman" w:eastAsia="黑体" w:cs="Times New Roman"/>
          <w:b w:val="0"/>
          <w:color w:val="auto"/>
        </w:rPr>
      </w:pPr>
      <w:bookmarkStart w:id="59" w:name="_Toc15377210"/>
      <w:r>
        <w:rPr>
          <w:rFonts w:hint="default" w:ascii="Times New Roman" w:hAnsi="Times New Roman" w:eastAsia="仿宋_GB2312" w:cs="Times New Roman"/>
          <w:color w:val="auto"/>
          <w:sz w:val="32"/>
          <w:szCs w:val="32"/>
        </w:rPr>
        <w:drawing>
          <wp:anchor distT="0" distB="0" distL="114300" distR="114300" simplePos="0" relativeHeight="251662336" behindDoc="0" locked="0" layoutInCell="1" allowOverlap="1">
            <wp:simplePos x="0" y="0"/>
            <wp:positionH relativeFrom="column">
              <wp:posOffset>165735</wp:posOffset>
            </wp:positionH>
            <wp:positionV relativeFrom="paragraph">
              <wp:posOffset>105410</wp:posOffset>
            </wp:positionV>
            <wp:extent cx="5430520" cy="2493645"/>
            <wp:effectExtent l="4445" t="4445" r="13335" b="16510"/>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bookmarkStart w:id="60" w:name="_Toc112248403"/>
      <w:r>
        <w:rPr>
          <w:rFonts w:hint="default" w:ascii="Times New Roman" w:hAnsi="Times New Roman" w:eastAsia="黑体" w:cs="Times New Roman"/>
          <w:color w:val="auto"/>
          <w:sz w:val="32"/>
          <w:szCs w:val="32"/>
        </w:rPr>
        <w:t>五、</w:t>
      </w:r>
      <w:r>
        <w:rPr>
          <w:rFonts w:hint="default" w:ascii="Times New Roman" w:hAnsi="Times New Roman" w:eastAsia="黑体" w:cs="Times New Roman"/>
          <w:b/>
          <w:color w:val="auto"/>
          <w:sz w:val="32"/>
          <w:szCs w:val="32"/>
        </w:rPr>
        <w:t>一</w:t>
      </w:r>
      <w:r>
        <w:rPr>
          <w:rStyle w:val="34"/>
          <w:rFonts w:hint="default" w:ascii="Times New Roman" w:hAnsi="Times New Roman" w:eastAsia="黑体" w:cs="Times New Roman"/>
          <w:b w:val="0"/>
          <w:color w:val="auto"/>
        </w:rPr>
        <w:t>般公共预算财政拨款支出决算情况说明</w:t>
      </w:r>
      <w:bookmarkEnd w:id="60"/>
    </w:p>
    <w:p>
      <w:pPr>
        <w:pageBreakBefore w:val="0"/>
        <w:kinsoku/>
        <w:wordWrap/>
        <w:overflowPunct/>
        <w:topLinePunct w:val="0"/>
        <w:bidi w:val="0"/>
        <w:spacing w:line="560" w:lineRule="exact"/>
        <w:ind w:firstLine="642" w:firstLineChars="200"/>
        <w:outlineLvl w:val="2"/>
        <w:rPr>
          <w:rFonts w:hint="default" w:ascii="Times New Roman" w:hAnsi="Times New Roman" w:eastAsia="楷体_GB2312" w:cs="Times New Roman"/>
          <w:b/>
          <w:bCs w:val="0"/>
          <w:color w:val="auto"/>
          <w:sz w:val="32"/>
          <w:szCs w:val="32"/>
        </w:rPr>
      </w:pPr>
      <w:bookmarkStart w:id="61" w:name="_Toc112248404"/>
      <w:r>
        <w:rPr>
          <w:rFonts w:hint="default" w:ascii="Times New Roman" w:hAnsi="Times New Roman" w:eastAsia="楷体_GB2312" w:cs="Times New Roman"/>
          <w:b/>
          <w:bCs w:val="0"/>
          <w:color w:val="auto"/>
          <w:sz w:val="32"/>
          <w:szCs w:val="32"/>
        </w:rPr>
        <w:t>（一）一般公共预算财政拨款支出决算总体情况</w:t>
      </w:r>
      <w:bookmarkEnd w:id="59"/>
      <w:r>
        <w:rPr>
          <w:rFonts w:hint="default" w:ascii="Times New Roman" w:hAnsi="Times New Roman" w:eastAsia="楷体_GB2312" w:cs="Times New Roman"/>
          <w:b/>
          <w:bCs w:val="0"/>
          <w:color w:val="auto"/>
          <w:sz w:val="32"/>
          <w:szCs w:val="32"/>
        </w:rPr>
        <w:t>。</w:t>
      </w:r>
      <w:bookmarkEnd w:id="61"/>
    </w:p>
    <w:p>
      <w:pPr>
        <w:keepNext w:val="0"/>
        <w:keepLines w:val="0"/>
        <w:widowControl/>
        <w:suppressLineNumbers w:val="0"/>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2021年一般公共预算财政拨款支出23,766.68万元，占本年支出合计的84.43%。与2020年相比，一般公共预算财政拨款支出增加5,621.32 万元，增长30.98%。主要变动原因：</w:t>
      </w:r>
      <w:r>
        <w:rPr>
          <w:rFonts w:hint="default" w:ascii="Times New Roman" w:hAnsi="Times New Roman" w:eastAsia="仿宋_GB2312" w:cs="Times New Roman"/>
          <w:b/>
          <w:bCs/>
          <w:color w:val="auto"/>
          <w:sz w:val="32"/>
          <w:szCs w:val="32"/>
        </w:rPr>
        <w:t>一是</w:t>
      </w:r>
      <w:r>
        <w:rPr>
          <w:rFonts w:hint="default" w:ascii="Times New Roman" w:hAnsi="Times New Roman" w:eastAsia="仿宋_GB2312" w:cs="Times New Roman"/>
          <w:i w:val="0"/>
          <w:caps w:val="0"/>
          <w:color w:val="auto"/>
          <w:spacing w:val="0"/>
          <w:kern w:val="0"/>
          <w:sz w:val="31"/>
          <w:szCs w:val="31"/>
          <w:shd w:val="clear" w:fill="FFFFFF"/>
          <w:lang w:val="en-US" w:eastAsia="zh-CN" w:bidi="ar"/>
        </w:rPr>
        <w:t>下达我委作为预算主体购买服务省预算内基本建设投资等专项资金较上年增加2711.47万元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auto"/>
          <w:sz w:val="32"/>
          <w:szCs w:val="32"/>
        </w:rPr>
        <w:t>二是</w:t>
      </w:r>
      <w:r>
        <w:rPr>
          <w:rFonts w:hint="default" w:ascii="Times New Roman" w:hAnsi="Times New Roman" w:eastAsia="仿宋_GB2312" w:cs="Times New Roman"/>
          <w:color w:val="auto"/>
          <w:sz w:val="32"/>
          <w:szCs w:val="32"/>
        </w:rPr>
        <w:t>调资及新进人员等因素导致人员经费增加2359.2万元。</w:t>
      </w:r>
    </w:p>
    <w:p>
      <w:pPr>
        <w:pageBreakBefore w:val="0"/>
        <w:kinsoku/>
        <w:wordWrap/>
        <w:overflowPunct/>
        <w:topLinePunct w:val="0"/>
        <w:bidi w:val="0"/>
        <w:spacing w:line="560" w:lineRule="exact"/>
        <w:ind w:firstLine="641"/>
        <w:rPr>
          <w:rFonts w:hint="default" w:ascii="Times New Roman" w:hAnsi="Times New Roman" w:eastAsia="楷体_GB2312" w:cs="Times New Roman"/>
          <w:b/>
          <w:bCs w:val="0"/>
          <w:color w:val="auto"/>
          <w:sz w:val="32"/>
          <w:szCs w:val="32"/>
        </w:rPr>
      </w:pPr>
      <w:r>
        <w:rPr>
          <w:rFonts w:hint="default" w:ascii="Times New Roman" w:hAnsi="Times New Roman" w:eastAsia="楷体_GB2312" w:cs="Times New Roman"/>
          <w:b/>
          <w:bCs w:val="0"/>
          <w:color w:val="auto"/>
          <w:sz w:val="32"/>
          <w:szCs w:val="32"/>
        </w:rPr>
        <w:drawing>
          <wp:anchor distT="0" distB="0" distL="114300" distR="114300" simplePos="0" relativeHeight="251663360" behindDoc="0" locked="0" layoutInCell="1" allowOverlap="1">
            <wp:simplePos x="0" y="0"/>
            <wp:positionH relativeFrom="column">
              <wp:posOffset>147955</wp:posOffset>
            </wp:positionH>
            <wp:positionV relativeFrom="paragraph">
              <wp:posOffset>5715</wp:posOffset>
            </wp:positionV>
            <wp:extent cx="5423535" cy="2478405"/>
            <wp:effectExtent l="4445" t="4445" r="20320" b="12700"/>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bookmarkStart w:id="62" w:name="_Toc15377211"/>
      <w:bookmarkStart w:id="63" w:name="_Toc112248405"/>
      <w:r>
        <w:rPr>
          <w:rFonts w:hint="default" w:ascii="Times New Roman" w:hAnsi="Times New Roman" w:eastAsia="楷体_GB2312" w:cs="Times New Roman"/>
          <w:b/>
          <w:bCs w:val="0"/>
          <w:color w:val="auto"/>
          <w:sz w:val="32"/>
          <w:szCs w:val="32"/>
        </w:rPr>
        <w:t>（二）一般公共预算财政拨款支出决算结构情况</w:t>
      </w:r>
      <w:bookmarkEnd w:id="62"/>
      <w:r>
        <w:rPr>
          <w:rFonts w:hint="default" w:ascii="Times New Roman" w:hAnsi="Times New Roman" w:eastAsia="楷体_GB2312" w:cs="Times New Roman"/>
          <w:b/>
          <w:bCs w:val="0"/>
          <w:color w:val="auto"/>
          <w:sz w:val="32"/>
          <w:szCs w:val="32"/>
        </w:rPr>
        <w:t>。</w:t>
      </w:r>
      <w:bookmarkEnd w:id="63"/>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drawing>
          <wp:anchor distT="0" distB="0" distL="114300" distR="114300" simplePos="0" relativeHeight="251664384" behindDoc="0" locked="0" layoutInCell="1" allowOverlap="1">
            <wp:simplePos x="0" y="0"/>
            <wp:positionH relativeFrom="column">
              <wp:posOffset>240030</wp:posOffset>
            </wp:positionH>
            <wp:positionV relativeFrom="paragraph">
              <wp:posOffset>2541270</wp:posOffset>
            </wp:positionV>
            <wp:extent cx="5300345" cy="2457450"/>
            <wp:effectExtent l="4445" t="4445" r="10160" b="14605"/>
            <wp:wrapTopAndBottom/>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default" w:ascii="Times New Roman" w:hAnsi="Times New Roman" w:eastAsia="仿宋_GB2312" w:cs="Times New Roman"/>
          <w:color w:val="auto"/>
          <w:sz w:val="32"/>
          <w:szCs w:val="32"/>
        </w:rPr>
        <w:t>2021年一般公共预算财政拨款支出23,766.68万元，主要用于以下方面:</w:t>
      </w:r>
      <w:r>
        <w:rPr>
          <w:rFonts w:hint="default" w:ascii="Times New Roman" w:hAnsi="Times New Roman" w:eastAsia="仿宋_GB2312" w:cs="Times New Roman"/>
          <w:b/>
          <w:bCs/>
          <w:color w:val="auto"/>
          <w:sz w:val="32"/>
          <w:szCs w:val="32"/>
        </w:rPr>
        <w:t>一般公共服务（类）</w:t>
      </w:r>
      <w:r>
        <w:rPr>
          <w:rFonts w:hint="default" w:ascii="Times New Roman" w:hAnsi="Times New Roman" w:eastAsia="仿宋_GB2312" w:cs="Times New Roman"/>
          <w:color w:val="auto"/>
          <w:sz w:val="32"/>
          <w:szCs w:val="32"/>
        </w:rPr>
        <w:t>支出17,764.60万元，占74.74%；</w:t>
      </w:r>
      <w:r>
        <w:rPr>
          <w:rFonts w:hint="default" w:ascii="Times New Roman" w:hAnsi="Times New Roman" w:eastAsia="仿宋_GB2312" w:cs="Times New Roman"/>
          <w:b/>
          <w:bCs/>
          <w:color w:val="auto"/>
          <w:sz w:val="32"/>
          <w:szCs w:val="32"/>
        </w:rPr>
        <w:t>教育支出（类）</w:t>
      </w:r>
      <w:r>
        <w:rPr>
          <w:rFonts w:hint="default" w:ascii="Times New Roman" w:hAnsi="Times New Roman" w:eastAsia="仿宋_GB2312" w:cs="Times New Roman"/>
          <w:color w:val="auto"/>
          <w:sz w:val="32"/>
          <w:szCs w:val="32"/>
        </w:rPr>
        <w:t>75.80万元，占0.32%；</w:t>
      </w:r>
      <w:r>
        <w:rPr>
          <w:rFonts w:hint="default" w:ascii="Times New Roman" w:hAnsi="Times New Roman" w:eastAsia="仿宋_GB2312" w:cs="Times New Roman"/>
          <w:b/>
          <w:bCs/>
          <w:color w:val="auto"/>
          <w:sz w:val="32"/>
          <w:szCs w:val="32"/>
        </w:rPr>
        <w:t>科学技术（类）</w:t>
      </w:r>
      <w:r>
        <w:rPr>
          <w:rFonts w:hint="default" w:ascii="Times New Roman" w:hAnsi="Times New Roman" w:eastAsia="仿宋_GB2312" w:cs="Times New Roman"/>
          <w:color w:val="auto"/>
          <w:sz w:val="32"/>
          <w:szCs w:val="32"/>
        </w:rPr>
        <w:t>支出435.60万元，占1.83%；</w:t>
      </w:r>
      <w:r>
        <w:rPr>
          <w:rFonts w:hint="default" w:ascii="Times New Roman" w:hAnsi="Times New Roman" w:eastAsia="仿宋_GB2312" w:cs="Times New Roman"/>
          <w:b/>
          <w:bCs/>
          <w:color w:val="auto"/>
          <w:sz w:val="32"/>
          <w:szCs w:val="32"/>
        </w:rPr>
        <w:t>社会保障和就业（类）</w:t>
      </w:r>
      <w:r>
        <w:rPr>
          <w:rFonts w:hint="default" w:ascii="Times New Roman" w:hAnsi="Times New Roman" w:eastAsia="仿宋_GB2312" w:cs="Times New Roman"/>
          <w:color w:val="auto"/>
          <w:sz w:val="32"/>
          <w:szCs w:val="32"/>
        </w:rPr>
        <w:t>支出2,972.68万元，占12.51%；</w:t>
      </w:r>
      <w:r>
        <w:rPr>
          <w:rFonts w:hint="default" w:ascii="Times New Roman" w:hAnsi="Times New Roman" w:eastAsia="仿宋_GB2312" w:cs="Times New Roman"/>
          <w:b/>
          <w:bCs/>
          <w:color w:val="auto"/>
          <w:sz w:val="32"/>
          <w:szCs w:val="32"/>
        </w:rPr>
        <w:t>卫生健康支出</w:t>
      </w:r>
      <w:r>
        <w:rPr>
          <w:rFonts w:hint="default" w:ascii="Times New Roman" w:hAnsi="Times New Roman" w:eastAsia="仿宋_GB2312" w:cs="Times New Roman"/>
          <w:color w:val="auto"/>
          <w:sz w:val="32"/>
          <w:szCs w:val="32"/>
        </w:rPr>
        <w:t>710.46万元，占2.99%；</w:t>
      </w:r>
      <w:r>
        <w:rPr>
          <w:rFonts w:hint="default" w:ascii="Times New Roman" w:hAnsi="Times New Roman" w:eastAsia="仿宋_GB2312" w:cs="Times New Roman"/>
          <w:b/>
          <w:bCs/>
          <w:color w:val="auto"/>
          <w:sz w:val="32"/>
          <w:szCs w:val="32"/>
        </w:rPr>
        <w:t>住房保障支出</w:t>
      </w:r>
      <w:r>
        <w:rPr>
          <w:rFonts w:hint="default" w:ascii="Times New Roman" w:hAnsi="Times New Roman" w:eastAsia="仿宋_GB2312" w:cs="Times New Roman"/>
          <w:color w:val="auto"/>
          <w:sz w:val="32"/>
          <w:szCs w:val="32"/>
        </w:rPr>
        <w:t>1,270.97万元，占5.35%；</w:t>
      </w:r>
      <w:r>
        <w:rPr>
          <w:rFonts w:hint="default" w:ascii="Times New Roman" w:hAnsi="Times New Roman" w:eastAsia="仿宋_GB2312" w:cs="Times New Roman"/>
          <w:b/>
          <w:bCs/>
          <w:color w:val="auto"/>
          <w:sz w:val="32"/>
          <w:szCs w:val="32"/>
        </w:rPr>
        <w:t>灾害防治及应急管理支出</w:t>
      </w:r>
      <w:r>
        <w:rPr>
          <w:rFonts w:hint="default" w:ascii="Times New Roman" w:hAnsi="Times New Roman" w:eastAsia="仿宋_GB2312" w:cs="Times New Roman"/>
          <w:color w:val="auto"/>
          <w:sz w:val="32"/>
          <w:szCs w:val="32"/>
        </w:rPr>
        <w:t>9.57万元，占0.04%；</w:t>
      </w:r>
      <w:r>
        <w:rPr>
          <w:rFonts w:hint="default" w:ascii="Times New Roman" w:hAnsi="Times New Roman" w:eastAsia="仿宋_GB2312" w:cs="Times New Roman"/>
          <w:b/>
          <w:bCs/>
          <w:color w:val="auto"/>
          <w:sz w:val="32"/>
          <w:szCs w:val="32"/>
        </w:rPr>
        <w:t>节能环保支出</w:t>
      </w:r>
      <w:r>
        <w:rPr>
          <w:rFonts w:hint="default" w:ascii="Times New Roman" w:hAnsi="Times New Roman" w:eastAsia="仿宋_GB2312" w:cs="Times New Roman"/>
          <w:color w:val="auto"/>
          <w:sz w:val="32"/>
          <w:szCs w:val="32"/>
        </w:rPr>
        <w:t>527.00万元，占2.22%。</w:t>
      </w:r>
    </w:p>
    <w:p>
      <w:pPr>
        <w:pageBreakBefore w:val="0"/>
        <w:kinsoku/>
        <w:wordWrap/>
        <w:overflowPunct/>
        <w:topLinePunct w:val="0"/>
        <w:bidi w:val="0"/>
        <w:spacing w:line="560" w:lineRule="exact"/>
        <w:ind w:firstLine="642" w:firstLineChars="200"/>
        <w:outlineLvl w:val="2"/>
        <w:rPr>
          <w:rFonts w:hint="default" w:ascii="Times New Roman" w:hAnsi="Times New Roman" w:eastAsia="楷体_GB2312" w:cs="Times New Roman"/>
          <w:b/>
          <w:bCs w:val="0"/>
          <w:color w:val="auto"/>
          <w:sz w:val="32"/>
          <w:szCs w:val="32"/>
        </w:rPr>
      </w:pPr>
      <w:bookmarkStart w:id="64" w:name="_Toc15377212"/>
      <w:bookmarkStart w:id="65" w:name="_Toc112248406"/>
      <w:r>
        <w:rPr>
          <w:rFonts w:hint="default" w:ascii="Times New Roman" w:hAnsi="Times New Roman" w:eastAsia="楷体_GB2312" w:cs="Times New Roman"/>
          <w:b/>
          <w:bCs w:val="0"/>
          <w:color w:val="auto"/>
          <w:sz w:val="32"/>
          <w:szCs w:val="32"/>
        </w:rPr>
        <w:t>（三）一般公共预算财政拨款支出决算具体情况</w:t>
      </w:r>
      <w:bookmarkEnd w:id="64"/>
      <w:r>
        <w:rPr>
          <w:rFonts w:hint="default" w:ascii="Times New Roman" w:hAnsi="Times New Roman" w:eastAsia="楷体_GB2312" w:cs="Times New Roman"/>
          <w:b/>
          <w:bCs w:val="0"/>
          <w:color w:val="auto"/>
          <w:sz w:val="32"/>
          <w:szCs w:val="32"/>
        </w:rPr>
        <w:t>。</w:t>
      </w:r>
      <w:bookmarkEnd w:id="65"/>
    </w:p>
    <w:p>
      <w:pPr>
        <w:pageBreakBefore w:val="0"/>
        <w:kinsoku/>
        <w:wordWrap/>
        <w:overflowPunct/>
        <w:topLinePunct w:val="0"/>
        <w:bidi w:val="0"/>
        <w:spacing w:line="560" w:lineRule="exact"/>
        <w:ind w:firstLine="640" w:firstLineChars="200"/>
        <w:outlineLvl w:val="2"/>
        <w:rPr>
          <w:rStyle w:val="23"/>
          <w:rFonts w:hint="default" w:ascii="Times New Roman" w:hAnsi="Times New Roman" w:eastAsia="仿宋_GB2312" w:cs="Times New Roman"/>
          <w:b w:val="0"/>
          <w:bCs/>
          <w:color w:val="auto"/>
          <w:sz w:val="32"/>
          <w:szCs w:val="32"/>
        </w:rPr>
      </w:pPr>
      <w:bookmarkStart w:id="66" w:name="_Toc112248407"/>
      <w:bookmarkStart w:id="67" w:name="_Toc15377444"/>
      <w:bookmarkStart w:id="68" w:name="_Toc15378460"/>
      <w:bookmarkStart w:id="69" w:name="_Toc15377213"/>
      <w:r>
        <w:rPr>
          <w:rFonts w:hint="default" w:ascii="Times New Roman" w:hAnsi="Times New Roman" w:eastAsia="仿宋_GB2312" w:cs="Times New Roman"/>
          <w:b w:val="0"/>
          <w:bCs/>
          <w:color w:val="auto"/>
          <w:sz w:val="32"/>
          <w:szCs w:val="32"/>
        </w:rPr>
        <w:t>2021年一般公共预算支出决算数为23,766.68万元，</w:t>
      </w:r>
      <w:r>
        <w:rPr>
          <w:rStyle w:val="23"/>
          <w:rFonts w:hint="default" w:ascii="Times New Roman" w:hAnsi="Times New Roman" w:eastAsia="仿宋_GB2312" w:cs="Times New Roman"/>
          <w:b w:val="0"/>
          <w:bCs/>
          <w:color w:val="auto"/>
          <w:sz w:val="32"/>
          <w:szCs w:val="32"/>
        </w:rPr>
        <w:t>完成预算100%。其中：</w:t>
      </w:r>
      <w:bookmarkEnd w:id="66"/>
      <w:bookmarkEnd w:id="67"/>
      <w:bookmarkEnd w:id="68"/>
      <w:bookmarkEnd w:id="69"/>
    </w:p>
    <w:p>
      <w:pPr>
        <w:pageBreakBefore w:val="0"/>
        <w:kinsoku/>
        <w:wordWrap/>
        <w:overflowPunct/>
        <w:topLinePunct w:val="0"/>
        <w:bidi w:val="0"/>
        <w:spacing w:line="560" w:lineRule="exact"/>
        <w:ind w:firstLine="642" w:firstLineChars="200"/>
        <w:rPr>
          <w:rStyle w:val="23"/>
          <w:rFonts w:hint="default" w:ascii="Times New Roman" w:hAnsi="Times New Roman" w:eastAsia="仿宋_GB2312" w:cs="Times New Roman"/>
          <w:b w:val="0"/>
          <w:bCs/>
          <w:color w:val="auto"/>
          <w:sz w:val="32"/>
          <w:szCs w:val="32"/>
        </w:rPr>
      </w:pPr>
      <w:r>
        <w:rPr>
          <w:rStyle w:val="23"/>
          <w:rFonts w:hint="default" w:ascii="Times New Roman" w:hAnsi="Times New Roman" w:eastAsia="仿宋_GB2312" w:cs="Times New Roman"/>
          <w:bCs/>
          <w:color w:val="auto"/>
          <w:sz w:val="32"/>
          <w:szCs w:val="32"/>
        </w:rPr>
        <w:t>1.一般公共服务支出（类）发展与改革事务（款）行政运行（项）:</w:t>
      </w:r>
      <w:r>
        <w:rPr>
          <w:rStyle w:val="23"/>
          <w:rFonts w:hint="default" w:ascii="Times New Roman" w:hAnsi="Times New Roman" w:eastAsia="仿宋_GB2312" w:cs="Times New Roman"/>
          <w:b w:val="0"/>
          <w:bCs/>
          <w:color w:val="auto"/>
          <w:sz w:val="32"/>
          <w:szCs w:val="32"/>
        </w:rPr>
        <w:t>支出决算为</w:t>
      </w:r>
      <w:r>
        <w:rPr>
          <w:rFonts w:hint="default" w:ascii="Times New Roman" w:hAnsi="Times New Roman" w:eastAsia="仿宋_GB2312" w:cs="Times New Roman"/>
          <w:bCs/>
          <w:color w:val="auto"/>
          <w:sz w:val="32"/>
          <w:szCs w:val="32"/>
        </w:rPr>
        <w:t>7,261.21</w:t>
      </w:r>
      <w:r>
        <w:rPr>
          <w:rStyle w:val="23"/>
          <w:rFonts w:hint="default" w:ascii="Times New Roman" w:hAnsi="Times New Roman" w:eastAsia="仿宋_GB2312" w:cs="Times New Roman"/>
          <w:b w:val="0"/>
          <w:bCs/>
          <w:color w:val="auto"/>
          <w:sz w:val="32"/>
          <w:szCs w:val="32"/>
        </w:rPr>
        <w:t>万元，完成预算100%，决算数等于预算数。</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bCs/>
          <w:color w:val="auto"/>
          <w:sz w:val="32"/>
          <w:szCs w:val="32"/>
        </w:rPr>
      </w:pPr>
      <w:r>
        <w:rPr>
          <w:rStyle w:val="23"/>
          <w:rFonts w:hint="default" w:ascii="Times New Roman" w:hAnsi="Times New Roman" w:eastAsia="仿宋_GB2312" w:cs="Times New Roman"/>
          <w:bCs/>
          <w:color w:val="auto"/>
          <w:sz w:val="32"/>
          <w:szCs w:val="32"/>
        </w:rPr>
        <w:t>2.一般公共服务支出（类）发展与改革事务（款）一般行政管理事务（项）:</w:t>
      </w:r>
      <w:r>
        <w:rPr>
          <w:rStyle w:val="23"/>
          <w:rFonts w:hint="default" w:ascii="Times New Roman" w:hAnsi="Times New Roman" w:eastAsia="仿宋_GB2312" w:cs="Times New Roman"/>
          <w:b w:val="0"/>
          <w:bCs/>
          <w:color w:val="auto"/>
          <w:sz w:val="32"/>
          <w:szCs w:val="32"/>
        </w:rPr>
        <w:t>支出决算为</w:t>
      </w:r>
      <w:r>
        <w:rPr>
          <w:rFonts w:hint="default" w:ascii="Times New Roman" w:hAnsi="Times New Roman" w:eastAsia="仿宋_GB2312" w:cs="Times New Roman"/>
          <w:bCs/>
          <w:color w:val="auto"/>
          <w:sz w:val="32"/>
          <w:szCs w:val="32"/>
        </w:rPr>
        <w:t>2,508.23</w:t>
      </w:r>
      <w:r>
        <w:rPr>
          <w:rStyle w:val="23"/>
          <w:rFonts w:hint="default" w:ascii="Times New Roman" w:hAnsi="Times New Roman" w:eastAsia="仿宋_GB2312" w:cs="Times New Roman"/>
          <w:b w:val="0"/>
          <w:bCs/>
          <w:color w:val="auto"/>
          <w:sz w:val="32"/>
          <w:szCs w:val="32"/>
        </w:rPr>
        <w:t>万元，完成预算100%，决算数等于预算数。</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bCs/>
          <w:color w:val="auto"/>
          <w:sz w:val="32"/>
          <w:szCs w:val="32"/>
        </w:rPr>
      </w:pPr>
      <w:r>
        <w:rPr>
          <w:rStyle w:val="23"/>
          <w:rFonts w:hint="default" w:ascii="Times New Roman" w:hAnsi="Times New Roman" w:eastAsia="仿宋_GB2312" w:cs="Times New Roman"/>
          <w:bCs/>
          <w:color w:val="auto"/>
          <w:sz w:val="32"/>
          <w:szCs w:val="32"/>
        </w:rPr>
        <w:t>3.一般公共服务支出（类）发展与改革事务（款）机关服务（项）:</w:t>
      </w:r>
      <w:r>
        <w:rPr>
          <w:rStyle w:val="23"/>
          <w:rFonts w:hint="default" w:ascii="Times New Roman" w:hAnsi="Times New Roman" w:eastAsia="仿宋_GB2312" w:cs="Times New Roman"/>
          <w:b w:val="0"/>
          <w:bCs/>
          <w:color w:val="auto"/>
          <w:sz w:val="32"/>
          <w:szCs w:val="32"/>
        </w:rPr>
        <w:t>支出决算为</w:t>
      </w:r>
      <w:r>
        <w:rPr>
          <w:rFonts w:hint="default" w:ascii="Times New Roman" w:hAnsi="Times New Roman" w:eastAsia="仿宋_GB2312" w:cs="Times New Roman"/>
          <w:bCs/>
          <w:color w:val="auto"/>
          <w:sz w:val="32"/>
          <w:szCs w:val="32"/>
        </w:rPr>
        <w:t>449.25</w:t>
      </w:r>
      <w:r>
        <w:rPr>
          <w:rStyle w:val="23"/>
          <w:rFonts w:hint="default" w:ascii="Times New Roman" w:hAnsi="Times New Roman" w:eastAsia="仿宋_GB2312" w:cs="Times New Roman"/>
          <w:b w:val="0"/>
          <w:bCs/>
          <w:color w:val="auto"/>
          <w:sz w:val="32"/>
          <w:szCs w:val="32"/>
        </w:rPr>
        <w:t>万元，完成预算100%，决算数等于预算数。</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bCs/>
          <w:color w:val="auto"/>
          <w:sz w:val="32"/>
          <w:szCs w:val="32"/>
        </w:rPr>
      </w:pPr>
      <w:r>
        <w:rPr>
          <w:rStyle w:val="23"/>
          <w:rFonts w:hint="default" w:ascii="Times New Roman" w:hAnsi="Times New Roman" w:eastAsia="仿宋_GB2312" w:cs="Times New Roman"/>
          <w:bCs/>
          <w:color w:val="auto"/>
          <w:sz w:val="32"/>
          <w:szCs w:val="32"/>
        </w:rPr>
        <w:t>4.一般公共服务支出（类）发展与改革事务（款）战略规划与实施（项）:</w:t>
      </w:r>
      <w:r>
        <w:rPr>
          <w:rStyle w:val="23"/>
          <w:rFonts w:hint="default" w:ascii="Times New Roman" w:hAnsi="Times New Roman" w:eastAsia="仿宋_GB2312" w:cs="Times New Roman"/>
          <w:b w:val="0"/>
          <w:bCs/>
          <w:color w:val="auto"/>
          <w:sz w:val="32"/>
          <w:szCs w:val="32"/>
        </w:rPr>
        <w:t>支出决算为</w:t>
      </w:r>
      <w:r>
        <w:rPr>
          <w:rFonts w:hint="default" w:ascii="Times New Roman" w:hAnsi="Times New Roman" w:eastAsia="仿宋_GB2312" w:cs="Times New Roman"/>
          <w:bCs/>
          <w:color w:val="auto"/>
          <w:sz w:val="32"/>
          <w:szCs w:val="32"/>
        </w:rPr>
        <w:t>905.64</w:t>
      </w:r>
      <w:r>
        <w:rPr>
          <w:rStyle w:val="23"/>
          <w:rFonts w:hint="default" w:ascii="Times New Roman" w:hAnsi="Times New Roman" w:eastAsia="仿宋_GB2312" w:cs="Times New Roman"/>
          <w:b w:val="0"/>
          <w:bCs/>
          <w:color w:val="auto"/>
          <w:sz w:val="32"/>
          <w:szCs w:val="32"/>
        </w:rPr>
        <w:t>万元，完成预算100%，决算数等于预算数。</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bCs/>
          <w:color w:val="auto"/>
          <w:sz w:val="32"/>
          <w:szCs w:val="32"/>
        </w:rPr>
      </w:pPr>
      <w:r>
        <w:rPr>
          <w:rStyle w:val="23"/>
          <w:rFonts w:hint="default" w:ascii="Times New Roman" w:hAnsi="Times New Roman" w:eastAsia="仿宋_GB2312" w:cs="Times New Roman"/>
          <w:bCs/>
          <w:color w:val="auto"/>
          <w:sz w:val="32"/>
          <w:szCs w:val="32"/>
        </w:rPr>
        <w:t>5.一般公共服务支出（类）发展与改革事务（款）物价管理（项）:</w:t>
      </w:r>
      <w:r>
        <w:rPr>
          <w:rStyle w:val="23"/>
          <w:rFonts w:hint="default" w:ascii="Times New Roman" w:hAnsi="Times New Roman" w:eastAsia="仿宋_GB2312" w:cs="Times New Roman"/>
          <w:b w:val="0"/>
          <w:bCs/>
          <w:color w:val="auto"/>
          <w:sz w:val="32"/>
          <w:szCs w:val="32"/>
        </w:rPr>
        <w:t>支出决算为</w:t>
      </w:r>
      <w:r>
        <w:rPr>
          <w:rFonts w:hint="default" w:ascii="Times New Roman" w:hAnsi="Times New Roman" w:eastAsia="仿宋_GB2312" w:cs="Times New Roman"/>
          <w:bCs/>
          <w:color w:val="auto"/>
          <w:sz w:val="32"/>
          <w:szCs w:val="32"/>
        </w:rPr>
        <w:t>207.95</w:t>
      </w:r>
      <w:r>
        <w:rPr>
          <w:rStyle w:val="23"/>
          <w:rFonts w:hint="default" w:ascii="Times New Roman" w:hAnsi="Times New Roman" w:eastAsia="仿宋_GB2312" w:cs="Times New Roman"/>
          <w:b w:val="0"/>
          <w:bCs/>
          <w:color w:val="auto"/>
          <w:sz w:val="32"/>
          <w:szCs w:val="32"/>
        </w:rPr>
        <w:t>万元，完成预算99.76%，</w:t>
      </w:r>
      <w:r>
        <w:rPr>
          <w:rFonts w:hint="default" w:ascii="Times New Roman" w:hAnsi="Times New Roman" w:eastAsia="仿宋_GB2312" w:cs="Times New Roman"/>
          <w:color w:val="auto"/>
          <w:sz w:val="32"/>
          <w:szCs w:val="32"/>
          <w:shd w:val="clear" w:color="auto" w:fill="FFFFFF"/>
        </w:rPr>
        <w:t>决算数小于预算数的主要原因：差额0.5万元为省价格监测局使用财政资金支付的复印机租赁押金，账面上未列支，形成财政拨款结转。</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b/>
          <w:color w:val="auto"/>
          <w:sz w:val="32"/>
          <w:szCs w:val="32"/>
        </w:rPr>
      </w:pPr>
      <w:r>
        <w:rPr>
          <w:rStyle w:val="23"/>
          <w:rFonts w:hint="default" w:ascii="Times New Roman" w:hAnsi="Times New Roman" w:eastAsia="仿宋_GB2312" w:cs="Times New Roman"/>
          <w:bCs/>
          <w:color w:val="auto"/>
          <w:sz w:val="32"/>
          <w:szCs w:val="32"/>
        </w:rPr>
        <w:t>6.一般公共服务支出（类）发展与改革事务（款）事业运行（项）:</w:t>
      </w:r>
      <w:r>
        <w:rPr>
          <w:rStyle w:val="23"/>
          <w:rFonts w:hint="default" w:ascii="Times New Roman" w:hAnsi="Times New Roman" w:eastAsia="仿宋_GB2312" w:cs="Times New Roman"/>
          <w:b w:val="0"/>
          <w:bCs/>
          <w:color w:val="auto"/>
          <w:sz w:val="32"/>
          <w:szCs w:val="32"/>
        </w:rPr>
        <w:t>支出决算为652.73万元，完成预算100%，决算数等于预算数。</w:t>
      </w:r>
    </w:p>
    <w:p>
      <w:pPr>
        <w:pageBreakBefore w:val="0"/>
        <w:kinsoku/>
        <w:wordWrap/>
        <w:overflowPunct/>
        <w:topLinePunct w:val="0"/>
        <w:bidi w:val="0"/>
        <w:spacing w:line="560" w:lineRule="exact"/>
        <w:ind w:firstLine="642" w:firstLineChars="200"/>
        <w:rPr>
          <w:rStyle w:val="23"/>
          <w:rFonts w:hint="default" w:ascii="Times New Roman" w:hAnsi="Times New Roman" w:eastAsia="仿宋_GB2312" w:cs="Times New Roman"/>
          <w:b w:val="0"/>
          <w:bCs/>
          <w:color w:val="auto"/>
          <w:sz w:val="32"/>
          <w:szCs w:val="32"/>
        </w:rPr>
      </w:pPr>
      <w:r>
        <w:rPr>
          <w:rStyle w:val="23"/>
          <w:rFonts w:hint="default" w:ascii="Times New Roman" w:hAnsi="Times New Roman" w:eastAsia="仿宋_GB2312" w:cs="Times New Roman"/>
          <w:bCs/>
          <w:color w:val="auto"/>
          <w:sz w:val="32"/>
          <w:szCs w:val="32"/>
        </w:rPr>
        <w:t>7.一般公共服务支出（类）发展与改革事务（款）其他发展与改革事务支出（项）:</w:t>
      </w:r>
      <w:r>
        <w:rPr>
          <w:rStyle w:val="23"/>
          <w:rFonts w:hint="default" w:ascii="Times New Roman" w:hAnsi="Times New Roman" w:eastAsia="仿宋_GB2312" w:cs="Times New Roman"/>
          <w:b w:val="0"/>
          <w:bCs/>
          <w:color w:val="auto"/>
          <w:sz w:val="32"/>
          <w:szCs w:val="32"/>
        </w:rPr>
        <w:t>支出决算为</w:t>
      </w:r>
      <w:r>
        <w:rPr>
          <w:rFonts w:hint="default" w:ascii="Times New Roman" w:hAnsi="Times New Roman" w:eastAsia="仿宋_GB2312" w:cs="Times New Roman"/>
          <w:bCs/>
          <w:color w:val="auto"/>
          <w:sz w:val="32"/>
          <w:szCs w:val="32"/>
        </w:rPr>
        <w:t>4,741.86</w:t>
      </w:r>
      <w:r>
        <w:rPr>
          <w:rStyle w:val="23"/>
          <w:rFonts w:hint="default" w:ascii="Times New Roman" w:hAnsi="Times New Roman" w:eastAsia="仿宋_GB2312" w:cs="Times New Roman"/>
          <w:b w:val="0"/>
          <w:bCs/>
          <w:color w:val="auto"/>
          <w:sz w:val="32"/>
          <w:szCs w:val="32"/>
        </w:rPr>
        <w:t>万元，完成预算100%，决算数等于预算数。</w:t>
      </w:r>
    </w:p>
    <w:p>
      <w:pPr>
        <w:pageBreakBefore w:val="0"/>
        <w:kinsoku/>
        <w:wordWrap/>
        <w:overflowPunct/>
        <w:topLinePunct w:val="0"/>
        <w:bidi w:val="0"/>
        <w:spacing w:line="560" w:lineRule="exact"/>
        <w:ind w:firstLine="642" w:firstLineChars="200"/>
        <w:rPr>
          <w:rStyle w:val="23"/>
          <w:rFonts w:hint="default" w:ascii="Times New Roman" w:hAnsi="Times New Roman" w:eastAsia="仿宋_GB2312" w:cs="Times New Roman"/>
          <w:b w:val="0"/>
          <w:bCs/>
          <w:color w:val="auto"/>
          <w:sz w:val="32"/>
          <w:szCs w:val="32"/>
        </w:rPr>
      </w:pPr>
      <w:r>
        <w:rPr>
          <w:rStyle w:val="23"/>
          <w:rFonts w:hint="default" w:ascii="Times New Roman" w:hAnsi="Times New Roman" w:eastAsia="仿宋_GB2312" w:cs="Times New Roman"/>
          <w:bCs/>
          <w:color w:val="auto"/>
          <w:sz w:val="32"/>
          <w:szCs w:val="32"/>
        </w:rPr>
        <w:t>8.一般公共服务支出（类）其他共产党事务支出（款）其他共产党事务支出（项）:</w:t>
      </w:r>
      <w:r>
        <w:rPr>
          <w:rStyle w:val="23"/>
          <w:rFonts w:hint="default" w:ascii="Times New Roman" w:hAnsi="Times New Roman" w:eastAsia="仿宋_GB2312" w:cs="Times New Roman"/>
          <w:b w:val="0"/>
          <w:bCs/>
          <w:color w:val="auto"/>
          <w:sz w:val="32"/>
          <w:szCs w:val="32"/>
        </w:rPr>
        <w:t>支出决算为</w:t>
      </w:r>
      <w:r>
        <w:rPr>
          <w:rFonts w:hint="default" w:ascii="Times New Roman" w:hAnsi="Times New Roman" w:eastAsia="仿宋_GB2312" w:cs="Times New Roman"/>
          <w:bCs/>
          <w:color w:val="auto"/>
          <w:sz w:val="32"/>
          <w:szCs w:val="32"/>
        </w:rPr>
        <w:t>0.90</w:t>
      </w:r>
      <w:r>
        <w:rPr>
          <w:rStyle w:val="23"/>
          <w:rFonts w:hint="default" w:ascii="Times New Roman" w:hAnsi="Times New Roman" w:eastAsia="仿宋_GB2312" w:cs="Times New Roman"/>
          <w:b w:val="0"/>
          <w:bCs/>
          <w:color w:val="auto"/>
          <w:sz w:val="32"/>
          <w:szCs w:val="32"/>
        </w:rPr>
        <w:t>万元，完成预算100%，决算数等于预算数。</w:t>
      </w:r>
    </w:p>
    <w:p>
      <w:pPr>
        <w:pageBreakBefore w:val="0"/>
        <w:kinsoku/>
        <w:wordWrap/>
        <w:overflowPunct/>
        <w:topLinePunct w:val="0"/>
        <w:bidi w:val="0"/>
        <w:spacing w:line="560" w:lineRule="exact"/>
        <w:ind w:firstLine="642" w:firstLineChars="200"/>
        <w:rPr>
          <w:rStyle w:val="23"/>
          <w:rFonts w:hint="default" w:ascii="Times New Roman" w:hAnsi="Times New Roman" w:eastAsia="仿宋_GB2312" w:cs="Times New Roman"/>
          <w:b w:val="0"/>
          <w:bCs/>
          <w:color w:val="auto"/>
          <w:sz w:val="32"/>
          <w:szCs w:val="32"/>
        </w:rPr>
      </w:pPr>
      <w:r>
        <w:rPr>
          <w:rStyle w:val="23"/>
          <w:rFonts w:hint="default" w:ascii="Times New Roman" w:hAnsi="Times New Roman" w:eastAsia="仿宋_GB2312" w:cs="Times New Roman"/>
          <w:bCs/>
          <w:color w:val="auto"/>
          <w:sz w:val="32"/>
          <w:szCs w:val="32"/>
        </w:rPr>
        <w:t>9.一般公共服务支出（类）市场监督管理事务（款）其他市场监督管理事务（项）:</w:t>
      </w:r>
      <w:r>
        <w:rPr>
          <w:rStyle w:val="23"/>
          <w:rFonts w:hint="default" w:ascii="Times New Roman" w:hAnsi="Times New Roman" w:eastAsia="仿宋_GB2312" w:cs="Times New Roman"/>
          <w:b w:val="0"/>
          <w:bCs/>
          <w:color w:val="auto"/>
          <w:sz w:val="32"/>
          <w:szCs w:val="32"/>
        </w:rPr>
        <w:t>支出决算为</w:t>
      </w:r>
      <w:r>
        <w:rPr>
          <w:rFonts w:hint="default" w:ascii="Times New Roman" w:hAnsi="Times New Roman" w:eastAsia="仿宋_GB2312" w:cs="Times New Roman"/>
          <w:bCs/>
          <w:color w:val="auto"/>
          <w:sz w:val="32"/>
          <w:szCs w:val="32"/>
        </w:rPr>
        <w:t>4.00</w:t>
      </w:r>
      <w:r>
        <w:rPr>
          <w:rStyle w:val="23"/>
          <w:rFonts w:hint="default" w:ascii="Times New Roman" w:hAnsi="Times New Roman" w:eastAsia="仿宋_GB2312" w:cs="Times New Roman"/>
          <w:b w:val="0"/>
          <w:bCs/>
          <w:color w:val="auto"/>
          <w:sz w:val="32"/>
          <w:szCs w:val="32"/>
        </w:rPr>
        <w:t>万元，完成预算100%，决算数等于预算数。</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bCs/>
          <w:color w:val="auto"/>
          <w:sz w:val="32"/>
          <w:szCs w:val="32"/>
        </w:rPr>
      </w:pPr>
      <w:r>
        <w:rPr>
          <w:rStyle w:val="23"/>
          <w:rFonts w:hint="default" w:ascii="Times New Roman" w:hAnsi="Times New Roman" w:eastAsia="仿宋_GB2312" w:cs="Times New Roman"/>
          <w:bCs/>
          <w:color w:val="auto"/>
          <w:sz w:val="32"/>
          <w:szCs w:val="32"/>
        </w:rPr>
        <w:t>10.一般公共服务支出（类）其他一般公共服务支出（款）其他一般公共服务支出（项）:</w:t>
      </w:r>
      <w:r>
        <w:rPr>
          <w:rStyle w:val="23"/>
          <w:rFonts w:hint="default" w:ascii="Times New Roman" w:hAnsi="Times New Roman" w:eastAsia="仿宋_GB2312" w:cs="Times New Roman"/>
          <w:b w:val="0"/>
          <w:bCs/>
          <w:color w:val="auto"/>
          <w:sz w:val="32"/>
          <w:szCs w:val="32"/>
        </w:rPr>
        <w:t>支出决算为</w:t>
      </w:r>
      <w:r>
        <w:rPr>
          <w:rFonts w:hint="default" w:ascii="Times New Roman" w:hAnsi="Times New Roman" w:eastAsia="仿宋_GB2312" w:cs="Times New Roman"/>
          <w:bCs/>
          <w:color w:val="auto"/>
          <w:sz w:val="32"/>
          <w:szCs w:val="32"/>
        </w:rPr>
        <w:t>1,032.82</w:t>
      </w:r>
      <w:r>
        <w:rPr>
          <w:rStyle w:val="23"/>
          <w:rFonts w:hint="default" w:ascii="Times New Roman" w:hAnsi="Times New Roman" w:eastAsia="仿宋_GB2312" w:cs="Times New Roman"/>
          <w:b w:val="0"/>
          <w:bCs/>
          <w:color w:val="auto"/>
          <w:sz w:val="32"/>
          <w:szCs w:val="32"/>
        </w:rPr>
        <w:t>万元，完成预算100%，决算数等于预算数。</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bCs/>
          <w:color w:val="auto"/>
          <w:sz w:val="32"/>
          <w:szCs w:val="32"/>
        </w:rPr>
      </w:pPr>
      <w:r>
        <w:rPr>
          <w:rStyle w:val="23"/>
          <w:rFonts w:hint="default" w:ascii="Times New Roman" w:hAnsi="Times New Roman" w:eastAsia="仿宋_GB2312" w:cs="Times New Roman"/>
          <w:bCs/>
          <w:color w:val="auto"/>
          <w:sz w:val="32"/>
          <w:szCs w:val="32"/>
        </w:rPr>
        <w:t>11.教育支出（类）进修及培训（款）培训支出（项）:</w:t>
      </w:r>
      <w:r>
        <w:rPr>
          <w:rStyle w:val="23"/>
          <w:rFonts w:hint="default" w:ascii="Times New Roman" w:hAnsi="Times New Roman" w:eastAsia="仿宋_GB2312" w:cs="Times New Roman"/>
          <w:b w:val="0"/>
          <w:bCs/>
          <w:color w:val="auto"/>
          <w:sz w:val="32"/>
          <w:szCs w:val="32"/>
        </w:rPr>
        <w:t>支出决算为</w:t>
      </w:r>
      <w:r>
        <w:rPr>
          <w:rFonts w:hint="default" w:ascii="Times New Roman" w:hAnsi="Times New Roman" w:eastAsia="仿宋_GB2312" w:cs="Times New Roman"/>
          <w:bCs/>
          <w:color w:val="auto"/>
          <w:sz w:val="32"/>
          <w:szCs w:val="32"/>
        </w:rPr>
        <w:t>75.80</w:t>
      </w:r>
      <w:r>
        <w:rPr>
          <w:rStyle w:val="23"/>
          <w:rFonts w:hint="default" w:ascii="Times New Roman" w:hAnsi="Times New Roman" w:eastAsia="仿宋_GB2312" w:cs="Times New Roman"/>
          <w:b w:val="0"/>
          <w:bCs/>
          <w:color w:val="auto"/>
          <w:sz w:val="32"/>
          <w:szCs w:val="32"/>
        </w:rPr>
        <w:t>万元，完成预算100%，决算数等于预算数。</w:t>
      </w:r>
    </w:p>
    <w:p>
      <w:pPr>
        <w:pageBreakBefore w:val="0"/>
        <w:kinsoku/>
        <w:wordWrap/>
        <w:overflowPunct/>
        <w:topLinePunct w:val="0"/>
        <w:bidi w:val="0"/>
        <w:spacing w:line="560" w:lineRule="exact"/>
        <w:ind w:firstLine="642" w:firstLineChars="200"/>
        <w:rPr>
          <w:rStyle w:val="23"/>
          <w:rFonts w:hint="default" w:ascii="Times New Roman" w:hAnsi="Times New Roman" w:eastAsia="仿宋_GB2312" w:cs="Times New Roman"/>
          <w:b w:val="0"/>
          <w:bCs/>
          <w:color w:val="auto"/>
          <w:sz w:val="32"/>
          <w:szCs w:val="32"/>
        </w:rPr>
      </w:pPr>
      <w:r>
        <w:rPr>
          <w:rStyle w:val="23"/>
          <w:rFonts w:hint="default" w:ascii="Times New Roman" w:hAnsi="Times New Roman" w:eastAsia="仿宋_GB2312" w:cs="Times New Roman"/>
          <w:bCs/>
          <w:color w:val="auto"/>
          <w:sz w:val="32"/>
          <w:szCs w:val="32"/>
        </w:rPr>
        <w:t>12.科学技术（类）应用研究（款）机构运行（项）:</w:t>
      </w:r>
      <w:r>
        <w:rPr>
          <w:rStyle w:val="23"/>
          <w:rFonts w:hint="default" w:ascii="Times New Roman" w:hAnsi="Times New Roman" w:eastAsia="仿宋_GB2312" w:cs="Times New Roman"/>
          <w:b w:val="0"/>
          <w:bCs/>
          <w:color w:val="auto"/>
          <w:sz w:val="32"/>
          <w:szCs w:val="32"/>
        </w:rPr>
        <w:t>支出决算为</w:t>
      </w:r>
      <w:r>
        <w:rPr>
          <w:rFonts w:hint="default" w:ascii="Times New Roman" w:hAnsi="Times New Roman" w:eastAsia="仿宋_GB2312" w:cs="Times New Roman"/>
          <w:bCs/>
          <w:color w:val="auto"/>
          <w:sz w:val="32"/>
          <w:szCs w:val="32"/>
        </w:rPr>
        <w:t>297.85</w:t>
      </w:r>
      <w:r>
        <w:rPr>
          <w:rStyle w:val="23"/>
          <w:rFonts w:hint="default" w:ascii="Times New Roman" w:hAnsi="Times New Roman" w:eastAsia="仿宋_GB2312" w:cs="Times New Roman"/>
          <w:b w:val="0"/>
          <w:bCs/>
          <w:color w:val="auto"/>
          <w:sz w:val="32"/>
          <w:szCs w:val="32"/>
        </w:rPr>
        <w:t>万元，完成预算100%，决算数等于预算数。</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bCs/>
          <w:color w:val="auto"/>
          <w:sz w:val="32"/>
          <w:szCs w:val="32"/>
        </w:rPr>
      </w:pPr>
      <w:r>
        <w:rPr>
          <w:rStyle w:val="23"/>
          <w:rFonts w:hint="default" w:ascii="Times New Roman" w:hAnsi="Times New Roman" w:eastAsia="仿宋_GB2312" w:cs="Times New Roman"/>
          <w:bCs/>
          <w:color w:val="auto"/>
          <w:sz w:val="32"/>
          <w:szCs w:val="32"/>
        </w:rPr>
        <w:t>13.科学技术（类）应用研究（款）社会公益研究（项）:</w:t>
      </w:r>
      <w:r>
        <w:rPr>
          <w:rStyle w:val="23"/>
          <w:rFonts w:hint="default" w:ascii="Times New Roman" w:hAnsi="Times New Roman" w:eastAsia="仿宋_GB2312" w:cs="Times New Roman"/>
          <w:b w:val="0"/>
          <w:bCs/>
          <w:color w:val="auto"/>
          <w:sz w:val="32"/>
          <w:szCs w:val="32"/>
        </w:rPr>
        <w:t>支出决算为</w:t>
      </w:r>
      <w:r>
        <w:rPr>
          <w:rFonts w:hint="default" w:ascii="Times New Roman" w:hAnsi="Times New Roman" w:eastAsia="仿宋_GB2312" w:cs="Times New Roman"/>
          <w:bCs/>
          <w:color w:val="auto"/>
          <w:sz w:val="32"/>
          <w:szCs w:val="32"/>
        </w:rPr>
        <w:t>128.09</w:t>
      </w:r>
      <w:r>
        <w:rPr>
          <w:rStyle w:val="23"/>
          <w:rFonts w:hint="default" w:ascii="Times New Roman" w:hAnsi="Times New Roman" w:eastAsia="仿宋_GB2312" w:cs="Times New Roman"/>
          <w:b w:val="0"/>
          <w:bCs/>
          <w:color w:val="auto"/>
          <w:sz w:val="32"/>
          <w:szCs w:val="32"/>
        </w:rPr>
        <w:t>万元，完成预算100%，决算数等于预算数。</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bCs/>
          <w:color w:val="auto"/>
          <w:sz w:val="32"/>
          <w:szCs w:val="32"/>
        </w:rPr>
      </w:pPr>
      <w:r>
        <w:rPr>
          <w:rStyle w:val="23"/>
          <w:rFonts w:hint="default" w:ascii="Times New Roman" w:hAnsi="Times New Roman" w:eastAsia="仿宋_GB2312" w:cs="Times New Roman"/>
          <w:bCs/>
          <w:color w:val="auto"/>
          <w:sz w:val="32"/>
          <w:szCs w:val="32"/>
        </w:rPr>
        <w:t>14.科学技术（类）技术研究与开发（款）其他技术研究与开发支出（项）:</w:t>
      </w:r>
      <w:r>
        <w:rPr>
          <w:rStyle w:val="23"/>
          <w:rFonts w:hint="default" w:ascii="Times New Roman" w:hAnsi="Times New Roman" w:eastAsia="仿宋_GB2312" w:cs="Times New Roman"/>
          <w:b w:val="0"/>
          <w:bCs/>
          <w:color w:val="auto"/>
          <w:sz w:val="32"/>
          <w:szCs w:val="32"/>
        </w:rPr>
        <w:t>支出决算为</w:t>
      </w:r>
      <w:r>
        <w:rPr>
          <w:rFonts w:hint="default" w:ascii="Times New Roman" w:hAnsi="Times New Roman" w:eastAsia="仿宋_GB2312" w:cs="Times New Roman"/>
          <w:bCs/>
          <w:color w:val="auto"/>
          <w:sz w:val="32"/>
          <w:szCs w:val="32"/>
        </w:rPr>
        <w:t>8.74</w:t>
      </w:r>
      <w:r>
        <w:rPr>
          <w:rStyle w:val="23"/>
          <w:rFonts w:hint="default" w:ascii="Times New Roman" w:hAnsi="Times New Roman" w:eastAsia="仿宋_GB2312" w:cs="Times New Roman"/>
          <w:b w:val="0"/>
          <w:bCs/>
          <w:color w:val="auto"/>
          <w:sz w:val="32"/>
          <w:szCs w:val="32"/>
        </w:rPr>
        <w:t>万元，完成预算100%，决算数等于预算数。</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bCs/>
          <w:color w:val="auto"/>
          <w:sz w:val="32"/>
          <w:szCs w:val="32"/>
        </w:rPr>
      </w:pPr>
      <w:r>
        <w:rPr>
          <w:rStyle w:val="23"/>
          <w:rFonts w:hint="default" w:ascii="Times New Roman" w:hAnsi="Times New Roman" w:eastAsia="仿宋_GB2312" w:cs="Times New Roman"/>
          <w:bCs/>
          <w:color w:val="auto"/>
          <w:sz w:val="32"/>
          <w:szCs w:val="32"/>
        </w:rPr>
        <w:t>15.科学技术（类）其他科学技术支出（款）其他科学技术支出（项）:</w:t>
      </w:r>
      <w:r>
        <w:rPr>
          <w:rStyle w:val="23"/>
          <w:rFonts w:hint="default" w:ascii="Times New Roman" w:hAnsi="Times New Roman" w:eastAsia="仿宋_GB2312" w:cs="Times New Roman"/>
          <w:b w:val="0"/>
          <w:bCs/>
          <w:color w:val="auto"/>
          <w:sz w:val="32"/>
          <w:szCs w:val="32"/>
        </w:rPr>
        <w:t>支出决算为</w:t>
      </w:r>
      <w:r>
        <w:rPr>
          <w:rFonts w:hint="default" w:ascii="Times New Roman" w:hAnsi="Times New Roman" w:eastAsia="仿宋_GB2312" w:cs="Times New Roman"/>
          <w:bCs/>
          <w:color w:val="auto"/>
          <w:sz w:val="32"/>
          <w:szCs w:val="32"/>
        </w:rPr>
        <w:t>0.93</w:t>
      </w:r>
      <w:r>
        <w:rPr>
          <w:rStyle w:val="23"/>
          <w:rFonts w:hint="default" w:ascii="Times New Roman" w:hAnsi="Times New Roman" w:eastAsia="仿宋_GB2312" w:cs="Times New Roman"/>
          <w:b w:val="0"/>
          <w:bCs/>
          <w:color w:val="auto"/>
          <w:sz w:val="32"/>
          <w:szCs w:val="32"/>
        </w:rPr>
        <w:t>万元，完成预算100%，决算数等于预算数。</w:t>
      </w:r>
    </w:p>
    <w:p>
      <w:pPr>
        <w:pageBreakBefore w:val="0"/>
        <w:kinsoku/>
        <w:wordWrap/>
        <w:overflowPunct/>
        <w:topLinePunct w:val="0"/>
        <w:bidi w:val="0"/>
        <w:spacing w:line="560" w:lineRule="exact"/>
        <w:ind w:firstLine="642" w:firstLineChars="200"/>
        <w:rPr>
          <w:rStyle w:val="23"/>
          <w:rFonts w:hint="default" w:ascii="Times New Roman" w:hAnsi="Times New Roman" w:eastAsia="仿宋_GB2312" w:cs="Times New Roman"/>
          <w:b w:val="0"/>
          <w:bCs/>
          <w:color w:val="auto"/>
          <w:sz w:val="32"/>
          <w:szCs w:val="32"/>
        </w:rPr>
      </w:pPr>
      <w:r>
        <w:rPr>
          <w:rStyle w:val="23"/>
          <w:rFonts w:hint="default" w:ascii="Times New Roman" w:hAnsi="Times New Roman" w:eastAsia="仿宋_GB2312" w:cs="Times New Roman"/>
          <w:bCs/>
          <w:color w:val="auto"/>
          <w:sz w:val="32"/>
          <w:szCs w:val="32"/>
        </w:rPr>
        <w:t>16.社会保障和就业支出（类）行政事业单位养老支出（款）行政单位离退休（项）:</w:t>
      </w:r>
      <w:r>
        <w:rPr>
          <w:rStyle w:val="23"/>
          <w:rFonts w:hint="default" w:ascii="Times New Roman" w:hAnsi="Times New Roman" w:eastAsia="仿宋_GB2312" w:cs="Times New Roman"/>
          <w:b w:val="0"/>
          <w:bCs/>
          <w:color w:val="auto"/>
          <w:sz w:val="32"/>
          <w:szCs w:val="32"/>
        </w:rPr>
        <w:t>支出决算为</w:t>
      </w:r>
      <w:r>
        <w:rPr>
          <w:rFonts w:hint="default" w:ascii="Times New Roman" w:hAnsi="Times New Roman" w:eastAsia="仿宋_GB2312" w:cs="Times New Roman"/>
          <w:bCs/>
          <w:color w:val="auto"/>
          <w:sz w:val="32"/>
          <w:szCs w:val="32"/>
        </w:rPr>
        <w:t>1,667.30</w:t>
      </w:r>
      <w:r>
        <w:rPr>
          <w:rStyle w:val="23"/>
          <w:rFonts w:hint="default" w:ascii="Times New Roman" w:hAnsi="Times New Roman" w:eastAsia="仿宋_GB2312" w:cs="Times New Roman"/>
          <w:b w:val="0"/>
          <w:bCs/>
          <w:color w:val="auto"/>
          <w:sz w:val="32"/>
          <w:szCs w:val="32"/>
        </w:rPr>
        <w:t>万元，完成预算100%，决算数等于预算数。</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bCs/>
          <w:color w:val="auto"/>
          <w:sz w:val="32"/>
          <w:szCs w:val="32"/>
        </w:rPr>
      </w:pPr>
      <w:r>
        <w:rPr>
          <w:rStyle w:val="23"/>
          <w:rFonts w:hint="default" w:ascii="Times New Roman" w:hAnsi="Times New Roman" w:eastAsia="仿宋_GB2312" w:cs="Times New Roman"/>
          <w:bCs/>
          <w:color w:val="auto"/>
          <w:sz w:val="32"/>
          <w:szCs w:val="32"/>
        </w:rPr>
        <w:t>17.社会保障和就业支出（类）行政事业单位养老支出（款）事业单位离退休（项）:</w:t>
      </w:r>
      <w:r>
        <w:rPr>
          <w:rStyle w:val="23"/>
          <w:rFonts w:hint="default" w:ascii="Times New Roman" w:hAnsi="Times New Roman" w:eastAsia="仿宋_GB2312" w:cs="Times New Roman"/>
          <w:b w:val="0"/>
          <w:bCs/>
          <w:color w:val="auto"/>
          <w:sz w:val="32"/>
          <w:szCs w:val="32"/>
        </w:rPr>
        <w:t>支出决算为</w:t>
      </w:r>
      <w:r>
        <w:rPr>
          <w:rFonts w:hint="default" w:ascii="Times New Roman" w:hAnsi="Times New Roman" w:eastAsia="仿宋_GB2312" w:cs="Times New Roman"/>
          <w:bCs/>
          <w:color w:val="auto"/>
          <w:sz w:val="32"/>
          <w:szCs w:val="32"/>
        </w:rPr>
        <w:t>347.88</w:t>
      </w:r>
      <w:r>
        <w:rPr>
          <w:rStyle w:val="23"/>
          <w:rFonts w:hint="default" w:ascii="Times New Roman" w:hAnsi="Times New Roman" w:eastAsia="仿宋_GB2312" w:cs="Times New Roman"/>
          <w:b w:val="0"/>
          <w:bCs/>
          <w:color w:val="auto"/>
          <w:sz w:val="32"/>
          <w:szCs w:val="32"/>
        </w:rPr>
        <w:t>万元，完成预算100%，决算数等于预算数。</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b/>
          <w:color w:val="auto"/>
          <w:sz w:val="32"/>
          <w:szCs w:val="32"/>
        </w:rPr>
      </w:pPr>
      <w:r>
        <w:rPr>
          <w:rStyle w:val="23"/>
          <w:rFonts w:hint="default" w:ascii="Times New Roman" w:hAnsi="Times New Roman" w:eastAsia="仿宋_GB2312" w:cs="Times New Roman"/>
          <w:bCs/>
          <w:color w:val="auto"/>
          <w:sz w:val="32"/>
          <w:szCs w:val="32"/>
        </w:rPr>
        <w:t>18.社会保障和就业支出（类）行政事业单位养老支出（款）机关事业单位基本养老保险缴费支出（项）:</w:t>
      </w:r>
      <w:r>
        <w:rPr>
          <w:rStyle w:val="23"/>
          <w:rFonts w:hint="default" w:ascii="Times New Roman" w:hAnsi="Times New Roman" w:eastAsia="仿宋_GB2312" w:cs="Times New Roman"/>
          <w:b w:val="0"/>
          <w:bCs/>
          <w:color w:val="auto"/>
          <w:sz w:val="32"/>
          <w:szCs w:val="32"/>
        </w:rPr>
        <w:t>支出决算为704.52万元，完成预算100%，决算数等于预算数。</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b/>
          <w:color w:val="auto"/>
          <w:sz w:val="32"/>
          <w:szCs w:val="32"/>
        </w:rPr>
      </w:pPr>
      <w:r>
        <w:rPr>
          <w:rStyle w:val="23"/>
          <w:rFonts w:hint="default" w:ascii="Times New Roman" w:hAnsi="Times New Roman" w:eastAsia="仿宋_GB2312" w:cs="Times New Roman"/>
          <w:bCs/>
          <w:color w:val="auto"/>
          <w:sz w:val="32"/>
          <w:szCs w:val="32"/>
        </w:rPr>
        <w:t>19.社会保障和就业支出（类）行政事业单位养老支出（款）机关事业单位职业年金缴费支出（项）:</w:t>
      </w:r>
      <w:r>
        <w:rPr>
          <w:rStyle w:val="23"/>
          <w:rFonts w:hint="default" w:ascii="Times New Roman" w:hAnsi="Times New Roman" w:eastAsia="仿宋_GB2312" w:cs="Times New Roman"/>
          <w:b w:val="0"/>
          <w:bCs/>
          <w:color w:val="auto"/>
          <w:sz w:val="32"/>
          <w:szCs w:val="32"/>
        </w:rPr>
        <w:t>支出决算为58.82万元，完成预算100%，决算数等于预算数。</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b/>
          <w:color w:val="auto"/>
          <w:sz w:val="32"/>
          <w:szCs w:val="32"/>
        </w:rPr>
      </w:pPr>
      <w:r>
        <w:rPr>
          <w:rStyle w:val="23"/>
          <w:rFonts w:hint="default" w:ascii="Times New Roman" w:hAnsi="Times New Roman" w:eastAsia="仿宋_GB2312" w:cs="Times New Roman"/>
          <w:bCs/>
          <w:color w:val="auto"/>
          <w:sz w:val="32"/>
          <w:szCs w:val="32"/>
        </w:rPr>
        <w:t>20.社会保障和就业支出（类）抚恤（款）死亡抚恤（项）:</w:t>
      </w:r>
      <w:r>
        <w:rPr>
          <w:rStyle w:val="23"/>
          <w:rFonts w:hint="default" w:ascii="Times New Roman" w:hAnsi="Times New Roman" w:eastAsia="仿宋_GB2312" w:cs="Times New Roman"/>
          <w:b w:val="0"/>
          <w:bCs/>
          <w:color w:val="auto"/>
          <w:sz w:val="32"/>
          <w:szCs w:val="32"/>
        </w:rPr>
        <w:t>支出决算为190.42万元，完成预算100%，决算数等于预算数。</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b/>
          <w:color w:val="auto"/>
          <w:sz w:val="32"/>
          <w:szCs w:val="32"/>
        </w:rPr>
      </w:pPr>
      <w:r>
        <w:rPr>
          <w:rStyle w:val="23"/>
          <w:rFonts w:hint="default" w:ascii="Times New Roman" w:hAnsi="Times New Roman" w:eastAsia="仿宋_GB2312" w:cs="Times New Roman"/>
          <w:bCs/>
          <w:color w:val="auto"/>
          <w:sz w:val="32"/>
          <w:szCs w:val="32"/>
        </w:rPr>
        <w:t>21.社会保障和就业支出（类）其他社会保障和就业支出（款）其他社会保障和就业支出（项）:</w:t>
      </w:r>
      <w:r>
        <w:rPr>
          <w:rStyle w:val="23"/>
          <w:rFonts w:hint="default" w:ascii="Times New Roman" w:hAnsi="Times New Roman" w:eastAsia="仿宋_GB2312" w:cs="Times New Roman"/>
          <w:b w:val="0"/>
          <w:bCs/>
          <w:color w:val="auto"/>
          <w:sz w:val="32"/>
          <w:szCs w:val="32"/>
        </w:rPr>
        <w:t>支出决算为3.75万元，完成预算100%，决算数等于预算数。</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b/>
          <w:color w:val="auto"/>
          <w:sz w:val="32"/>
          <w:szCs w:val="32"/>
        </w:rPr>
      </w:pPr>
      <w:r>
        <w:rPr>
          <w:rStyle w:val="23"/>
          <w:rFonts w:hint="default" w:ascii="Times New Roman" w:hAnsi="Times New Roman" w:eastAsia="仿宋_GB2312" w:cs="Times New Roman"/>
          <w:bCs/>
          <w:color w:val="auto"/>
          <w:sz w:val="32"/>
          <w:szCs w:val="32"/>
        </w:rPr>
        <w:t>22.</w:t>
      </w:r>
      <w:r>
        <w:rPr>
          <w:rFonts w:hint="default" w:ascii="Times New Roman" w:hAnsi="Times New Roman" w:eastAsia="仿宋_GB2312" w:cs="Times New Roman"/>
          <w:b/>
          <w:bCs/>
          <w:color w:val="auto"/>
          <w:sz w:val="32"/>
          <w:szCs w:val="32"/>
        </w:rPr>
        <w:t>卫生健康</w:t>
      </w:r>
      <w:r>
        <w:rPr>
          <w:rStyle w:val="23"/>
          <w:rFonts w:hint="default" w:ascii="Times New Roman" w:hAnsi="Times New Roman" w:eastAsia="仿宋_GB2312" w:cs="Times New Roman"/>
          <w:bCs/>
          <w:color w:val="auto"/>
          <w:sz w:val="32"/>
          <w:szCs w:val="32"/>
        </w:rPr>
        <w:t>（类）行政事业单位医疗（款）行政单位医疗（项）:</w:t>
      </w:r>
      <w:r>
        <w:rPr>
          <w:rStyle w:val="23"/>
          <w:rFonts w:hint="default" w:ascii="Times New Roman" w:hAnsi="Times New Roman" w:eastAsia="仿宋_GB2312" w:cs="Times New Roman"/>
          <w:b w:val="0"/>
          <w:bCs/>
          <w:color w:val="auto"/>
          <w:sz w:val="32"/>
          <w:szCs w:val="32"/>
        </w:rPr>
        <w:t>支出决算为470.89万元，完成预算100%，决算数等于预算数。</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b/>
          <w:color w:val="auto"/>
          <w:sz w:val="32"/>
          <w:szCs w:val="32"/>
        </w:rPr>
      </w:pPr>
      <w:r>
        <w:rPr>
          <w:rStyle w:val="23"/>
          <w:rFonts w:hint="default" w:ascii="Times New Roman" w:hAnsi="Times New Roman" w:eastAsia="仿宋_GB2312" w:cs="Times New Roman"/>
          <w:bCs/>
          <w:color w:val="auto"/>
          <w:sz w:val="32"/>
          <w:szCs w:val="32"/>
        </w:rPr>
        <w:t>23.</w:t>
      </w:r>
      <w:r>
        <w:rPr>
          <w:rFonts w:hint="default" w:ascii="Times New Roman" w:hAnsi="Times New Roman" w:eastAsia="仿宋_GB2312" w:cs="Times New Roman"/>
          <w:b/>
          <w:bCs/>
          <w:color w:val="auto"/>
          <w:sz w:val="32"/>
          <w:szCs w:val="32"/>
        </w:rPr>
        <w:t>卫生健康</w:t>
      </w:r>
      <w:r>
        <w:rPr>
          <w:rStyle w:val="23"/>
          <w:rFonts w:hint="default" w:ascii="Times New Roman" w:hAnsi="Times New Roman" w:eastAsia="仿宋_GB2312" w:cs="Times New Roman"/>
          <w:bCs/>
          <w:color w:val="auto"/>
          <w:sz w:val="32"/>
          <w:szCs w:val="32"/>
        </w:rPr>
        <w:t>（类）行政事业单位医疗（款）事业单位医疗（项）:</w:t>
      </w:r>
      <w:r>
        <w:rPr>
          <w:rStyle w:val="23"/>
          <w:rFonts w:hint="default" w:ascii="Times New Roman" w:hAnsi="Times New Roman" w:eastAsia="仿宋_GB2312" w:cs="Times New Roman"/>
          <w:b w:val="0"/>
          <w:bCs/>
          <w:color w:val="auto"/>
          <w:sz w:val="32"/>
          <w:szCs w:val="32"/>
        </w:rPr>
        <w:t>支出决算为97.77万元，完成预算100%，决算数等于预算数。</w:t>
      </w:r>
    </w:p>
    <w:p>
      <w:pPr>
        <w:pageBreakBefore w:val="0"/>
        <w:kinsoku/>
        <w:wordWrap/>
        <w:overflowPunct/>
        <w:topLinePunct w:val="0"/>
        <w:bidi w:val="0"/>
        <w:spacing w:line="560" w:lineRule="exact"/>
        <w:ind w:firstLine="642" w:firstLineChars="200"/>
        <w:rPr>
          <w:rStyle w:val="23"/>
          <w:rFonts w:hint="default" w:ascii="Times New Roman" w:hAnsi="Times New Roman" w:eastAsia="仿宋_GB2312" w:cs="Times New Roman"/>
          <w:b w:val="0"/>
          <w:bCs/>
          <w:color w:val="auto"/>
          <w:sz w:val="32"/>
          <w:szCs w:val="32"/>
        </w:rPr>
      </w:pPr>
      <w:r>
        <w:rPr>
          <w:rStyle w:val="23"/>
          <w:rFonts w:hint="default" w:ascii="Times New Roman" w:hAnsi="Times New Roman" w:eastAsia="仿宋_GB2312" w:cs="Times New Roman"/>
          <w:bCs/>
          <w:color w:val="auto"/>
          <w:sz w:val="32"/>
          <w:szCs w:val="32"/>
        </w:rPr>
        <w:t>24.</w:t>
      </w:r>
      <w:r>
        <w:rPr>
          <w:rFonts w:hint="default" w:ascii="Times New Roman" w:hAnsi="Times New Roman" w:eastAsia="仿宋_GB2312" w:cs="Times New Roman"/>
          <w:b/>
          <w:bCs/>
          <w:color w:val="auto"/>
          <w:sz w:val="32"/>
          <w:szCs w:val="32"/>
        </w:rPr>
        <w:t>卫生健康</w:t>
      </w:r>
      <w:r>
        <w:rPr>
          <w:rStyle w:val="23"/>
          <w:rFonts w:hint="default" w:ascii="Times New Roman" w:hAnsi="Times New Roman" w:eastAsia="仿宋_GB2312" w:cs="Times New Roman"/>
          <w:bCs/>
          <w:color w:val="auto"/>
          <w:sz w:val="32"/>
          <w:szCs w:val="32"/>
        </w:rPr>
        <w:t>（类）行政事业单位医疗（款）公务员医疗补助（项）:</w:t>
      </w:r>
      <w:r>
        <w:rPr>
          <w:rStyle w:val="23"/>
          <w:rFonts w:hint="default" w:ascii="Times New Roman" w:hAnsi="Times New Roman" w:eastAsia="仿宋_GB2312" w:cs="Times New Roman"/>
          <w:b w:val="0"/>
          <w:bCs/>
          <w:color w:val="auto"/>
          <w:sz w:val="32"/>
          <w:szCs w:val="32"/>
        </w:rPr>
        <w:t>支出决算为121.8万元，完成预算100%，决算数等于预算数。</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bCs/>
          <w:color w:val="auto"/>
          <w:sz w:val="32"/>
          <w:szCs w:val="32"/>
        </w:rPr>
      </w:pPr>
      <w:r>
        <w:rPr>
          <w:rStyle w:val="23"/>
          <w:rFonts w:hint="default" w:ascii="Times New Roman" w:hAnsi="Times New Roman" w:eastAsia="仿宋_GB2312" w:cs="Times New Roman"/>
          <w:bCs/>
          <w:color w:val="auto"/>
          <w:sz w:val="32"/>
          <w:szCs w:val="32"/>
        </w:rPr>
        <w:t>25.</w:t>
      </w:r>
      <w:r>
        <w:rPr>
          <w:rFonts w:hint="default" w:ascii="Times New Roman" w:hAnsi="Times New Roman" w:eastAsia="仿宋_GB2312" w:cs="Times New Roman"/>
          <w:b/>
          <w:bCs/>
          <w:color w:val="auto"/>
          <w:sz w:val="32"/>
          <w:szCs w:val="32"/>
        </w:rPr>
        <w:t>卫生健康</w:t>
      </w:r>
      <w:r>
        <w:rPr>
          <w:rStyle w:val="23"/>
          <w:rFonts w:hint="default" w:ascii="Times New Roman" w:hAnsi="Times New Roman" w:eastAsia="仿宋_GB2312" w:cs="Times New Roman"/>
          <w:bCs/>
          <w:color w:val="auto"/>
          <w:sz w:val="32"/>
          <w:szCs w:val="32"/>
        </w:rPr>
        <w:t>（类）其他卫生健康支出（款）其他卫生健康支出（项）:</w:t>
      </w:r>
      <w:r>
        <w:rPr>
          <w:rStyle w:val="23"/>
          <w:rFonts w:hint="default" w:ascii="Times New Roman" w:hAnsi="Times New Roman" w:eastAsia="仿宋_GB2312" w:cs="Times New Roman"/>
          <w:b w:val="0"/>
          <w:bCs/>
          <w:color w:val="auto"/>
          <w:sz w:val="32"/>
          <w:szCs w:val="32"/>
        </w:rPr>
        <w:t>支出决算为</w:t>
      </w:r>
      <w:r>
        <w:rPr>
          <w:rFonts w:hint="default" w:ascii="Times New Roman" w:hAnsi="Times New Roman" w:eastAsia="仿宋_GB2312" w:cs="Times New Roman"/>
          <w:bCs/>
          <w:color w:val="auto"/>
          <w:sz w:val="32"/>
          <w:szCs w:val="32"/>
        </w:rPr>
        <w:t>20.00</w:t>
      </w:r>
      <w:r>
        <w:rPr>
          <w:rStyle w:val="23"/>
          <w:rFonts w:hint="default" w:ascii="Times New Roman" w:hAnsi="Times New Roman" w:eastAsia="仿宋_GB2312" w:cs="Times New Roman"/>
          <w:b w:val="0"/>
          <w:bCs/>
          <w:color w:val="auto"/>
          <w:sz w:val="32"/>
          <w:szCs w:val="32"/>
        </w:rPr>
        <w:t>万元，完成预算100%，决算数等于预算数。</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b/>
          <w:color w:val="auto"/>
          <w:sz w:val="32"/>
          <w:szCs w:val="32"/>
        </w:rPr>
      </w:pPr>
      <w:r>
        <w:rPr>
          <w:rStyle w:val="23"/>
          <w:rFonts w:hint="default" w:ascii="Times New Roman" w:hAnsi="Times New Roman" w:eastAsia="仿宋_GB2312" w:cs="Times New Roman"/>
          <w:bCs/>
          <w:color w:val="auto"/>
          <w:sz w:val="32"/>
          <w:szCs w:val="32"/>
        </w:rPr>
        <w:t>26.</w:t>
      </w:r>
      <w:r>
        <w:rPr>
          <w:rFonts w:hint="default" w:ascii="Times New Roman" w:hAnsi="Times New Roman" w:eastAsia="仿宋_GB2312" w:cs="Times New Roman"/>
          <w:b/>
          <w:bCs/>
          <w:color w:val="auto"/>
          <w:sz w:val="32"/>
          <w:szCs w:val="32"/>
        </w:rPr>
        <w:t>住房保障支出</w:t>
      </w:r>
      <w:r>
        <w:rPr>
          <w:rStyle w:val="23"/>
          <w:rFonts w:hint="default" w:ascii="Times New Roman" w:hAnsi="Times New Roman" w:eastAsia="仿宋_GB2312" w:cs="Times New Roman"/>
          <w:bCs/>
          <w:color w:val="auto"/>
          <w:sz w:val="32"/>
          <w:szCs w:val="32"/>
        </w:rPr>
        <w:t>（类）住房改革支出（款）住房公积金（项）:</w:t>
      </w:r>
      <w:r>
        <w:rPr>
          <w:rStyle w:val="23"/>
          <w:rFonts w:hint="default" w:ascii="Times New Roman" w:hAnsi="Times New Roman" w:eastAsia="仿宋_GB2312" w:cs="Times New Roman"/>
          <w:b w:val="0"/>
          <w:bCs/>
          <w:color w:val="auto"/>
          <w:sz w:val="32"/>
          <w:szCs w:val="32"/>
        </w:rPr>
        <w:t>支出决算为708.44万元，完成预算100%，决算数等于预算数。</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b/>
          <w:color w:val="auto"/>
          <w:sz w:val="32"/>
          <w:szCs w:val="32"/>
        </w:rPr>
      </w:pPr>
      <w:r>
        <w:rPr>
          <w:rStyle w:val="23"/>
          <w:rFonts w:hint="default" w:ascii="Times New Roman" w:hAnsi="Times New Roman" w:eastAsia="仿宋_GB2312" w:cs="Times New Roman"/>
          <w:bCs/>
          <w:color w:val="auto"/>
          <w:sz w:val="32"/>
          <w:szCs w:val="32"/>
        </w:rPr>
        <w:t>27.</w:t>
      </w:r>
      <w:r>
        <w:rPr>
          <w:rFonts w:hint="default" w:ascii="Times New Roman" w:hAnsi="Times New Roman" w:eastAsia="仿宋_GB2312" w:cs="Times New Roman"/>
          <w:b/>
          <w:bCs/>
          <w:color w:val="auto"/>
          <w:sz w:val="32"/>
          <w:szCs w:val="32"/>
        </w:rPr>
        <w:t xml:space="preserve"> 住房保障支出</w:t>
      </w:r>
      <w:r>
        <w:rPr>
          <w:rStyle w:val="23"/>
          <w:rFonts w:hint="default" w:ascii="Times New Roman" w:hAnsi="Times New Roman" w:eastAsia="仿宋_GB2312" w:cs="Times New Roman"/>
          <w:bCs/>
          <w:color w:val="auto"/>
          <w:sz w:val="32"/>
          <w:szCs w:val="32"/>
        </w:rPr>
        <w:t>（类）住房改革支出（款）购房补贴（项）:</w:t>
      </w:r>
      <w:r>
        <w:rPr>
          <w:rStyle w:val="23"/>
          <w:rFonts w:hint="default" w:ascii="Times New Roman" w:hAnsi="Times New Roman" w:eastAsia="仿宋_GB2312" w:cs="Times New Roman"/>
          <w:b w:val="0"/>
          <w:bCs/>
          <w:color w:val="auto"/>
          <w:sz w:val="32"/>
          <w:szCs w:val="32"/>
        </w:rPr>
        <w:t>支出决算为562.52万元，完成预算100%，决算数等于预算数。</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b/>
          <w:color w:val="auto"/>
          <w:sz w:val="32"/>
          <w:szCs w:val="32"/>
        </w:rPr>
      </w:pPr>
      <w:r>
        <w:rPr>
          <w:rStyle w:val="23"/>
          <w:rFonts w:hint="default" w:ascii="Times New Roman" w:hAnsi="Times New Roman" w:eastAsia="仿宋_GB2312" w:cs="Times New Roman"/>
          <w:bCs/>
          <w:color w:val="auto"/>
          <w:sz w:val="32"/>
          <w:szCs w:val="32"/>
        </w:rPr>
        <w:t>28.</w:t>
      </w:r>
      <w:r>
        <w:rPr>
          <w:rFonts w:hint="default" w:ascii="Times New Roman" w:hAnsi="Times New Roman" w:eastAsia="仿宋_GB2312" w:cs="Times New Roman"/>
          <w:b/>
          <w:bCs/>
          <w:color w:val="auto"/>
          <w:sz w:val="32"/>
          <w:szCs w:val="32"/>
        </w:rPr>
        <w:t>灾害防治及应急管理支出</w:t>
      </w:r>
      <w:r>
        <w:rPr>
          <w:rStyle w:val="23"/>
          <w:rFonts w:hint="default" w:ascii="Times New Roman" w:hAnsi="Times New Roman" w:eastAsia="仿宋_GB2312" w:cs="Times New Roman"/>
          <w:bCs/>
          <w:color w:val="auto"/>
          <w:sz w:val="32"/>
          <w:szCs w:val="32"/>
        </w:rPr>
        <w:t>（类）应急管理事务（款）其他应急管理支出（项）:</w:t>
      </w:r>
      <w:r>
        <w:rPr>
          <w:rStyle w:val="23"/>
          <w:rFonts w:hint="default" w:ascii="Times New Roman" w:hAnsi="Times New Roman" w:eastAsia="仿宋_GB2312" w:cs="Times New Roman"/>
          <w:b w:val="0"/>
          <w:bCs/>
          <w:color w:val="auto"/>
          <w:sz w:val="32"/>
          <w:szCs w:val="32"/>
        </w:rPr>
        <w:t>支出决算为9.57万元，完成预算100%，决算数等于预算数。</w:t>
      </w:r>
    </w:p>
    <w:p>
      <w:pPr>
        <w:pageBreakBefore w:val="0"/>
        <w:kinsoku/>
        <w:wordWrap/>
        <w:overflowPunct/>
        <w:topLinePunct w:val="0"/>
        <w:bidi w:val="0"/>
        <w:spacing w:line="560" w:lineRule="exact"/>
        <w:ind w:firstLine="642" w:firstLineChars="200"/>
        <w:rPr>
          <w:rFonts w:hint="default" w:ascii="Times New Roman" w:hAnsi="Times New Roman" w:eastAsia="仿宋" w:cs="Times New Roman"/>
          <w:b/>
          <w:color w:val="auto"/>
          <w:sz w:val="32"/>
          <w:szCs w:val="32"/>
        </w:rPr>
      </w:pPr>
      <w:r>
        <w:rPr>
          <w:rStyle w:val="23"/>
          <w:rFonts w:hint="default" w:ascii="Times New Roman" w:hAnsi="Times New Roman" w:eastAsia="仿宋_GB2312" w:cs="Times New Roman"/>
          <w:bCs/>
          <w:color w:val="auto"/>
          <w:sz w:val="32"/>
          <w:szCs w:val="32"/>
        </w:rPr>
        <w:t>29.</w:t>
      </w:r>
      <w:r>
        <w:rPr>
          <w:rFonts w:hint="default" w:ascii="Times New Roman" w:hAnsi="Times New Roman" w:eastAsia="仿宋_GB2312" w:cs="Times New Roman"/>
          <w:b/>
          <w:bCs/>
          <w:color w:val="auto"/>
          <w:sz w:val="32"/>
          <w:szCs w:val="32"/>
        </w:rPr>
        <w:t>节能环保支出</w:t>
      </w:r>
      <w:r>
        <w:rPr>
          <w:rStyle w:val="23"/>
          <w:rFonts w:hint="default" w:ascii="Times New Roman" w:hAnsi="Times New Roman" w:eastAsia="仿宋_GB2312" w:cs="Times New Roman"/>
          <w:bCs/>
          <w:color w:val="auto"/>
          <w:sz w:val="32"/>
          <w:szCs w:val="32"/>
        </w:rPr>
        <w:t>（类）环境监测与监察（款）其他环境监测与监察（项）:</w:t>
      </w:r>
      <w:r>
        <w:rPr>
          <w:rStyle w:val="23"/>
          <w:rFonts w:hint="default" w:ascii="Times New Roman" w:hAnsi="Times New Roman" w:eastAsia="仿宋_GB2312" w:cs="Times New Roman"/>
          <w:b w:val="0"/>
          <w:bCs/>
          <w:color w:val="auto"/>
          <w:sz w:val="32"/>
          <w:szCs w:val="32"/>
        </w:rPr>
        <w:t>支出决算为</w:t>
      </w:r>
      <w:r>
        <w:rPr>
          <w:rFonts w:hint="default" w:ascii="Times New Roman" w:hAnsi="Times New Roman" w:eastAsia="仿宋_GB2312" w:cs="Times New Roman"/>
          <w:bCs/>
          <w:color w:val="auto"/>
          <w:sz w:val="32"/>
          <w:szCs w:val="32"/>
        </w:rPr>
        <w:t>527.00</w:t>
      </w:r>
      <w:r>
        <w:rPr>
          <w:rStyle w:val="23"/>
          <w:rFonts w:hint="default" w:ascii="Times New Roman" w:hAnsi="Times New Roman" w:eastAsia="仿宋_GB2312" w:cs="Times New Roman"/>
          <w:b w:val="0"/>
          <w:bCs/>
          <w:color w:val="auto"/>
          <w:sz w:val="32"/>
          <w:szCs w:val="32"/>
        </w:rPr>
        <w:t>万元，完成预算100%，决算数等于预算数。</w:t>
      </w:r>
    </w:p>
    <w:p>
      <w:pPr>
        <w:pageBreakBefore w:val="0"/>
        <w:tabs>
          <w:tab w:val="right" w:pos="8306"/>
        </w:tabs>
        <w:kinsoku/>
        <w:wordWrap/>
        <w:overflowPunct/>
        <w:topLinePunct w:val="0"/>
        <w:bidi w:val="0"/>
        <w:spacing w:line="560" w:lineRule="exact"/>
        <w:ind w:firstLine="640"/>
        <w:outlineLvl w:val="1"/>
        <w:rPr>
          <w:rStyle w:val="34"/>
          <w:rFonts w:hint="default" w:ascii="Times New Roman" w:hAnsi="Times New Roman" w:cs="Times New Roman"/>
          <w:color w:val="auto"/>
        </w:rPr>
      </w:pPr>
      <w:bookmarkStart w:id="70" w:name="_Toc15396608"/>
      <w:bookmarkStart w:id="71" w:name="_Toc112248408"/>
      <w:bookmarkStart w:id="72" w:name="_Toc15377214"/>
      <w:r>
        <w:rPr>
          <w:rFonts w:hint="default" w:ascii="Times New Roman" w:hAnsi="Times New Roman" w:eastAsia="黑体" w:cs="Times New Roman"/>
          <w:color w:val="auto"/>
          <w:sz w:val="32"/>
          <w:szCs w:val="32"/>
        </w:rPr>
        <w:t>六</w:t>
      </w:r>
      <w:r>
        <w:rPr>
          <w:rFonts w:hint="default" w:ascii="Times New Roman" w:hAnsi="Times New Roman" w:eastAsia="黑体" w:cs="Times New Roman"/>
          <w:b/>
          <w:color w:val="auto"/>
          <w:sz w:val="32"/>
          <w:szCs w:val="32"/>
        </w:rPr>
        <w:t>、一</w:t>
      </w:r>
      <w:r>
        <w:rPr>
          <w:rStyle w:val="34"/>
          <w:rFonts w:hint="default" w:ascii="Times New Roman" w:hAnsi="Times New Roman" w:eastAsia="黑体" w:cs="Times New Roman"/>
          <w:b w:val="0"/>
          <w:color w:val="auto"/>
        </w:rPr>
        <w:t>般公共预算财政拨款基本支出决算情况说明</w:t>
      </w:r>
      <w:bookmarkEnd w:id="70"/>
      <w:bookmarkEnd w:id="71"/>
      <w:bookmarkEnd w:id="72"/>
      <w:r>
        <w:rPr>
          <w:rStyle w:val="34"/>
          <w:rFonts w:hint="default" w:ascii="Times New Roman" w:hAnsi="Times New Roman" w:eastAsia="黑体" w:cs="Times New Roman"/>
          <w:b w:val="0"/>
          <w:color w:val="auto"/>
        </w:rPr>
        <w:tab/>
      </w:r>
    </w:p>
    <w:p>
      <w:pPr>
        <w:pageBreakBefore w:val="0"/>
        <w:kinsoku/>
        <w:wordWrap/>
        <w:overflowPunct/>
        <w:topLinePunct w:val="0"/>
        <w:bidi w:val="0"/>
        <w:spacing w:line="560" w:lineRule="exact"/>
        <w:ind w:firstLine="646"/>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2021年一般公共预算财政拨款基本支出15,055.79万元，其中：</w:t>
      </w:r>
    </w:p>
    <w:p>
      <w:pPr>
        <w:pageBreakBefore w:val="0"/>
        <w:kinsoku/>
        <w:wordWrap/>
        <w:overflowPunct/>
        <w:topLinePunct w:val="0"/>
        <w:bidi w:val="0"/>
        <w:spacing w:line="560" w:lineRule="exact"/>
        <w:ind w:firstLine="646"/>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人员经费11,715.92万元，主要包括：基本工资、津贴补贴、奖金、绩效工资、机关事业单位基本养老保险缴费、职业年金缴费、其他社会保障缴费、其他工资福利支出、离休费、退休费、抚恤金、生活补助、奖励金、住房公积金、其他对个人和家庭的补助支出等。</w:t>
      </w:r>
    </w:p>
    <w:p>
      <w:pPr>
        <w:pageBreakBefore w:val="0"/>
        <w:kinsoku/>
        <w:wordWrap/>
        <w:overflowPunct/>
        <w:topLinePunct w:val="0"/>
        <w:bidi w:val="0"/>
        <w:spacing w:line="560" w:lineRule="exact"/>
        <w:ind w:firstLine="646"/>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用经费3,339.87万元，主要包括：办公费、印刷费、咨询费、手续费、水费、电费、邮电费、取暖费、物业管理费、差旅费、维修（护）费、租赁费、会议费、培训费、公务接待费、劳务费、委托业务费、工会经费、福利费、公务用车运行维护费、其他交通费、其他商品和服务支出等。</w:t>
      </w:r>
    </w:p>
    <w:p>
      <w:pPr>
        <w:pageBreakBefore w:val="0"/>
        <w:kinsoku/>
        <w:wordWrap/>
        <w:overflowPunct/>
        <w:topLinePunct w:val="0"/>
        <w:bidi w:val="0"/>
        <w:spacing w:line="560" w:lineRule="exact"/>
        <w:ind w:firstLine="640"/>
        <w:outlineLvl w:val="1"/>
        <w:rPr>
          <w:rStyle w:val="34"/>
          <w:rFonts w:hint="default" w:ascii="Times New Roman" w:hAnsi="Times New Roman" w:eastAsia="黑体" w:cs="Times New Roman"/>
          <w:b w:val="0"/>
          <w:color w:val="auto"/>
        </w:rPr>
      </w:pPr>
      <w:bookmarkStart w:id="73" w:name="_Toc15377215"/>
      <w:bookmarkStart w:id="74" w:name="_Toc15396609"/>
      <w:bookmarkStart w:id="75" w:name="_Toc112248409"/>
      <w:r>
        <w:rPr>
          <w:rFonts w:hint="default" w:ascii="Times New Roman" w:hAnsi="Times New Roman" w:eastAsia="黑体" w:cs="Times New Roman"/>
          <w:color w:val="auto"/>
          <w:sz w:val="32"/>
          <w:szCs w:val="32"/>
        </w:rPr>
        <w:t>七、</w:t>
      </w:r>
      <w:r>
        <w:rPr>
          <w:rStyle w:val="34"/>
          <w:rFonts w:hint="default" w:ascii="Times New Roman" w:hAnsi="Times New Roman" w:eastAsia="黑体" w:cs="Times New Roman"/>
          <w:color w:val="auto"/>
        </w:rPr>
        <w:t>“</w:t>
      </w:r>
      <w:r>
        <w:rPr>
          <w:rStyle w:val="34"/>
          <w:rFonts w:hint="default" w:ascii="Times New Roman" w:hAnsi="Times New Roman" w:eastAsia="黑体" w:cs="Times New Roman"/>
          <w:b w:val="0"/>
          <w:color w:val="auto"/>
        </w:rPr>
        <w:t>三公”经费财政拨款支出决算情况说明</w:t>
      </w:r>
      <w:bookmarkEnd w:id="73"/>
      <w:bookmarkEnd w:id="74"/>
      <w:bookmarkEnd w:id="75"/>
    </w:p>
    <w:p>
      <w:pPr>
        <w:pageBreakBefore w:val="0"/>
        <w:kinsoku/>
        <w:wordWrap/>
        <w:overflowPunct/>
        <w:topLinePunct w:val="0"/>
        <w:bidi w:val="0"/>
        <w:spacing w:line="560" w:lineRule="exact"/>
        <w:ind w:firstLine="640"/>
        <w:outlineLvl w:val="2"/>
        <w:rPr>
          <w:rFonts w:hint="default" w:ascii="Times New Roman" w:hAnsi="Times New Roman" w:eastAsia="楷体_GB2312" w:cs="Times New Roman"/>
          <w:b/>
          <w:bCs w:val="0"/>
          <w:color w:val="auto"/>
          <w:sz w:val="32"/>
          <w:szCs w:val="32"/>
        </w:rPr>
      </w:pPr>
      <w:bookmarkStart w:id="76" w:name="_Toc15377216"/>
      <w:bookmarkStart w:id="77" w:name="_Toc112248410"/>
      <w:r>
        <w:rPr>
          <w:rFonts w:hint="default" w:ascii="Times New Roman" w:hAnsi="Times New Roman" w:eastAsia="楷体_GB2312" w:cs="Times New Roman"/>
          <w:b/>
          <w:bCs w:val="0"/>
          <w:color w:val="auto"/>
          <w:sz w:val="32"/>
          <w:szCs w:val="32"/>
        </w:rPr>
        <w:t>（一）“三公”经费财政拨款支出决算总体情况说明</w:t>
      </w:r>
      <w:bookmarkEnd w:id="76"/>
      <w:r>
        <w:rPr>
          <w:rFonts w:hint="default" w:ascii="Times New Roman" w:hAnsi="Times New Roman" w:eastAsia="楷体_GB2312" w:cs="Times New Roman"/>
          <w:b/>
          <w:bCs w:val="0"/>
          <w:color w:val="auto"/>
          <w:sz w:val="32"/>
          <w:szCs w:val="32"/>
        </w:rPr>
        <w:t>。</w:t>
      </w:r>
      <w:bookmarkEnd w:id="77"/>
    </w:p>
    <w:p>
      <w:pPr>
        <w:pageBreakBefore w:val="0"/>
        <w:kinsoku/>
        <w:wordWrap/>
        <w:overflowPunct/>
        <w:topLinePunct w:val="0"/>
        <w:bidi w:val="0"/>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2021年“三公”经费财政拨款支出决算为144.18万元，完成预算100%，决算数与预算数持平。</w:t>
      </w:r>
    </w:p>
    <w:p>
      <w:pPr>
        <w:pageBreakBefore w:val="0"/>
        <w:kinsoku/>
        <w:wordWrap/>
        <w:overflowPunct/>
        <w:topLinePunct w:val="0"/>
        <w:bidi w:val="0"/>
        <w:spacing w:line="560" w:lineRule="exact"/>
        <w:ind w:firstLine="640"/>
        <w:outlineLvl w:val="2"/>
        <w:rPr>
          <w:rFonts w:hint="default" w:ascii="Times New Roman" w:hAnsi="Times New Roman" w:eastAsia="楷体_GB2312" w:cs="Times New Roman"/>
          <w:b/>
          <w:bCs w:val="0"/>
          <w:color w:val="auto"/>
          <w:sz w:val="32"/>
          <w:szCs w:val="32"/>
        </w:rPr>
      </w:pPr>
      <w:bookmarkStart w:id="78" w:name="_Toc15377217"/>
      <w:bookmarkStart w:id="79" w:name="_Toc112248411"/>
      <w:r>
        <w:rPr>
          <w:rFonts w:hint="default" w:ascii="Times New Roman" w:hAnsi="Times New Roman" w:eastAsia="楷体_GB2312" w:cs="Times New Roman"/>
          <w:b/>
          <w:bCs w:val="0"/>
          <w:color w:val="auto"/>
          <w:sz w:val="32"/>
          <w:szCs w:val="32"/>
        </w:rPr>
        <w:t>（二）“三公”经费财政拨款支出决算具体情况说明</w:t>
      </w:r>
      <w:bookmarkEnd w:id="78"/>
      <w:r>
        <w:rPr>
          <w:rFonts w:hint="default" w:ascii="Times New Roman" w:hAnsi="Times New Roman" w:eastAsia="楷体_GB2312" w:cs="Times New Roman"/>
          <w:b/>
          <w:bCs w:val="0"/>
          <w:color w:val="auto"/>
          <w:sz w:val="32"/>
          <w:szCs w:val="32"/>
        </w:rPr>
        <w:t>。</w:t>
      </w:r>
      <w:bookmarkEnd w:id="79"/>
    </w:p>
    <w:p>
      <w:pPr>
        <w:pageBreakBefore w:val="0"/>
        <w:kinsoku/>
        <w:wordWrap/>
        <w:overflowPunct/>
        <w:topLinePunct w:val="0"/>
        <w:bidi w:val="0"/>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2021年“三公”经费财政拨款支出决算中，因公出国（境）费支出决算0万元，占0%；公务用车购置及运行维护费支出决算133.30万元，占92.45%；公务接待费支出决算10.88万元，占7.55%。具体情况如下：</w:t>
      </w:r>
    </w:p>
    <w:p>
      <w:pPr>
        <w:pStyle w:val="8"/>
        <w:pageBreakBefore w:val="0"/>
        <w:kinsoku/>
        <w:wordWrap/>
        <w:overflowPunct/>
        <w:topLinePunct w:val="0"/>
        <w:bidi w:val="0"/>
        <w:spacing w:before="93" w:line="560"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rPr>
        <w:drawing>
          <wp:anchor distT="0" distB="0" distL="114300" distR="114300" simplePos="0" relativeHeight="251665408" behindDoc="0" locked="0" layoutInCell="1" allowOverlap="1">
            <wp:simplePos x="0" y="0"/>
            <wp:positionH relativeFrom="column">
              <wp:posOffset>451485</wp:posOffset>
            </wp:positionH>
            <wp:positionV relativeFrom="paragraph">
              <wp:posOffset>268605</wp:posOffset>
            </wp:positionV>
            <wp:extent cx="4683125" cy="2476500"/>
            <wp:effectExtent l="4445" t="4445" r="17780" b="14605"/>
            <wp:wrapTopAndBottom/>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default" w:ascii="Times New Roman" w:hAnsi="Times New Roman" w:cs="Times New Roman"/>
          <w:color w:val="auto"/>
          <w:lang w:val="en-US" w:eastAsia="zh-CN"/>
        </w:rPr>
        <w:t xml:space="preserve">    </w:t>
      </w:r>
      <w:r>
        <w:rPr>
          <w:rFonts w:hint="default" w:ascii="Times New Roman" w:hAnsi="Times New Roman" w:eastAsia="仿宋_GB2312" w:cs="Times New Roman"/>
          <w:b/>
          <w:color w:val="auto"/>
          <w:sz w:val="32"/>
          <w:szCs w:val="32"/>
        </w:rPr>
        <w:t>1.因公出国（境）经费支出</w:t>
      </w:r>
      <w:r>
        <w:rPr>
          <w:rFonts w:hint="default" w:ascii="Times New Roman" w:hAnsi="Times New Roman" w:eastAsia="仿宋_GB2312" w:cs="Times New Roman"/>
          <w:color w:val="auto"/>
          <w:sz w:val="32"/>
          <w:szCs w:val="32"/>
        </w:rPr>
        <w:t>0万元，</w:t>
      </w:r>
      <w:r>
        <w:rPr>
          <w:rStyle w:val="23"/>
          <w:rFonts w:hint="default" w:ascii="Times New Roman" w:hAnsi="Times New Roman" w:eastAsia="仿宋_GB2312" w:cs="Times New Roman"/>
          <w:b w:val="0"/>
          <w:bCs/>
          <w:color w:val="auto"/>
          <w:sz w:val="32"/>
          <w:szCs w:val="32"/>
        </w:rPr>
        <w:t>完成预算100%。</w:t>
      </w:r>
      <w:r>
        <w:rPr>
          <w:rFonts w:hint="default" w:ascii="Times New Roman" w:hAnsi="Times New Roman" w:eastAsia="仿宋_GB2312" w:cs="Times New Roman"/>
          <w:color w:val="auto"/>
          <w:sz w:val="32"/>
          <w:szCs w:val="32"/>
        </w:rPr>
        <w:t>全年安排因公出国（境）团组0次，出国（境）0人。因公出国（境）支出决算与2020年持平。</w:t>
      </w:r>
    </w:p>
    <w:p>
      <w:pPr>
        <w:pageBreakBefore w:val="0"/>
        <w:kinsoku/>
        <w:wordWrap/>
        <w:overflowPunct/>
        <w:topLinePunct w:val="0"/>
        <w:bidi w:val="0"/>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2.公务用车购置及运行维护费支出</w:t>
      </w:r>
      <w:r>
        <w:rPr>
          <w:rFonts w:hint="default" w:ascii="Times New Roman" w:hAnsi="Times New Roman" w:eastAsia="仿宋_GB2312" w:cs="Times New Roman"/>
          <w:color w:val="auto"/>
          <w:sz w:val="32"/>
          <w:szCs w:val="32"/>
        </w:rPr>
        <w:t>133.30万元,</w:t>
      </w:r>
      <w:r>
        <w:rPr>
          <w:rStyle w:val="23"/>
          <w:rFonts w:hint="default" w:ascii="Times New Roman" w:hAnsi="Times New Roman" w:eastAsia="仿宋_GB2312" w:cs="Times New Roman"/>
          <w:b w:val="0"/>
          <w:bCs/>
          <w:color w:val="auto"/>
          <w:sz w:val="32"/>
          <w:szCs w:val="32"/>
        </w:rPr>
        <w:t>完成预算100%。</w:t>
      </w:r>
      <w:r>
        <w:rPr>
          <w:rFonts w:hint="default" w:ascii="Times New Roman" w:hAnsi="Times New Roman" w:eastAsia="仿宋_GB2312" w:cs="Times New Roman"/>
          <w:color w:val="auto"/>
          <w:sz w:val="32"/>
          <w:szCs w:val="32"/>
        </w:rPr>
        <w:t>公务用车购置及运行维护费支出决算比2020年减少7.78万元，下降5.52%。主要原因是受新冠肺炎疫情影响，出差调研等公务活动减少致使公务用车较上年略有减少。</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其中：</w:t>
      </w:r>
      <w:r>
        <w:rPr>
          <w:rFonts w:hint="default" w:ascii="Times New Roman" w:hAnsi="Times New Roman" w:eastAsia="仿宋_GB2312" w:cs="Times New Roman"/>
          <w:b/>
          <w:color w:val="auto"/>
          <w:sz w:val="32"/>
          <w:szCs w:val="32"/>
        </w:rPr>
        <w:t>公务用车购置支出</w:t>
      </w:r>
      <w:r>
        <w:rPr>
          <w:rFonts w:hint="default" w:ascii="Times New Roman" w:hAnsi="Times New Roman" w:eastAsia="仿宋_GB2312" w:cs="Times New Roman"/>
          <w:color w:val="auto"/>
          <w:sz w:val="32"/>
          <w:szCs w:val="32"/>
        </w:rPr>
        <w:t>0万元。全年按规定更新购置公务用车0辆，其中：轿车0辆、金额0万元，越野车0辆、金额0万元，载客汽车0辆、金额0万元。截至2021年12月底，单位共有公务用车42辆，其中：轿车26辆、越野车9辆、载客汽车7辆。</w:t>
      </w:r>
    </w:p>
    <w:p>
      <w:pPr>
        <w:pageBreakBefore w:val="0"/>
        <w:kinsoku/>
        <w:wordWrap/>
        <w:overflowPunct/>
        <w:topLinePunct w:val="0"/>
        <w:bidi w:val="0"/>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公务用车运行维护费支出</w:t>
      </w:r>
      <w:r>
        <w:rPr>
          <w:rFonts w:hint="default" w:ascii="Times New Roman" w:hAnsi="Times New Roman" w:eastAsia="仿宋_GB2312" w:cs="Times New Roman"/>
          <w:color w:val="auto"/>
          <w:sz w:val="32"/>
          <w:szCs w:val="32"/>
        </w:rPr>
        <w:t>133.30万元。主要用于</w:t>
      </w:r>
      <w:r>
        <w:rPr>
          <w:rFonts w:hint="default" w:ascii="Times New Roman" w:hAnsi="Times New Roman" w:eastAsia="仿宋_GB2312" w:cs="Times New Roman"/>
          <w:color w:val="auto"/>
          <w:sz w:val="32"/>
          <w:shd w:val="clear" w:color="auto" w:fill="FFFFFF"/>
        </w:rPr>
        <w:t>重大政策调研、专项检查及国家和兄弟省市来川调研考察</w:t>
      </w:r>
      <w:r>
        <w:rPr>
          <w:rFonts w:hint="default" w:ascii="Times New Roman" w:hAnsi="Times New Roman" w:eastAsia="仿宋_GB2312" w:cs="Times New Roman"/>
          <w:color w:val="auto"/>
          <w:sz w:val="32"/>
          <w:szCs w:val="32"/>
        </w:rPr>
        <w:t>等所需的公务用车燃料费、维修费、过路过桥费、保险费等支出。</w:t>
      </w:r>
    </w:p>
    <w:p>
      <w:pPr>
        <w:pageBreakBefore w:val="0"/>
        <w:kinsoku/>
        <w:wordWrap/>
        <w:overflowPunct/>
        <w:topLinePunct w:val="0"/>
        <w:bidi w:val="0"/>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3.公务接待费支出</w:t>
      </w:r>
      <w:r>
        <w:rPr>
          <w:rFonts w:hint="default" w:ascii="Times New Roman" w:hAnsi="Times New Roman" w:eastAsia="仿宋_GB2312" w:cs="Times New Roman"/>
          <w:color w:val="auto"/>
          <w:sz w:val="32"/>
          <w:szCs w:val="32"/>
        </w:rPr>
        <w:t>10.88万元，</w:t>
      </w:r>
      <w:r>
        <w:rPr>
          <w:rStyle w:val="23"/>
          <w:rFonts w:hint="default" w:ascii="Times New Roman" w:hAnsi="Times New Roman" w:eastAsia="仿宋_GB2312" w:cs="Times New Roman"/>
          <w:b w:val="0"/>
          <w:bCs/>
          <w:color w:val="auto"/>
          <w:sz w:val="32"/>
          <w:szCs w:val="32"/>
        </w:rPr>
        <w:t>完成预算100%。</w:t>
      </w:r>
      <w:r>
        <w:rPr>
          <w:rFonts w:hint="default" w:ascii="Times New Roman" w:hAnsi="Times New Roman" w:eastAsia="仿宋_GB2312" w:cs="Times New Roman"/>
          <w:color w:val="auto"/>
          <w:sz w:val="32"/>
          <w:szCs w:val="32"/>
        </w:rPr>
        <w:t>公务接待费支出决算比2020年减少2.78万元，下降20.35%。主要原因：</w:t>
      </w:r>
      <w:r>
        <w:rPr>
          <w:rFonts w:hint="default" w:ascii="Times New Roman" w:hAnsi="Times New Roman" w:eastAsia="仿宋_GB2312" w:cs="Times New Roman"/>
          <w:b/>
          <w:bCs/>
          <w:color w:val="auto"/>
          <w:sz w:val="32"/>
          <w:szCs w:val="32"/>
        </w:rPr>
        <w:t>一是</w:t>
      </w:r>
      <w:r>
        <w:rPr>
          <w:rFonts w:hint="default" w:ascii="Times New Roman" w:hAnsi="Times New Roman" w:eastAsia="仿宋_GB2312" w:cs="Times New Roman"/>
          <w:color w:val="auto"/>
          <w:sz w:val="32"/>
          <w:szCs w:val="32"/>
        </w:rPr>
        <w:t>严格落实中央八项规定和省委省政府十项规定及实施细则，严格执行公务接待标准，严格审批公务接待活动，严控接待费支出；</w:t>
      </w:r>
      <w:r>
        <w:rPr>
          <w:rFonts w:hint="default" w:ascii="Times New Roman" w:hAnsi="Times New Roman" w:eastAsia="仿宋_GB2312" w:cs="Times New Roman"/>
          <w:b/>
          <w:bCs/>
          <w:color w:val="auto"/>
          <w:sz w:val="32"/>
          <w:szCs w:val="32"/>
        </w:rPr>
        <w:t>二是</w:t>
      </w:r>
      <w:r>
        <w:rPr>
          <w:rFonts w:hint="default" w:ascii="Times New Roman" w:hAnsi="Times New Roman" w:eastAsia="仿宋_GB2312" w:cs="Times New Roman"/>
          <w:color w:val="auto"/>
          <w:sz w:val="32"/>
          <w:szCs w:val="32"/>
        </w:rPr>
        <w:t>受新冠肺炎疫情的影响公务接待活动减少。其中：</w:t>
      </w:r>
    </w:p>
    <w:p>
      <w:pPr>
        <w:pageBreakBefore w:val="0"/>
        <w:kinsoku/>
        <w:wordWrap/>
        <w:overflowPunct/>
        <w:topLinePunct w:val="0"/>
        <w:bidi w:val="0"/>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国内公务接待支出</w:t>
      </w:r>
      <w:r>
        <w:rPr>
          <w:rFonts w:hint="default" w:ascii="Times New Roman" w:hAnsi="Times New Roman" w:eastAsia="仿宋_GB2312" w:cs="Times New Roman"/>
          <w:color w:val="auto"/>
          <w:sz w:val="32"/>
          <w:szCs w:val="32"/>
        </w:rPr>
        <w:t>10.88万元，主要用于</w:t>
      </w:r>
      <w:r>
        <w:rPr>
          <w:rFonts w:hint="default" w:ascii="Times New Roman" w:hAnsi="Times New Roman" w:eastAsia="仿宋_GB2312" w:cs="Times New Roman"/>
          <w:bCs/>
          <w:color w:val="auto"/>
          <w:sz w:val="32"/>
          <w:shd w:val="clear" w:color="auto" w:fill="FFFFFF"/>
        </w:rPr>
        <w:t>交流合作及国内招商引资及国家重大政策调研</w:t>
      </w:r>
      <w:r>
        <w:rPr>
          <w:rFonts w:hint="default" w:ascii="Times New Roman" w:hAnsi="Times New Roman" w:eastAsia="仿宋_GB2312" w:cs="Times New Roman"/>
          <w:color w:val="auto"/>
          <w:sz w:val="32"/>
          <w:shd w:val="clear" w:color="auto" w:fill="FFFFFF"/>
        </w:rPr>
        <w:t>等费用</w:t>
      </w:r>
      <w:r>
        <w:rPr>
          <w:rFonts w:hint="default" w:ascii="Times New Roman" w:hAnsi="Times New Roman" w:eastAsia="仿宋_GB2312" w:cs="Times New Roman"/>
          <w:color w:val="auto"/>
          <w:sz w:val="32"/>
          <w:szCs w:val="32"/>
        </w:rPr>
        <w:t>。国内公务接待80批次，732人次（不包括陪同人员），共计支出10.88万元，具体内容包括：兄弟省市及各市州重大交流合作活动，内蒙</w:t>
      </w:r>
      <w:r>
        <w:rPr>
          <w:rFonts w:hint="eastAsia" w:eastAsia="仿宋_GB2312" w:cs="Times New Roman"/>
          <w:color w:val="auto"/>
          <w:sz w:val="32"/>
          <w:szCs w:val="32"/>
          <w:lang w:eastAsia="zh-CN"/>
        </w:rPr>
        <w:t>古</w:t>
      </w:r>
      <w:r>
        <w:rPr>
          <w:rFonts w:hint="default" w:ascii="Times New Roman" w:hAnsi="Times New Roman" w:eastAsia="仿宋_GB2312" w:cs="Times New Roman"/>
          <w:color w:val="auto"/>
          <w:sz w:val="32"/>
          <w:szCs w:val="32"/>
        </w:rPr>
        <w:t>、重庆、广西、甘肃、河南、浙江、宁夏、广东等考察团来川考察交流的用餐费、会场租赁费、交通费以及接待国家重大政策调研、检查等费用。</w:t>
      </w:r>
    </w:p>
    <w:p>
      <w:pPr>
        <w:pageBreakBefore w:val="0"/>
        <w:kinsoku/>
        <w:wordWrap/>
        <w:overflowPunct/>
        <w:topLinePunct w:val="0"/>
        <w:bidi w:val="0"/>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外事接待支出</w:t>
      </w:r>
      <w:r>
        <w:rPr>
          <w:rFonts w:hint="default" w:ascii="Times New Roman" w:hAnsi="Times New Roman" w:eastAsia="仿宋_GB2312" w:cs="Times New Roman"/>
          <w:color w:val="auto"/>
          <w:sz w:val="32"/>
          <w:szCs w:val="32"/>
        </w:rPr>
        <w:t>0万元，外事接待0批次，0人，共计支出0万元。</w:t>
      </w:r>
      <w:bookmarkStart w:id="80" w:name="_Toc15377218"/>
      <w:bookmarkStart w:id="81" w:name="_Toc15396610"/>
    </w:p>
    <w:p>
      <w:pPr>
        <w:pageBreakBefore w:val="0"/>
        <w:kinsoku/>
        <w:wordWrap/>
        <w:overflowPunct/>
        <w:topLinePunct w:val="0"/>
        <w:bidi w:val="0"/>
        <w:spacing w:line="560" w:lineRule="exact"/>
        <w:ind w:firstLine="640"/>
        <w:outlineLvl w:val="1"/>
        <w:rPr>
          <w:rStyle w:val="34"/>
          <w:rFonts w:hint="default" w:ascii="Times New Roman" w:hAnsi="Times New Roman" w:eastAsia="黑体" w:cs="Times New Roman"/>
          <w:color w:val="auto"/>
        </w:rPr>
      </w:pPr>
      <w:bookmarkStart w:id="82" w:name="_Toc112248412"/>
      <w:r>
        <w:rPr>
          <w:rFonts w:hint="default" w:ascii="Times New Roman" w:hAnsi="Times New Roman" w:eastAsia="黑体" w:cs="Times New Roman"/>
          <w:color w:val="auto"/>
          <w:sz w:val="32"/>
          <w:szCs w:val="32"/>
        </w:rPr>
        <w:t>八、</w:t>
      </w:r>
      <w:r>
        <w:rPr>
          <w:rStyle w:val="34"/>
          <w:rFonts w:hint="default" w:ascii="Times New Roman" w:hAnsi="Times New Roman" w:eastAsia="黑体" w:cs="Times New Roman"/>
          <w:b w:val="0"/>
          <w:color w:val="auto"/>
        </w:rPr>
        <w:t>政府性基金预算支出决算情况说明</w:t>
      </w:r>
      <w:bookmarkEnd w:id="80"/>
      <w:bookmarkEnd w:id="81"/>
      <w:bookmarkEnd w:id="82"/>
    </w:p>
    <w:p>
      <w:pPr>
        <w:pageBreakBefore w:val="0"/>
        <w:kinsoku/>
        <w:wordWrap/>
        <w:overflowPunct/>
        <w:topLinePunct w:val="0"/>
        <w:bidi w:val="0"/>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2021年政府性基金预算财政拨款支出0万元。</w:t>
      </w:r>
    </w:p>
    <w:p>
      <w:pPr>
        <w:pageBreakBefore w:val="0"/>
        <w:numPr>
          <w:ilvl w:val="0"/>
          <w:numId w:val="4"/>
        </w:numPr>
        <w:kinsoku/>
        <w:wordWrap/>
        <w:overflowPunct/>
        <w:topLinePunct w:val="0"/>
        <w:bidi w:val="0"/>
        <w:spacing w:line="560" w:lineRule="exact"/>
        <w:ind w:firstLine="640"/>
        <w:outlineLvl w:val="1"/>
        <w:rPr>
          <w:rStyle w:val="34"/>
          <w:rFonts w:hint="default" w:ascii="Times New Roman" w:hAnsi="Times New Roman" w:eastAsia="黑体" w:cs="Times New Roman"/>
          <w:b w:val="0"/>
          <w:color w:val="auto"/>
        </w:rPr>
      </w:pPr>
      <w:bookmarkStart w:id="83" w:name="_Toc15377219"/>
      <w:bookmarkStart w:id="84" w:name="_Toc112248413"/>
      <w:bookmarkStart w:id="85" w:name="_Toc15396611"/>
      <w:r>
        <w:rPr>
          <w:rStyle w:val="34"/>
          <w:rFonts w:hint="default" w:ascii="Times New Roman" w:hAnsi="Times New Roman" w:eastAsia="黑体" w:cs="Times New Roman"/>
          <w:b w:val="0"/>
          <w:color w:val="auto"/>
        </w:rPr>
        <w:t>国有资本经营预算支出决算情况说明</w:t>
      </w:r>
      <w:bookmarkEnd w:id="83"/>
      <w:bookmarkEnd w:id="84"/>
      <w:bookmarkEnd w:id="85"/>
    </w:p>
    <w:p>
      <w:pPr>
        <w:pageBreakBefore w:val="0"/>
        <w:kinsoku/>
        <w:wordWrap/>
        <w:overflowPunct/>
        <w:topLinePunct w:val="0"/>
        <w:bidi w:val="0"/>
        <w:spacing w:line="560" w:lineRule="exact"/>
        <w:ind w:firstLine="640"/>
        <w:rPr>
          <w:rFonts w:hint="default" w:ascii="Times New Roman" w:hAnsi="Times New Roman" w:eastAsia="方正小标宋简体" w:cs="Times New Roman"/>
          <w:color w:val="auto"/>
          <w:sz w:val="44"/>
          <w:szCs w:val="44"/>
        </w:rPr>
      </w:pPr>
      <w:r>
        <w:rPr>
          <w:rFonts w:hint="default" w:ascii="Times New Roman" w:hAnsi="Times New Roman" w:eastAsia="仿宋_GB2312" w:cs="Times New Roman"/>
          <w:color w:val="auto"/>
          <w:sz w:val="32"/>
          <w:szCs w:val="32"/>
        </w:rPr>
        <w:t>2021年国有资本经营预算财政拨款支出0万元。</w:t>
      </w:r>
    </w:p>
    <w:p>
      <w:pPr>
        <w:pageBreakBefore w:val="0"/>
        <w:numPr>
          <w:ilvl w:val="0"/>
          <w:numId w:val="4"/>
        </w:numPr>
        <w:kinsoku/>
        <w:wordWrap/>
        <w:overflowPunct/>
        <w:topLinePunct w:val="0"/>
        <w:bidi w:val="0"/>
        <w:spacing w:line="560" w:lineRule="exact"/>
        <w:ind w:firstLine="640"/>
        <w:outlineLvl w:val="1"/>
        <w:rPr>
          <w:rStyle w:val="34"/>
          <w:rFonts w:hint="default" w:ascii="Times New Roman" w:hAnsi="Times New Roman" w:eastAsia="黑体" w:cs="Times New Roman"/>
          <w:b w:val="0"/>
          <w:color w:val="auto"/>
        </w:rPr>
      </w:pPr>
      <w:bookmarkStart w:id="86" w:name="_Toc15377221"/>
      <w:bookmarkStart w:id="87" w:name="_Toc15396612"/>
      <w:bookmarkStart w:id="88" w:name="_Toc112248414"/>
      <w:r>
        <w:rPr>
          <w:rStyle w:val="34"/>
          <w:rFonts w:hint="default" w:ascii="Times New Roman" w:hAnsi="Times New Roman" w:eastAsia="黑体" w:cs="Times New Roman"/>
          <w:b w:val="0"/>
          <w:color w:val="auto"/>
        </w:rPr>
        <w:t>其他重要事项的情况说明</w:t>
      </w:r>
      <w:bookmarkEnd w:id="86"/>
      <w:bookmarkEnd w:id="87"/>
      <w:bookmarkEnd w:id="88"/>
    </w:p>
    <w:p>
      <w:pPr>
        <w:pageBreakBefore w:val="0"/>
        <w:kinsoku/>
        <w:wordWrap/>
        <w:overflowPunct/>
        <w:topLinePunct w:val="0"/>
        <w:bidi w:val="0"/>
        <w:spacing w:line="560" w:lineRule="exact"/>
        <w:ind w:firstLine="642" w:firstLineChars="200"/>
        <w:outlineLvl w:val="2"/>
        <w:rPr>
          <w:rFonts w:hint="default" w:ascii="Times New Roman" w:hAnsi="Times New Roman" w:eastAsia="楷体_GB2312" w:cs="Times New Roman"/>
          <w:b/>
          <w:bCs w:val="0"/>
          <w:color w:val="auto"/>
          <w:sz w:val="32"/>
          <w:szCs w:val="32"/>
        </w:rPr>
      </w:pPr>
      <w:bookmarkStart w:id="89" w:name="_Toc15377222"/>
      <w:bookmarkStart w:id="90" w:name="_Toc112248415"/>
      <w:r>
        <w:rPr>
          <w:rFonts w:hint="default" w:ascii="Times New Roman" w:hAnsi="Times New Roman" w:eastAsia="楷体_GB2312" w:cs="Times New Roman"/>
          <w:b/>
          <w:bCs w:val="0"/>
          <w:color w:val="auto"/>
          <w:sz w:val="32"/>
          <w:szCs w:val="32"/>
        </w:rPr>
        <w:t>（一）机关运行经费支出情况</w:t>
      </w:r>
      <w:bookmarkEnd w:id="89"/>
      <w:r>
        <w:rPr>
          <w:rFonts w:hint="default" w:ascii="Times New Roman" w:hAnsi="Times New Roman" w:eastAsia="楷体_GB2312" w:cs="Times New Roman"/>
          <w:b/>
          <w:bCs w:val="0"/>
          <w:color w:val="auto"/>
          <w:sz w:val="32"/>
          <w:szCs w:val="32"/>
        </w:rPr>
        <w:t>。</w:t>
      </w:r>
      <w:bookmarkEnd w:id="90"/>
    </w:p>
    <w:p>
      <w:pPr>
        <w:pageBreakBefore w:val="0"/>
        <w:kinsoku/>
        <w:wordWrap/>
        <w:overflowPunct/>
        <w:topLinePunct w:val="0"/>
        <w:bidi w:val="0"/>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2021年，四川省发展和改革委员会机关运行经费支出3,119.58万元，比2020年增加131.91万元，增长4.42%。主要原因</w:t>
      </w:r>
      <w:r>
        <w:rPr>
          <w:rFonts w:hint="default" w:ascii="Times New Roman" w:hAnsi="Times New Roman" w:eastAsia="仿宋_GB2312" w:cs="Times New Roman"/>
          <w:color w:val="auto"/>
          <w:sz w:val="32"/>
          <w:szCs w:val="32"/>
          <w:lang w:eastAsia="zh-CN"/>
        </w:rPr>
        <w:t>是更新办公</w:t>
      </w:r>
      <w:r>
        <w:rPr>
          <w:rFonts w:hint="default" w:ascii="Times New Roman" w:hAnsi="Times New Roman" w:eastAsia="仿宋_GB2312" w:cs="Times New Roman"/>
          <w:color w:val="auto"/>
          <w:sz w:val="32"/>
          <w:szCs w:val="32"/>
        </w:rPr>
        <w:t>设备</w:t>
      </w:r>
      <w:r>
        <w:rPr>
          <w:rFonts w:hint="default" w:ascii="Times New Roman" w:hAnsi="Times New Roman" w:eastAsia="仿宋_GB2312" w:cs="Times New Roman"/>
          <w:color w:val="auto"/>
          <w:sz w:val="32"/>
          <w:szCs w:val="32"/>
          <w:lang w:eastAsia="zh-CN"/>
        </w:rPr>
        <w:t>相关</w:t>
      </w:r>
      <w:r>
        <w:rPr>
          <w:rFonts w:hint="default" w:ascii="Times New Roman" w:hAnsi="Times New Roman" w:eastAsia="仿宋_GB2312" w:cs="Times New Roman"/>
          <w:color w:val="auto"/>
          <w:sz w:val="32"/>
          <w:szCs w:val="32"/>
        </w:rPr>
        <w:t>经费增加。</w:t>
      </w:r>
    </w:p>
    <w:p>
      <w:pPr>
        <w:pageBreakBefore w:val="0"/>
        <w:kinsoku/>
        <w:wordWrap/>
        <w:overflowPunct/>
        <w:topLinePunct w:val="0"/>
        <w:bidi w:val="0"/>
        <w:spacing w:line="560" w:lineRule="exact"/>
        <w:ind w:firstLine="642" w:firstLineChars="200"/>
        <w:outlineLvl w:val="2"/>
        <w:rPr>
          <w:rFonts w:hint="default" w:ascii="Times New Roman" w:hAnsi="Times New Roman" w:eastAsia="楷体_GB2312" w:cs="Times New Roman"/>
          <w:b/>
          <w:bCs w:val="0"/>
          <w:color w:val="auto"/>
          <w:sz w:val="32"/>
          <w:szCs w:val="32"/>
        </w:rPr>
      </w:pPr>
      <w:bookmarkStart w:id="91" w:name="_Toc15377223"/>
      <w:bookmarkStart w:id="92" w:name="_Toc112248416"/>
      <w:r>
        <w:rPr>
          <w:rFonts w:hint="default" w:ascii="Times New Roman" w:hAnsi="Times New Roman" w:eastAsia="楷体_GB2312" w:cs="Times New Roman"/>
          <w:b/>
          <w:bCs w:val="0"/>
          <w:color w:val="auto"/>
          <w:sz w:val="32"/>
          <w:szCs w:val="32"/>
        </w:rPr>
        <w:t>（二）政府采购支出情况</w:t>
      </w:r>
      <w:bookmarkEnd w:id="91"/>
      <w:r>
        <w:rPr>
          <w:rFonts w:hint="default" w:ascii="Times New Roman" w:hAnsi="Times New Roman" w:eastAsia="楷体_GB2312" w:cs="Times New Roman"/>
          <w:b/>
          <w:bCs w:val="0"/>
          <w:color w:val="auto"/>
          <w:sz w:val="32"/>
          <w:szCs w:val="32"/>
        </w:rPr>
        <w:t>。</w:t>
      </w:r>
      <w:bookmarkEnd w:id="92"/>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2021年，四川省发展和改革委员会政府采购支出总额4,228.22万元，其中：政府采购货物支出56.59万元、政府采购工程支出1,375.59万元、政府采购服务支出2,796.04万元。主要用于投资咨询评估、委托开展水电及新能源工程质量监督抽查检测、中国品牌日四川活动、省级用能权交易第三方核查、地下停车场改造等项目。授予中小企业合同金额707.45万元，占政府采购支出总额的16.73%，其中：授予小微企业合同金额17.68万元，占政府采购支出总额的0.42%。</w:t>
      </w:r>
    </w:p>
    <w:p>
      <w:pPr>
        <w:pageBreakBefore w:val="0"/>
        <w:kinsoku/>
        <w:wordWrap/>
        <w:overflowPunct/>
        <w:topLinePunct w:val="0"/>
        <w:bidi w:val="0"/>
        <w:spacing w:line="560" w:lineRule="exact"/>
        <w:ind w:firstLine="642" w:firstLineChars="200"/>
        <w:outlineLvl w:val="2"/>
        <w:rPr>
          <w:rFonts w:hint="default" w:ascii="Times New Roman" w:hAnsi="Times New Roman" w:eastAsia="楷体_GB2312" w:cs="Times New Roman"/>
          <w:b/>
          <w:bCs w:val="0"/>
          <w:color w:val="auto"/>
          <w:sz w:val="32"/>
          <w:szCs w:val="32"/>
        </w:rPr>
      </w:pPr>
      <w:bookmarkStart w:id="93" w:name="_Toc15377224"/>
      <w:bookmarkStart w:id="94" w:name="_Toc112248417"/>
      <w:r>
        <w:rPr>
          <w:rFonts w:hint="default" w:ascii="Times New Roman" w:hAnsi="Times New Roman" w:eastAsia="楷体_GB2312" w:cs="Times New Roman"/>
          <w:b/>
          <w:bCs w:val="0"/>
          <w:color w:val="auto"/>
          <w:sz w:val="32"/>
          <w:szCs w:val="32"/>
        </w:rPr>
        <w:t>（三）国有资产占有使用情况</w:t>
      </w:r>
      <w:bookmarkEnd w:id="93"/>
      <w:r>
        <w:rPr>
          <w:rFonts w:hint="default" w:ascii="Times New Roman" w:hAnsi="Times New Roman" w:eastAsia="楷体_GB2312" w:cs="Times New Roman"/>
          <w:b/>
          <w:bCs w:val="0"/>
          <w:color w:val="auto"/>
          <w:sz w:val="32"/>
          <w:szCs w:val="32"/>
        </w:rPr>
        <w:t>。</w:t>
      </w:r>
      <w:bookmarkEnd w:id="94"/>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截至2021年12月31日，四川省发展和改革委员会共有车辆42辆，其中：主要领导干部用车0辆、机要通信用车1辆、应急保障用车8辆、离退休干部用车9辆、其他用车24辆，其他用车主要是用于</w:t>
      </w:r>
      <w:r>
        <w:rPr>
          <w:rFonts w:hint="default" w:ascii="Times New Roman" w:hAnsi="Times New Roman" w:eastAsia="仿宋_GB2312" w:cs="Times New Roman"/>
          <w:color w:val="auto"/>
          <w:sz w:val="32"/>
          <w:szCs w:val="32"/>
          <w:lang w:eastAsia="zh-CN"/>
        </w:rPr>
        <w:t>机要</w:t>
      </w:r>
      <w:r>
        <w:rPr>
          <w:rFonts w:hint="default" w:ascii="Times New Roman" w:hAnsi="Times New Roman" w:eastAsia="仿宋_GB2312" w:cs="Times New Roman"/>
          <w:color w:val="auto"/>
          <w:sz w:val="32"/>
          <w:szCs w:val="32"/>
        </w:rPr>
        <w:t>通信、应急保障之外的必要公务用途。单价50万元以上通用设备16台（套），单价100万元以上专用设备0台（套）。</w:t>
      </w:r>
    </w:p>
    <w:p>
      <w:pPr>
        <w:pageBreakBefore w:val="0"/>
        <w:kinsoku/>
        <w:wordWrap/>
        <w:overflowPunct/>
        <w:topLinePunct w:val="0"/>
        <w:bidi w:val="0"/>
        <w:spacing w:line="560" w:lineRule="exact"/>
        <w:ind w:firstLine="642" w:firstLineChars="200"/>
        <w:outlineLvl w:val="2"/>
        <w:rPr>
          <w:rFonts w:hint="default" w:ascii="Times New Roman" w:hAnsi="Times New Roman" w:eastAsia="楷体_GB2312" w:cs="Times New Roman"/>
          <w:b/>
          <w:bCs w:val="0"/>
          <w:color w:val="auto"/>
          <w:sz w:val="32"/>
          <w:szCs w:val="32"/>
        </w:rPr>
      </w:pPr>
      <w:bookmarkStart w:id="95" w:name="_Toc112248418"/>
      <w:r>
        <w:rPr>
          <w:rFonts w:hint="default" w:ascii="Times New Roman" w:hAnsi="Times New Roman" w:eastAsia="楷体_GB2312" w:cs="Times New Roman"/>
          <w:b/>
          <w:bCs w:val="0"/>
          <w:color w:val="auto"/>
          <w:sz w:val="32"/>
          <w:szCs w:val="32"/>
        </w:rPr>
        <w:t>（四）预算绩效管理情况。</w:t>
      </w:r>
      <w:bookmarkEnd w:id="95"/>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预算绩效管理要求，本部门在2021年度预算编制阶段，组织对0个项目开展了预算事前绩效评估，对14个项目编制了绩效目标，预算执行过程中，选取14个项目开展绩效监控，年终执行完毕后，对14个项目开展了绩效自评。同时，本部门对2021年部门整体开展绩效自评，《2021年四川省发展和改革委员会部门整体绩效评价报告》见附件（第四部分）。</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p>
      <w:pPr>
        <w:pageBreakBefore w:val="0"/>
        <w:numPr>
          <w:ilvl w:val="0"/>
          <w:numId w:val="5"/>
        </w:numPr>
        <w:kinsoku/>
        <w:wordWrap/>
        <w:overflowPunct/>
        <w:topLinePunct w:val="0"/>
        <w:bidi w:val="0"/>
        <w:spacing w:line="560" w:lineRule="exact"/>
        <w:ind w:firstLine="660" w:firstLineChars="150"/>
        <w:jc w:val="center"/>
        <w:outlineLvl w:val="0"/>
        <w:rPr>
          <w:rStyle w:val="33"/>
          <w:rFonts w:hint="default" w:ascii="Times New Roman" w:hAnsi="Times New Roman" w:eastAsia="黑体" w:cs="Times New Roman"/>
          <w:b w:val="0"/>
          <w:color w:val="auto"/>
        </w:rPr>
      </w:pPr>
      <w:bookmarkStart w:id="96" w:name="_Toc15396613"/>
      <w:bookmarkStart w:id="97" w:name="_Toc112248419"/>
      <w:bookmarkStart w:id="98" w:name="_Toc15377225"/>
      <w:r>
        <w:rPr>
          <w:rFonts w:hint="default" w:ascii="Times New Roman" w:hAnsi="Times New Roman" w:eastAsia="黑体" w:cs="Times New Roman"/>
          <w:color w:val="auto"/>
          <w:sz w:val="44"/>
          <w:szCs w:val="44"/>
        </w:rPr>
        <w:t>名</w:t>
      </w:r>
      <w:r>
        <w:rPr>
          <w:rStyle w:val="33"/>
          <w:rFonts w:hint="default" w:ascii="Times New Roman" w:hAnsi="Times New Roman" w:eastAsia="黑体" w:cs="Times New Roman"/>
          <w:b w:val="0"/>
          <w:color w:val="auto"/>
        </w:rPr>
        <w:t>词解释</w:t>
      </w:r>
      <w:bookmarkEnd w:id="96"/>
      <w:bookmarkEnd w:id="97"/>
      <w:bookmarkEnd w:id="98"/>
    </w:p>
    <w:p>
      <w:pPr>
        <w:pageBreakBefore w:val="0"/>
        <w:kinsoku/>
        <w:wordWrap/>
        <w:overflowPunct/>
        <w:topLinePunct w:val="0"/>
        <w:bidi w:val="0"/>
        <w:spacing w:line="560" w:lineRule="exact"/>
        <w:jc w:val="left"/>
        <w:rPr>
          <w:rFonts w:hint="default" w:ascii="Times New Roman" w:hAnsi="Times New Roman" w:cs="Times New Roman"/>
          <w:b/>
          <w:color w:val="auto"/>
          <w:sz w:val="44"/>
          <w:szCs w:val="44"/>
        </w:rPr>
      </w:pPr>
    </w:p>
    <w:p>
      <w:pPr>
        <w:pStyle w:val="31"/>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1.财政拨款收入：指单位从同级财政部门取得的财政预算资金。</w:t>
      </w:r>
    </w:p>
    <w:p>
      <w:pPr>
        <w:pStyle w:val="31"/>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2.事业收入：指事业单位开展专业业务活动及辅助活动取得的收入。如四川省经济</w:t>
      </w:r>
      <w:r>
        <w:rPr>
          <w:rFonts w:hint="default" w:ascii="Times New Roman" w:hAnsi="Times New Roman" w:eastAsia="仿宋_GB2312" w:cs="Times New Roman"/>
          <w:color w:val="auto"/>
          <w:sz w:val="32"/>
          <w:szCs w:val="32"/>
          <w:lang w:eastAsia="zh-CN"/>
        </w:rPr>
        <w:t>和社会</w:t>
      </w:r>
      <w:r>
        <w:rPr>
          <w:rFonts w:hint="default" w:ascii="Times New Roman" w:hAnsi="Times New Roman" w:eastAsia="仿宋_GB2312" w:cs="Times New Roman"/>
          <w:color w:val="auto"/>
          <w:sz w:val="32"/>
          <w:szCs w:val="32"/>
        </w:rPr>
        <w:t>发展研究院事业收入等。</w:t>
      </w:r>
    </w:p>
    <w:p>
      <w:pPr>
        <w:pStyle w:val="31"/>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3.经营收入：指事业单位在专业业务活动及其辅助活动之外开展非独立核算经营活动取得的收入。如四川省工程咨询研究院经营收入等。</w:t>
      </w:r>
    </w:p>
    <w:p>
      <w:pPr>
        <w:pStyle w:val="31"/>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4.其他收入：指单位取得的除上述收入以外的各项收入。主要是利息收入等。</w:t>
      </w:r>
    </w:p>
    <w:p>
      <w:pPr>
        <w:pStyle w:val="31"/>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5.使用非财政拨款结余：指事业单位使用以前年度积累的非财政拨款结余弥补当年收支差额的金额。</w:t>
      </w:r>
    </w:p>
    <w:p>
      <w:pPr>
        <w:pStyle w:val="31"/>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6.年初结转和结余：指以前年度尚未完成、结转到本年按有关规定继续使用的资金。</w:t>
      </w:r>
    </w:p>
    <w:p>
      <w:pPr>
        <w:pStyle w:val="31"/>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7.结余分配：指事业单位按照会计制度规定缴纳的所得税、提取的专用结余以及转入非财政拨款结余的金额等。</w:t>
      </w:r>
    </w:p>
    <w:p>
      <w:pPr>
        <w:pStyle w:val="31"/>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8.年末结转和结余：指单位按有关规定结转到下年或以后年度继续使用的资金。</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9.一般公共服务支出（类）发展与改革事务（款）行政运行（项）: 指反映行政单位（包括实行公务员管理的事业单位）的基本支出。</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10.一般公共服务支出（类）发展与改革事务（款）一般行政管理事务（项）: 指反映行政单位（包括实行公务员管理的事业单位）未单独设置项级科目的其他项目支出。</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11.一般公共服务支出（类）发展与改革事务（款）机关服务（项）:指反映为行政单位（包括实行公务员管理的事业单位）提供后勤服务的各类后勤服务中心、医务室等附属事业单位的支出。</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 xml:space="preserve">12.一般公共服务支出（类）发展与改革事务（款）战略规划与实施（项）: </w:t>
      </w:r>
      <w:r>
        <w:rPr>
          <w:rFonts w:hint="default" w:ascii="Times New Roman" w:hAnsi="Times New Roman" w:eastAsia="仿宋_GB2312" w:cs="Times New Roman"/>
          <w:color w:val="auto"/>
          <w:kern w:val="0"/>
          <w:sz w:val="32"/>
          <w:szCs w:val="32"/>
          <w:lang w:eastAsia="zh-CN"/>
        </w:rPr>
        <w:t>指反映拟订并组织实施国民经济和社会发展战略、中长期规划和年度计划，实施宏观管理与调控等方面的支出。</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13.一般公共服务支出（类）发展与改革事务（款）物价管理（项）: 指反映物价管理方面的支出。</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14.一般公共服务支出（类）发展与改革事务（款）事业运行（项）: 指反映事业单位的基本支出，不包括行政单位（包括实行公务员管理的事业单位）后勤服务中心、医务室等附属事业单位。</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15.一般公共服务支出（类）发展与改革事务（款）其他发展与改革事务支出（项）: 指反映除行政运行、一般行政管理事务、机关服务、社会事业发展规划、经济体制改革研究、物价管理、事业运行以外的其他发展与改革事务支出。</w:t>
      </w:r>
    </w:p>
    <w:p>
      <w:pPr>
        <w:pageBreakBefore w:val="0"/>
        <w:shd w:val="solid" w:color="FFFFFF" w:fill="auto"/>
        <w:kinsoku/>
        <w:wordWrap/>
        <w:overflowPunct/>
        <w:topLinePunct w:val="0"/>
        <w:autoSpaceDN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16.一般公共服务支出（类）其他共产党事务支出（款）其他共产党事务支出（项）: 指反映除行政运行、一般行政管理事务、机关服务、事业运行以外的其他用于中国共产党事务的支出。</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17.一般公共服务支出（类）市场监督管理事务（款）其他市场监督管理事务（项）: 指反映用于除上述项目以外其他市场监督管理事务方面的支出。</w:t>
      </w:r>
    </w:p>
    <w:p>
      <w:pPr>
        <w:pageBreakBefore w:val="0"/>
        <w:shd w:val="solid" w:color="FFFFFF" w:fill="auto"/>
        <w:kinsoku/>
        <w:wordWrap/>
        <w:overflowPunct/>
        <w:topLinePunct w:val="0"/>
        <w:autoSpaceDN w:val="0"/>
        <w:bidi w:val="0"/>
        <w:spacing w:line="560" w:lineRule="exact"/>
        <w:ind w:firstLine="64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18.一般公共服务支出（类）其他一般公共服务支出（款）其他一般公共服务支出（项）: 指反映上述项目以外的其他一般公共服务支出。</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19.教育支出（类）进修及培训（款）培训支出（项）: 指反映各部门安排的用于培训方面的支出。</w:t>
      </w:r>
    </w:p>
    <w:p>
      <w:pPr>
        <w:pageBreakBefore w:val="0"/>
        <w:shd w:val="solid" w:color="FFFFFF" w:fill="auto"/>
        <w:kinsoku/>
        <w:wordWrap/>
        <w:overflowPunct/>
        <w:topLinePunct w:val="0"/>
        <w:autoSpaceDN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20.科学技术（类）应用研究（款）机构运行（项）: 指反映应用研究机构的基本支出。</w:t>
      </w:r>
    </w:p>
    <w:p>
      <w:pPr>
        <w:pageBreakBefore w:val="0"/>
        <w:shd w:val="solid" w:color="FFFFFF" w:fill="auto"/>
        <w:kinsoku/>
        <w:wordWrap/>
        <w:overflowPunct/>
        <w:topLinePunct w:val="0"/>
        <w:autoSpaceDN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21.科学技术（类）应用研究（款）社会公益研究（项）: 指反映从事卫生、劳动保护、计划生育、环境科学、农业等社会公益专项科研方面的支出。</w:t>
      </w:r>
    </w:p>
    <w:p>
      <w:pPr>
        <w:pageBreakBefore w:val="0"/>
        <w:shd w:val="solid" w:color="FFFFFF" w:fill="auto"/>
        <w:kinsoku/>
        <w:wordWrap/>
        <w:overflowPunct/>
        <w:topLinePunct w:val="0"/>
        <w:autoSpaceDN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22.科学技术（类）技术研究与开发（款）其他技术研究与开发支出（项）: 指反映除机构运行、社会公益研究、高技术研究、专项科研试制以外其他用于应用研究方面的支出。</w:t>
      </w:r>
    </w:p>
    <w:p>
      <w:pPr>
        <w:pageBreakBefore w:val="0"/>
        <w:shd w:val="solid" w:color="FFFFFF" w:fill="auto"/>
        <w:kinsoku/>
        <w:wordWrap/>
        <w:overflowPunct/>
        <w:topLinePunct w:val="0"/>
        <w:autoSpaceDN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23.科学技术（类）其他科学技术支出（款）其他科学技术支出（项）: 指反映除机构运行、科技成果转换与扩散、共性技术研究与开发以外其他用于技术研究与开发方面的支出。</w:t>
      </w:r>
    </w:p>
    <w:p>
      <w:pPr>
        <w:pageBreakBefore w:val="0"/>
        <w:shd w:val="solid" w:color="FFFFFF" w:fill="auto"/>
        <w:kinsoku/>
        <w:wordWrap/>
        <w:overflowPunct/>
        <w:topLinePunct w:val="0"/>
        <w:autoSpaceDN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24.社会保障和就业支出（类）行政事业单位养老支出（款）行政单位离退休（项）: 指行政单位（包括实行公务员管理的事业单位）开支的离退休经费。</w:t>
      </w:r>
    </w:p>
    <w:p>
      <w:pPr>
        <w:pageBreakBefore w:val="0"/>
        <w:shd w:val="solid" w:color="FFFFFF" w:fill="auto"/>
        <w:kinsoku/>
        <w:wordWrap/>
        <w:overflowPunct/>
        <w:topLinePunct w:val="0"/>
        <w:autoSpaceDN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25.社会保障和就业支出（类）行政事业单位养老支出（款）事业单位离退休（项）: 指事业单位开支的离退休经费。</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26.社会保障和就业支出（类）行政事业单位养老支出（款）机关事业单位基本养老保险缴费支出（项）: 反映机关事业单位实施养老保险制度由单位缴纳的基本养老保险费支出。</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27.社会保障和就业支出（类）行政事业单位养老支出（款）机关事业单位职业年金缴费支出（项）: 反映机关事业单位实施养老保险制度由单位实际缴纳的职业年金支出。</w:t>
      </w:r>
    </w:p>
    <w:p>
      <w:pPr>
        <w:pageBreakBefore w:val="0"/>
        <w:shd w:val="solid" w:color="FFFFFF" w:fill="auto"/>
        <w:kinsoku/>
        <w:wordWrap/>
        <w:overflowPunct/>
        <w:topLinePunct w:val="0"/>
        <w:autoSpaceDN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28.社会保障和就业支出（类）抚恤（款）死亡抚恤（项）: 指反映按规定用于烈士和牺牲、病故人员家属的一次性和定期抚恤金以及丧葬补助费。</w:t>
      </w:r>
    </w:p>
    <w:p>
      <w:pPr>
        <w:pageBreakBefore w:val="0"/>
        <w:shd w:val="solid" w:color="FFFFFF" w:fill="auto"/>
        <w:kinsoku/>
        <w:wordWrap/>
        <w:overflowPunct/>
        <w:topLinePunct w:val="0"/>
        <w:autoSpaceDN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29.社会保障和就业支出（类）其他社会保障和就业支出（款）其他社会保障和就业支出（项）: 指反映除人力资源和社会保障管理、民政管理事务、补充全国社会保障基金、</w:t>
      </w:r>
      <w:r>
        <w:rPr>
          <w:rFonts w:hint="eastAsia" w:eastAsia="仿宋_GB2312" w:cs="Times New Roman"/>
          <w:color w:val="auto"/>
          <w:kern w:val="0"/>
          <w:sz w:val="32"/>
          <w:szCs w:val="32"/>
          <w:lang w:eastAsia="zh-CN"/>
        </w:rPr>
        <w:t>行政</w:t>
      </w:r>
      <w:r>
        <w:rPr>
          <w:rFonts w:hint="default" w:ascii="Times New Roman" w:hAnsi="Times New Roman" w:eastAsia="仿宋_GB2312" w:cs="Times New Roman"/>
          <w:color w:val="auto"/>
          <w:kern w:val="0"/>
          <w:sz w:val="32"/>
          <w:szCs w:val="32"/>
        </w:rPr>
        <w:t>事业单位离退休、企业改革补助、就业补助、抚恤、退役安置、社会福利、残疾人事业、自然灾害生活补助、红十字事业、最</w:t>
      </w:r>
      <w:bookmarkStart w:id="132" w:name="_GoBack"/>
      <w:bookmarkEnd w:id="132"/>
      <w:r>
        <w:rPr>
          <w:rFonts w:hint="default" w:ascii="Times New Roman" w:hAnsi="Times New Roman" w:eastAsia="仿宋_GB2312" w:cs="Times New Roman"/>
          <w:color w:val="auto"/>
          <w:kern w:val="0"/>
          <w:sz w:val="32"/>
          <w:szCs w:val="32"/>
        </w:rPr>
        <w:t>低生活保障、临时救助等项目以外其他用于社会保障和就业方面的支出。</w:t>
      </w:r>
    </w:p>
    <w:p>
      <w:pPr>
        <w:pageBreakBefore w:val="0"/>
        <w:shd w:val="solid" w:color="FFFFFF" w:fill="auto"/>
        <w:kinsoku/>
        <w:wordWrap/>
        <w:overflowPunct/>
        <w:topLinePunct w:val="0"/>
        <w:autoSpaceDN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30.卫生健康（类）行政事业单位医疗（款）行政单位医疗（项）: 指反映财政部门安排的行政单位（包括实行公务员管理的事业单位）基本医疗保险缴费经费，未参加医疗保险的行政单位的公费医疗经费，按国家规定享受离休人员、红军老战士待遇人员的医疗经费。</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31.卫生健康（类）行政事业单位医疗（款）事业单位医疗（项）: 指反映财政部门安排的事业单位基本医疗保险缴费经费，未参加医疗保险的事业单位的公费医疗经费，按国家规定享受离休人员待遇的医疗经费。</w:t>
      </w:r>
    </w:p>
    <w:p>
      <w:pPr>
        <w:pageBreakBefore w:val="0"/>
        <w:shd w:val="solid" w:color="FFFFFF" w:fill="auto"/>
        <w:kinsoku/>
        <w:wordWrap/>
        <w:overflowPunct/>
        <w:topLinePunct w:val="0"/>
        <w:autoSpaceDN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32.卫生健康（类）行政事业单位医疗（款）公务员医疗补助（项）: 指反映财政部门安排的公务员医疗补助经费。</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33.卫生健康（类）其他卫生健康支出（款）其他卫生健康支出（项）:指除上述项目以外其他用于卫生健康方面的支出。</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34.住房保障支出（类）住房改革支出（款）住房公积金（项）: 指反映行政事业单位按人力资源和社会保障部、财政部规定的基本工资和津贴补贴以及规定比例为职工缴纳的住房公积金。</w:t>
      </w:r>
    </w:p>
    <w:p>
      <w:pPr>
        <w:pageBreakBefore w:val="0"/>
        <w:shd w:val="solid" w:color="FFFFFF" w:fill="auto"/>
        <w:kinsoku/>
        <w:wordWrap/>
        <w:overflowPunct/>
        <w:topLinePunct w:val="0"/>
        <w:autoSpaceDN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35.住房保障支出（类）住房改革支出（款）购房补贴（项）: 指反映按房改政策规定，行政事业单位向符合条件职工（含离退休）、军队（含武警）向转役复员离退休人员发放的用于购买住房的补贴。</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36.灾害防治及应急管理支出（类）应急管理事务（款）其他应急管理支出（项）: 指除行政运行、一般行政管理事务、机关服务、灾害风险防治、国务院安委会专项、安全监管、安全生产基础、应急救援、应急管理、事业运行以外的其他用于应急管理方面的支出。</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37.节能环保支出（类）环境监测与监察（款）其他环境监测与监察（项）: 指除建设项目环评审查与监督、核与辐射安全监督以外其他用于环境监测与监察方面的支出。</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38.基本支出：指为保障机构正常运转、完成日常工作任务而发生的人员支出和公用支出。</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39.项目支出：指在基本支出之外为完成特定行政任务和事业发展目标所发生的支出。</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40.经营支出：指事业单位在专业业务活动及其辅助活动之外开展非独立核算经营活动发生的支出。</w:t>
      </w:r>
    </w:p>
    <w:p>
      <w:pPr>
        <w:pStyle w:val="31"/>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1"/>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1"/>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sz w:val="32"/>
          <w:szCs w:val="32"/>
        </w:rPr>
      </w:pPr>
    </w:p>
    <w:p>
      <w:pPr>
        <w:pageBreakBefore w:val="0"/>
        <w:kinsoku/>
        <w:wordWrap/>
        <w:overflowPunct/>
        <w:topLinePunct w:val="0"/>
        <w:bidi w:val="0"/>
        <w:spacing w:line="560" w:lineRule="exact"/>
        <w:jc w:val="center"/>
        <w:outlineLvl w:val="0"/>
        <w:rPr>
          <w:rFonts w:hint="default" w:ascii="Times New Roman" w:hAnsi="Times New Roman" w:eastAsia="黑体" w:cs="Times New Roman"/>
          <w:color w:val="auto"/>
          <w:sz w:val="44"/>
          <w:szCs w:val="44"/>
        </w:rPr>
      </w:pPr>
      <w:bookmarkStart w:id="99" w:name="_Toc15396614"/>
      <w:bookmarkStart w:id="100" w:name="_Toc15377226"/>
    </w:p>
    <w:p>
      <w:pPr>
        <w:pageBreakBefore w:val="0"/>
        <w:kinsoku/>
        <w:wordWrap/>
        <w:overflowPunct/>
        <w:topLinePunct w:val="0"/>
        <w:bidi w:val="0"/>
        <w:spacing w:line="560" w:lineRule="exact"/>
        <w:jc w:val="center"/>
        <w:outlineLvl w:val="0"/>
        <w:rPr>
          <w:rStyle w:val="33"/>
          <w:rFonts w:hint="default" w:ascii="Times New Roman" w:hAnsi="Times New Roman" w:eastAsia="黑体" w:cs="Times New Roman"/>
          <w:b w:val="0"/>
          <w:color w:val="auto"/>
        </w:rPr>
      </w:pPr>
      <w:bookmarkStart w:id="101" w:name="_Toc112248420"/>
      <w:r>
        <w:rPr>
          <w:rFonts w:hint="default" w:ascii="Times New Roman" w:hAnsi="Times New Roman" w:eastAsia="黑体" w:cs="Times New Roman"/>
          <w:color w:val="auto"/>
          <w:sz w:val="44"/>
          <w:szCs w:val="44"/>
        </w:rPr>
        <w:t>第</w:t>
      </w:r>
      <w:r>
        <w:rPr>
          <w:rStyle w:val="33"/>
          <w:rFonts w:hint="default" w:ascii="Times New Roman" w:hAnsi="Times New Roman" w:eastAsia="黑体" w:cs="Times New Roman"/>
          <w:b w:val="0"/>
          <w:color w:val="auto"/>
        </w:rPr>
        <w:t>四部分 附件</w:t>
      </w:r>
      <w:bookmarkEnd w:id="99"/>
      <w:bookmarkEnd w:id="101"/>
    </w:p>
    <w:p>
      <w:pPr>
        <w:pageBreakBefore w:val="0"/>
        <w:kinsoku/>
        <w:wordWrap/>
        <w:overflowPunct/>
        <w:topLinePunct w:val="0"/>
        <w:bidi w:val="0"/>
        <w:spacing w:line="560" w:lineRule="exact"/>
        <w:jc w:val="left"/>
        <w:outlineLvl w:val="0"/>
        <w:rPr>
          <w:rFonts w:hint="default" w:ascii="Times New Roman" w:hAnsi="Times New Roman" w:eastAsia="黑体" w:cs="Times New Roman"/>
          <w:color w:val="auto"/>
          <w:sz w:val="44"/>
          <w:szCs w:val="44"/>
        </w:rPr>
      </w:pPr>
      <w:bookmarkStart w:id="102" w:name="_Toc112248421"/>
      <w:r>
        <w:rPr>
          <w:rFonts w:hint="default" w:ascii="Times New Roman" w:hAnsi="Times New Roman" w:eastAsia="黑体" w:cs="Times New Roman"/>
          <w:color w:val="auto"/>
          <w:sz w:val="32"/>
          <w:szCs w:val="32"/>
        </w:rPr>
        <w:t>附件1</w:t>
      </w:r>
      <w:bookmarkEnd w:id="102"/>
    </w:p>
    <w:p>
      <w:pPr>
        <w:pageBreakBefore w:val="0"/>
        <w:kinsoku/>
        <w:wordWrap/>
        <w:overflowPunct/>
        <w:topLinePunct w:val="0"/>
        <w:bidi w:val="0"/>
        <w:spacing w:line="560" w:lineRule="exact"/>
        <w:jc w:val="center"/>
        <w:rPr>
          <w:rFonts w:hint="default" w:ascii="Times New Roman" w:hAnsi="Times New Roman" w:eastAsia="方正小标宋简体" w:cs="Times New Roman"/>
          <w:color w:val="auto"/>
          <w:kern w:val="0"/>
          <w:sz w:val="40"/>
          <w:szCs w:val="44"/>
        </w:rPr>
      </w:pPr>
      <w:r>
        <w:rPr>
          <w:rFonts w:hint="default" w:ascii="Times New Roman" w:hAnsi="Times New Roman" w:eastAsia="方正小标宋简体" w:cs="Times New Roman"/>
          <w:color w:val="auto"/>
          <w:kern w:val="0"/>
          <w:sz w:val="40"/>
          <w:szCs w:val="44"/>
        </w:rPr>
        <w:t>2021年四川省发展和改革委员会</w:t>
      </w:r>
    </w:p>
    <w:p>
      <w:pPr>
        <w:pageBreakBefore w:val="0"/>
        <w:kinsoku/>
        <w:wordWrap/>
        <w:overflowPunct/>
        <w:topLinePunct w:val="0"/>
        <w:bidi w:val="0"/>
        <w:spacing w:line="560" w:lineRule="exact"/>
        <w:jc w:val="center"/>
        <w:rPr>
          <w:rFonts w:hint="default" w:ascii="Times New Roman" w:hAnsi="Times New Roman" w:eastAsia="方正小标宋简体" w:cs="Times New Roman"/>
          <w:color w:val="auto"/>
          <w:kern w:val="0"/>
          <w:sz w:val="40"/>
          <w:szCs w:val="44"/>
          <w:lang w:val="zh-CN"/>
        </w:rPr>
      </w:pPr>
      <w:r>
        <w:rPr>
          <w:rFonts w:hint="default" w:ascii="Times New Roman" w:hAnsi="Times New Roman" w:eastAsia="方正小标宋简体" w:cs="Times New Roman"/>
          <w:color w:val="auto"/>
          <w:kern w:val="0"/>
          <w:sz w:val="40"/>
          <w:szCs w:val="44"/>
        </w:rPr>
        <w:t>部门整体绩效评价报告</w:t>
      </w:r>
    </w:p>
    <w:p>
      <w:pPr>
        <w:pageBreakBefore w:val="0"/>
        <w:widowControl/>
        <w:kinsoku/>
        <w:wordWrap/>
        <w:overflowPunct/>
        <w:topLinePunct w:val="0"/>
        <w:bidi w:val="0"/>
        <w:adjustRightInd w:val="0"/>
        <w:snapToGrid w:val="0"/>
        <w:spacing w:line="560" w:lineRule="exact"/>
        <w:ind w:firstLine="640" w:firstLineChars="200"/>
        <w:contextualSpacing/>
        <w:jc w:val="left"/>
        <w:rPr>
          <w:rFonts w:hint="default" w:ascii="Times New Roman" w:hAnsi="Times New Roman" w:eastAsia="黑体" w:cs="Times New Roman"/>
          <w:color w:val="auto"/>
          <w:kern w:val="0"/>
          <w:sz w:val="32"/>
          <w:szCs w:val="32"/>
          <w:shd w:val="clear" w:color="auto" w:fill="FFFFFF"/>
        </w:rPr>
      </w:pPr>
    </w:p>
    <w:p>
      <w:pPr>
        <w:pageBreakBefore w:val="0"/>
        <w:widowControl/>
        <w:kinsoku/>
        <w:wordWrap/>
        <w:overflowPunct/>
        <w:topLinePunct w:val="0"/>
        <w:bidi w:val="0"/>
        <w:adjustRightInd w:val="0"/>
        <w:snapToGrid w:val="0"/>
        <w:spacing w:line="560" w:lineRule="exact"/>
        <w:ind w:firstLine="640" w:firstLineChars="200"/>
        <w:contextualSpacing/>
        <w:jc w:val="left"/>
        <w:rPr>
          <w:rFonts w:hint="default" w:ascii="Times New Roman" w:hAnsi="Times New Roman" w:eastAsia="黑体" w:cs="Times New Roman"/>
          <w:color w:val="auto"/>
          <w:kern w:val="0"/>
          <w:sz w:val="32"/>
          <w:szCs w:val="32"/>
          <w:shd w:val="clear" w:color="auto" w:fill="FFFFFF"/>
          <w:lang w:val="zh-CN"/>
        </w:rPr>
      </w:pPr>
      <w:r>
        <w:rPr>
          <w:rFonts w:hint="default" w:ascii="Times New Roman" w:hAnsi="Times New Roman" w:eastAsia="黑体" w:cs="Times New Roman"/>
          <w:color w:val="auto"/>
          <w:kern w:val="0"/>
          <w:sz w:val="32"/>
          <w:szCs w:val="32"/>
          <w:shd w:val="clear" w:color="auto" w:fill="FFFFFF"/>
        </w:rPr>
        <w:t>一、</w:t>
      </w:r>
      <w:r>
        <w:rPr>
          <w:rFonts w:hint="default" w:ascii="Times New Roman" w:hAnsi="Times New Roman" w:eastAsia="黑体" w:cs="Times New Roman"/>
          <w:color w:val="auto"/>
          <w:kern w:val="0"/>
          <w:sz w:val="32"/>
          <w:szCs w:val="32"/>
          <w:shd w:val="clear" w:color="auto" w:fill="FFFFFF"/>
          <w:lang w:val="zh-CN"/>
        </w:rPr>
        <w:t>部门（单位）概况</w:t>
      </w:r>
    </w:p>
    <w:p>
      <w:pPr>
        <w:pageBreakBefore w:val="0"/>
        <w:widowControl/>
        <w:kinsoku/>
        <w:wordWrap/>
        <w:overflowPunct/>
        <w:topLinePunct w:val="0"/>
        <w:bidi w:val="0"/>
        <w:adjustRightInd w:val="0"/>
        <w:snapToGrid w:val="0"/>
        <w:spacing w:line="560" w:lineRule="exact"/>
        <w:ind w:firstLine="642" w:firstLineChars="200"/>
        <w:contextualSpacing/>
        <w:jc w:val="left"/>
        <w:rPr>
          <w:rFonts w:hint="default" w:ascii="Times New Roman" w:hAnsi="Times New Roman" w:eastAsia="楷体_GB2312" w:cs="Times New Roman"/>
          <w:b/>
          <w:bCs/>
          <w:color w:val="auto"/>
          <w:kern w:val="0"/>
          <w:sz w:val="32"/>
          <w:szCs w:val="32"/>
          <w:shd w:val="clear" w:color="auto" w:fill="FFFFFF"/>
          <w:lang w:val="zh-CN"/>
        </w:rPr>
      </w:pPr>
      <w:r>
        <w:rPr>
          <w:rFonts w:hint="default" w:ascii="Times New Roman" w:hAnsi="Times New Roman" w:eastAsia="楷体_GB2312" w:cs="Times New Roman"/>
          <w:b/>
          <w:bCs/>
          <w:color w:val="auto"/>
          <w:kern w:val="0"/>
          <w:sz w:val="32"/>
          <w:szCs w:val="32"/>
          <w:shd w:val="clear" w:color="auto" w:fill="FFFFFF"/>
          <w:lang w:val="zh-CN"/>
        </w:rPr>
        <w:t>（一）机构组成。</w:t>
      </w:r>
    </w:p>
    <w:p>
      <w:pPr>
        <w:pageBreakBefore w:val="0"/>
        <w:widowControl/>
        <w:kinsoku/>
        <w:wordWrap/>
        <w:overflowPunct/>
        <w:topLinePunct w:val="0"/>
        <w:bidi w:val="0"/>
        <w:adjustRightInd w:val="0"/>
        <w:snapToGrid w:val="0"/>
        <w:spacing w:line="560" w:lineRule="exact"/>
        <w:ind w:firstLine="640" w:firstLineChars="200"/>
        <w:contextualSpacing/>
        <w:jc w:val="left"/>
        <w:rPr>
          <w:rFonts w:hint="default" w:ascii="Times New Roman" w:hAnsi="Times New Roman" w:eastAsia="仿宋_GB2312" w:cs="Times New Roman"/>
          <w:bCs/>
          <w:color w:val="auto"/>
          <w:sz w:val="32"/>
          <w:szCs w:val="32"/>
          <w:lang w:val="zh-CN"/>
        </w:rPr>
      </w:pPr>
      <w:r>
        <w:rPr>
          <w:rFonts w:hint="default" w:ascii="Times New Roman" w:hAnsi="Times New Roman" w:eastAsia="仿宋_GB2312" w:cs="Times New Roman"/>
          <w:bCs/>
          <w:color w:val="auto"/>
          <w:sz w:val="32"/>
          <w:szCs w:val="32"/>
          <w:lang w:val="zh-CN"/>
        </w:rPr>
        <w:t>省发展改革委共有独立编制机构</w:t>
      </w:r>
      <w:r>
        <w:rPr>
          <w:rFonts w:hint="default" w:ascii="Times New Roman" w:hAnsi="Times New Roman" w:cs="Times New Roman"/>
          <w:bCs/>
          <w:color w:val="auto"/>
          <w:sz w:val="32"/>
        </w:rPr>
        <w:t>12个，其中：行政单位3个（</w:t>
      </w:r>
      <w:r>
        <w:rPr>
          <w:rFonts w:hint="default" w:ascii="Times New Roman" w:hAnsi="Times New Roman" w:eastAsia="仿宋_GB2312" w:cs="Times New Roman"/>
          <w:bCs/>
          <w:color w:val="auto"/>
          <w:sz w:val="32"/>
          <w:szCs w:val="32"/>
          <w:lang w:val="zh-CN"/>
        </w:rPr>
        <w:t>省发展改革委机关、省成本调查监审局、省价格监测局），参照公务员法管理的事业单位2个</w:t>
      </w:r>
      <w:r>
        <w:rPr>
          <w:rFonts w:hint="default" w:ascii="Times New Roman" w:hAnsi="Times New Roman" w:eastAsia="方正隶书_GBK" w:cs="Times New Roman"/>
          <w:bCs/>
          <w:color w:val="auto"/>
          <w:sz w:val="32"/>
          <w:szCs w:val="32"/>
          <w:lang w:val="zh-CN"/>
        </w:rPr>
        <w:t>〔</w:t>
      </w:r>
      <w:r>
        <w:rPr>
          <w:rFonts w:hint="default" w:ascii="Times New Roman" w:hAnsi="Times New Roman" w:eastAsia="仿宋_GB2312" w:cs="Times New Roman"/>
          <w:bCs/>
          <w:color w:val="auto"/>
          <w:sz w:val="32"/>
          <w:szCs w:val="32"/>
          <w:lang w:val="zh-CN"/>
        </w:rPr>
        <w:t>省价格认证中心、省总部经济发展中心（原省对外交流合作中心）</w:t>
      </w:r>
      <w:r>
        <w:rPr>
          <w:rFonts w:hint="default" w:ascii="Times New Roman" w:hAnsi="Times New Roman" w:eastAsia="方正隶书_GBK" w:cs="Times New Roman"/>
          <w:bCs/>
          <w:color w:val="auto"/>
          <w:sz w:val="32"/>
          <w:szCs w:val="32"/>
          <w:lang w:val="zh-CN"/>
        </w:rPr>
        <w:t>〕</w:t>
      </w:r>
      <w:r>
        <w:rPr>
          <w:rFonts w:hint="default" w:ascii="Times New Roman" w:hAnsi="Times New Roman" w:eastAsia="仿宋_GB2312" w:cs="Times New Roman"/>
          <w:bCs/>
          <w:color w:val="auto"/>
          <w:sz w:val="32"/>
          <w:szCs w:val="32"/>
          <w:lang w:val="zh-CN"/>
        </w:rPr>
        <w:t>，其他事业单位7个（省发展改革委机关服务中心、省发展与改革研究所、省经济和社会发展研究院、省县域经济研究中心、省工程咨询研究院、省创新驱动发展研究中心、省数字经济研究中心）。其中，省创新驱动发展中心、省数字经济研究中心于202</w:t>
      </w:r>
      <w:r>
        <w:rPr>
          <w:rFonts w:hint="default" w:ascii="Times New Roman" w:hAnsi="Times New Roman" w:eastAsia="仿宋_GB2312" w:cs="Times New Roman"/>
          <w:bCs/>
          <w:color w:val="auto"/>
          <w:sz w:val="32"/>
          <w:szCs w:val="32"/>
          <w:lang w:val="en-US" w:eastAsia="zh-CN"/>
        </w:rPr>
        <w:t>1</w:t>
      </w:r>
      <w:r>
        <w:rPr>
          <w:rFonts w:hint="default" w:ascii="Times New Roman" w:hAnsi="Times New Roman" w:eastAsia="仿宋_GB2312" w:cs="Times New Roman"/>
          <w:bCs/>
          <w:color w:val="auto"/>
          <w:sz w:val="32"/>
          <w:szCs w:val="32"/>
          <w:lang w:val="zh-CN"/>
        </w:rPr>
        <w:t>年纳入预算管理。</w:t>
      </w:r>
    </w:p>
    <w:p>
      <w:pPr>
        <w:pageBreakBefore w:val="0"/>
        <w:widowControl/>
        <w:kinsoku/>
        <w:wordWrap/>
        <w:overflowPunct/>
        <w:topLinePunct w:val="0"/>
        <w:bidi w:val="0"/>
        <w:adjustRightInd w:val="0"/>
        <w:snapToGrid w:val="0"/>
        <w:spacing w:line="560" w:lineRule="exact"/>
        <w:ind w:firstLine="642" w:firstLineChars="200"/>
        <w:contextualSpacing/>
        <w:jc w:val="left"/>
        <w:rPr>
          <w:rFonts w:hint="default" w:ascii="Times New Roman" w:hAnsi="Times New Roman" w:eastAsia="仿宋_GB2312" w:cs="Times New Roman"/>
          <w:b/>
          <w:bCs/>
          <w:color w:val="auto"/>
          <w:kern w:val="0"/>
          <w:sz w:val="32"/>
          <w:szCs w:val="32"/>
          <w:shd w:val="clear" w:color="auto" w:fill="FFFFFF"/>
          <w:lang w:val="zh-CN"/>
        </w:rPr>
      </w:pPr>
      <w:r>
        <w:rPr>
          <w:rFonts w:hint="default" w:ascii="Times New Roman" w:hAnsi="Times New Roman" w:eastAsia="仿宋_GB2312" w:cs="Times New Roman"/>
          <w:b/>
          <w:bCs/>
          <w:color w:val="auto"/>
          <w:kern w:val="0"/>
          <w:sz w:val="32"/>
          <w:szCs w:val="32"/>
          <w:shd w:val="clear" w:color="auto" w:fill="FFFFFF"/>
          <w:lang w:val="zh-CN"/>
        </w:rPr>
        <w:t>（</w:t>
      </w:r>
      <w:r>
        <w:rPr>
          <w:rFonts w:hint="default" w:ascii="Times New Roman" w:hAnsi="Times New Roman" w:eastAsia="楷体_GB2312" w:cs="Times New Roman"/>
          <w:b/>
          <w:bCs/>
          <w:color w:val="auto"/>
          <w:kern w:val="0"/>
          <w:sz w:val="32"/>
          <w:szCs w:val="32"/>
          <w:shd w:val="clear" w:color="auto" w:fill="FFFFFF"/>
          <w:lang w:val="zh-CN"/>
        </w:rPr>
        <w:t>二）机构职能。</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1.贯彻实施国家有关国民经济和社会发展、经济体制改革的方针、政策和法律、法规。拟订全省有关国民经济和社会发展、经济体制改革的地方性法规、规章草案，负责本系统、本部门依法行政工作，落实行政执法责任制。</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2.负责拟订并组织实施全省国民经济和社会发展战略、中长期规划和年度计划，统筹协调全省经济社会发展，研究分析宏观经济形势，提出全省经济社会发展、经济结构优化、价格总水平调控目标和政策建议。受省政府委托向省人大提交国民经济和社会发展计划报告。</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3.负责监测宏观经济和社会发展态势，承担预测预警和信息引导的责任，研究宏观调控重大问题并提出政策建议，搞好总量平衡，综合协调经济社会发展中的重大问题。负责省级以上开发区的指导、协调和宏观管理。</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4.负责汇总分析全省财政、金融等方面情况，参与制订财政、金融、土地政策，综合分析政策执行效果，负责全省全口径外债管理有关工作，提出多渠道融资的政策建议，综合协调财政、金融、价格和产业政策等经济杠杆，保证全省国民经济计划和发展规划的实施。</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5.承担指导推进和综合协调全省经济体制改革的责任，研究经济体制改革和对外开放的重大问题，组织拟订综合性经济体制改革方案，协调有关专项经济体制改革方案，会同有关部门搞好重要专项经济体制改革之间的衔接，指导经济体制改革试点和改革试验区工作。</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6.贯彻实施国家和省价格法律、法规和方针、政策，编制和执行价格调整改革规划，提出年度价格总水平调控目标及价格调控措施并组织实施，管理国家、省列名管理的商品和服务价格，承担行政事业性收费管理工作，负责全省价格成本调查监审、价格监测、价格认证等工作。</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7.负责全省投资宏观管理和协调推进重大项目建设。拟订全社会固定资产投资总规模和投资结构的调控目标、政策及措施，安排省级预算内基本建设资金，按规定权限审批、核准、备案或转报固定资产投资项目（企业技术改造项目除外）和资源开发利用、外资、境外投资项目。引导民间投资方向，研究提出利用外资和境外投资的规划、总量平衡和结构优化的目标和政策，指导和协调国外贷款项目实施。</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8.推进经济结构战略性调整。组织拟订全省综合性产业政策，负责协调第一、二、三产业发展的重大问题，衔接平衡相关发展规划和重大政策，拟订重大产业发展规划，引导全省重大生产力合理布局，协调推进全省重大技术装备推广应用和重大产业基地建设，会同有关部门拟订服务业、现代物流业发展战略、规划和重大政策。组织拟订高技术产业发展、产业技术进步的战略、规划和重大政策，指导全省自主创新体系建设发展。</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9.促进城乡区域协调发展。组织拟订区域协调发展战略、规划和重大政策，研究提出城镇化发展战略，负责地区经济协作的统筹协调。</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10.负责重要商品总量平衡和宏观调控。研究分析省内外市场和对外贸易运行情况，会同有关部门管理重要物资的省级储备工作。</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11.负责全省社会发展与国民经济发展的政策衔接，组织拟订社会发展战略、总体规划和年度计划，研究提出促进就业、调整收入分配、完善社会保障与经济协调发展的政策建议，协调社会事业发展中的重大问题及政策。</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12.推进可持续发展，负责全省节能的综合协调工作，组织拟订并协调实施全省发展循环经济、能源资源节约和综合利用规划及政策措施，参与编制生态建设规划，协调生态建设、能源资源节约和综合利用的重大问题，综合协调环保产业和清洁生产促进有关工作。</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13.会同有关部门拟订民族地区、革命老区、贫困地区经济发展规划，会同有关部门制定加快民族地区、革命老区、贫困地区经济发展的重大政策，协调推进重大项目建设。</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14.指导、协调并综合管理全省招标投标工作。</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15.负责组织协调和处理全省铁路、机场建设项目前期工作、征地拆迁、建设过程中涉及的重大问题，做好全省铁路、机场建设规划及年度计划编制的相关工作。</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16.承担省实施西部大开发领导小组（省攀西地区资源开发领导小组）、省重点项目领导小组等具体工作。</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17.承担省政府公布的有关行政审批事项。</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18.承办省政府交办的其他事项。</w:t>
      </w:r>
    </w:p>
    <w:p>
      <w:pPr>
        <w:pageBreakBefore w:val="0"/>
        <w:widowControl/>
        <w:kinsoku/>
        <w:wordWrap/>
        <w:overflowPunct/>
        <w:topLinePunct w:val="0"/>
        <w:bidi w:val="0"/>
        <w:adjustRightInd w:val="0"/>
        <w:snapToGrid w:val="0"/>
        <w:spacing w:line="560" w:lineRule="exact"/>
        <w:ind w:firstLine="642" w:firstLineChars="200"/>
        <w:contextualSpacing/>
        <w:jc w:val="left"/>
        <w:rPr>
          <w:rFonts w:hint="default" w:ascii="Times New Roman" w:hAnsi="Times New Roman" w:eastAsia="楷体_GB2312" w:cs="Times New Roman"/>
          <w:b/>
          <w:bCs/>
          <w:color w:val="auto"/>
          <w:kern w:val="0"/>
          <w:sz w:val="32"/>
          <w:szCs w:val="32"/>
          <w:shd w:val="clear" w:color="auto" w:fill="FFFFFF"/>
          <w:lang w:val="zh-CN"/>
        </w:rPr>
      </w:pPr>
      <w:r>
        <w:rPr>
          <w:rFonts w:hint="default" w:ascii="Times New Roman" w:hAnsi="Times New Roman" w:eastAsia="楷体_GB2312" w:cs="Times New Roman"/>
          <w:b/>
          <w:bCs/>
          <w:color w:val="auto"/>
          <w:kern w:val="0"/>
          <w:sz w:val="32"/>
          <w:szCs w:val="32"/>
          <w:shd w:val="clear" w:color="auto" w:fill="FFFFFF"/>
          <w:lang w:val="zh-CN"/>
        </w:rPr>
        <w:t>（三）人员概况。</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kern w:val="0"/>
          <w:shd w:val="clear" w:color="auto" w:fill="FFFFFF"/>
          <w:lang w:val="zh-CN"/>
        </w:rPr>
      </w:pPr>
      <w:r>
        <w:rPr>
          <w:rFonts w:hint="default" w:ascii="Times New Roman" w:hAnsi="Times New Roman" w:eastAsia="仿宋_GB2312" w:cs="Times New Roman"/>
          <w:bCs/>
          <w:color w:val="auto"/>
          <w:sz w:val="32"/>
          <w:szCs w:val="32"/>
        </w:rPr>
        <w:t>2021年末，省发展改革委实有财政供养人数4</w:t>
      </w:r>
      <w:r>
        <w:rPr>
          <w:rFonts w:hint="default" w:ascii="Times New Roman" w:hAnsi="Times New Roman" w:cs="Times New Roman"/>
          <w:bCs/>
          <w:color w:val="auto"/>
          <w:sz w:val="32"/>
          <w:szCs w:val="32"/>
        </w:rPr>
        <w:t>88</w:t>
      </w:r>
      <w:r>
        <w:rPr>
          <w:rFonts w:hint="default" w:ascii="Times New Roman" w:hAnsi="Times New Roman" w:eastAsia="仿宋_GB2312" w:cs="Times New Roman"/>
          <w:bCs/>
          <w:color w:val="auto"/>
          <w:sz w:val="32"/>
          <w:szCs w:val="32"/>
        </w:rPr>
        <w:t>人，其中：在职人员4</w:t>
      </w:r>
      <w:r>
        <w:rPr>
          <w:rFonts w:hint="default" w:ascii="Times New Roman" w:hAnsi="Times New Roman" w:cs="Times New Roman"/>
          <w:bCs/>
          <w:color w:val="auto"/>
          <w:sz w:val="32"/>
          <w:szCs w:val="32"/>
        </w:rPr>
        <w:t>73</w:t>
      </w:r>
      <w:r>
        <w:rPr>
          <w:rFonts w:hint="default" w:ascii="Times New Roman" w:hAnsi="Times New Roman" w:eastAsia="仿宋_GB2312" w:cs="Times New Roman"/>
          <w:bCs/>
          <w:color w:val="auto"/>
          <w:sz w:val="32"/>
          <w:szCs w:val="32"/>
        </w:rPr>
        <w:t>人（行政人员3</w:t>
      </w:r>
      <w:r>
        <w:rPr>
          <w:rFonts w:hint="default" w:ascii="Times New Roman" w:hAnsi="Times New Roman" w:cs="Times New Roman"/>
          <w:bCs/>
          <w:color w:val="auto"/>
          <w:sz w:val="32"/>
          <w:szCs w:val="32"/>
        </w:rPr>
        <w:t>53</w:t>
      </w:r>
      <w:r>
        <w:rPr>
          <w:rFonts w:hint="default" w:ascii="Times New Roman" w:hAnsi="Times New Roman" w:eastAsia="仿宋_GB2312" w:cs="Times New Roman"/>
          <w:bCs/>
          <w:color w:val="auto"/>
          <w:sz w:val="32"/>
          <w:szCs w:val="32"/>
        </w:rPr>
        <w:t>人，参公及事业人员1</w:t>
      </w:r>
      <w:r>
        <w:rPr>
          <w:rFonts w:hint="default" w:ascii="Times New Roman" w:hAnsi="Times New Roman" w:cs="Times New Roman"/>
          <w:bCs/>
          <w:color w:val="auto"/>
          <w:sz w:val="32"/>
          <w:szCs w:val="32"/>
        </w:rPr>
        <w:t>20</w:t>
      </w:r>
      <w:r>
        <w:rPr>
          <w:rFonts w:hint="default" w:ascii="Times New Roman" w:hAnsi="Times New Roman" w:eastAsia="仿宋_GB2312" w:cs="Times New Roman"/>
          <w:bCs/>
          <w:color w:val="auto"/>
          <w:sz w:val="32"/>
          <w:szCs w:val="32"/>
        </w:rPr>
        <w:t>人），离休人员1</w:t>
      </w:r>
      <w:r>
        <w:rPr>
          <w:rFonts w:hint="default" w:ascii="Times New Roman" w:hAnsi="Times New Roman" w:cs="Times New Roman"/>
          <w:bCs/>
          <w:color w:val="auto"/>
          <w:sz w:val="32"/>
          <w:szCs w:val="32"/>
        </w:rPr>
        <w:t>5</w:t>
      </w:r>
      <w:r>
        <w:rPr>
          <w:rFonts w:hint="default" w:ascii="Times New Roman" w:hAnsi="Times New Roman" w:eastAsia="仿宋_GB2312" w:cs="Times New Roman"/>
          <w:bCs/>
          <w:color w:val="auto"/>
          <w:sz w:val="32"/>
          <w:szCs w:val="32"/>
        </w:rPr>
        <w:t>人。</w:t>
      </w:r>
    </w:p>
    <w:p>
      <w:pPr>
        <w:pageBreakBefore w:val="0"/>
        <w:widowControl/>
        <w:kinsoku/>
        <w:wordWrap/>
        <w:overflowPunct/>
        <w:topLinePunct w:val="0"/>
        <w:bidi w:val="0"/>
        <w:adjustRightInd w:val="0"/>
        <w:snapToGrid w:val="0"/>
        <w:spacing w:line="560" w:lineRule="exact"/>
        <w:ind w:firstLine="640" w:firstLineChars="200"/>
        <w:contextualSpacing/>
        <w:jc w:val="left"/>
        <w:rPr>
          <w:rFonts w:hint="default" w:ascii="Times New Roman" w:hAnsi="Times New Roman" w:eastAsia="黑体" w:cs="Times New Roman"/>
          <w:color w:val="auto"/>
          <w:kern w:val="0"/>
          <w:sz w:val="32"/>
          <w:szCs w:val="32"/>
          <w:shd w:val="clear" w:color="auto" w:fill="FFFFFF"/>
        </w:rPr>
      </w:pPr>
      <w:r>
        <w:rPr>
          <w:rFonts w:hint="default" w:ascii="Times New Roman" w:hAnsi="Times New Roman" w:eastAsia="黑体" w:cs="Times New Roman"/>
          <w:color w:val="auto"/>
          <w:kern w:val="0"/>
          <w:sz w:val="32"/>
          <w:szCs w:val="32"/>
          <w:shd w:val="clear" w:color="auto" w:fill="FFFFFF"/>
        </w:rPr>
        <w:t>二、部门财政资金收支情况</w:t>
      </w:r>
    </w:p>
    <w:p>
      <w:pPr>
        <w:pageBreakBefore w:val="0"/>
        <w:widowControl/>
        <w:kinsoku/>
        <w:wordWrap/>
        <w:overflowPunct/>
        <w:topLinePunct w:val="0"/>
        <w:bidi w:val="0"/>
        <w:adjustRightInd w:val="0"/>
        <w:snapToGrid w:val="0"/>
        <w:spacing w:line="560" w:lineRule="exact"/>
        <w:ind w:firstLine="642" w:firstLineChars="200"/>
        <w:contextualSpacing/>
        <w:jc w:val="left"/>
        <w:rPr>
          <w:rFonts w:hint="default" w:ascii="Times New Roman" w:hAnsi="Times New Roman" w:eastAsia="楷体_GB2312" w:cs="Times New Roman"/>
          <w:b/>
          <w:bCs/>
          <w:color w:val="auto"/>
          <w:kern w:val="0"/>
          <w:sz w:val="32"/>
          <w:szCs w:val="32"/>
          <w:shd w:val="clear" w:color="auto" w:fill="FFFFFF"/>
          <w:lang w:val="zh-CN"/>
        </w:rPr>
      </w:pPr>
      <w:r>
        <w:rPr>
          <w:rFonts w:hint="default" w:ascii="Times New Roman" w:hAnsi="Times New Roman" w:eastAsia="楷体_GB2312" w:cs="Times New Roman"/>
          <w:b/>
          <w:bCs/>
          <w:color w:val="auto"/>
          <w:kern w:val="0"/>
          <w:sz w:val="32"/>
          <w:szCs w:val="32"/>
          <w:shd w:val="clear" w:color="auto" w:fill="FFFFFF"/>
          <w:lang w:val="zh-CN"/>
        </w:rPr>
        <w:t>（一）部门财政资金收入情况。</w:t>
      </w:r>
    </w:p>
    <w:p>
      <w:pPr>
        <w:pageBreakBefore w:val="0"/>
        <w:kinsoku/>
        <w:wordWrap/>
        <w:overflowPunct/>
        <w:topLinePunct w:val="0"/>
        <w:bidi w:val="0"/>
        <w:snapToGrid w:val="0"/>
        <w:spacing w:line="560" w:lineRule="exact"/>
        <w:ind w:firstLine="640" w:firstLineChars="200"/>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20</w:t>
      </w:r>
      <w:r>
        <w:rPr>
          <w:rFonts w:hint="default" w:ascii="Times New Roman" w:hAnsi="Times New Roman" w:cs="Times New Roman"/>
          <w:bCs/>
          <w:color w:val="auto"/>
          <w:sz w:val="32"/>
          <w:szCs w:val="32"/>
        </w:rPr>
        <w:t>21</w:t>
      </w:r>
      <w:r>
        <w:rPr>
          <w:rFonts w:hint="default" w:ascii="Times New Roman" w:hAnsi="Times New Roman" w:eastAsia="仿宋_GB2312" w:cs="Times New Roman"/>
          <w:bCs/>
          <w:color w:val="auto"/>
          <w:sz w:val="32"/>
          <w:szCs w:val="32"/>
        </w:rPr>
        <w:t>年，省发展改革委机关及直属单位财政拨款收入</w:t>
      </w:r>
      <w:r>
        <w:rPr>
          <w:rFonts w:hint="default" w:ascii="Times New Roman" w:hAnsi="Times New Roman" w:cs="Times New Roman"/>
          <w:bCs/>
          <w:color w:val="auto"/>
          <w:sz w:val="32"/>
          <w:szCs w:val="32"/>
        </w:rPr>
        <w:t>23766.68</w:t>
      </w:r>
      <w:r>
        <w:rPr>
          <w:rFonts w:hint="default" w:ascii="Times New Roman" w:hAnsi="Times New Roman" w:eastAsia="仿宋_GB2312" w:cs="Times New Roman"/>
          <w:bCs/>
          <w:color w:val="auto"/>
          <w:sz w:val="32"/>
          <w:szCs w:val="32"/>
        </w:rPr>
        <w:t>万元，全部为一般公共预算收入。</w:t>
      </w:r>
    </w:p>
    <w:p>
      <w:pPr>
        <w:pageBreakBefore w:val="0"/>
        <w:widowControl/>
        <w:kinsoku/>
        <w:wordWrap/>
        <w:overflowPunct/>
        <w:topLinePunct w:val="0"/>
        <w:bidi w:val="0"/>
        <w:adjustRightInd w:val="0"/>
        <w:snapToGrid w:val="0"/>
        <w:spacing w:line="560" w:lineRule="exact"/>
        <w:ind w:firstLine="642" w:firstLineChars="200"/>
        <w:contextualSpacing/>
        <w:jc w:val="left"/>
        <w:rPr>
          <w:rFonts w:hint="default" w:ascii="Times New Roman" w:hAnsi="Times New Roman" w:eastAsia="楷体_GB2312" w:cs="Times New Roman"/>
          <w:b/>
          <w:bCs/>
          <w:color w:val="auto"/>
          <w:kern w:val="0"/>
          <w:sz w:val="32"/>
          <w:szCs w:val="32"/>
          <w:shd w:val="clear" w:color="auto" w:fill="FFFFFF"/>
          <w:lang w:val="zh-CN"/>
        </w:rPr>
      </w:pPr>
      <w:r>
        <w:rPr>
          <w:rFonts w:hint="default" w:ascii="Times New Roman" w:hAnsi="Times New Roman" w:eastAsia="楷体_GB2312" w:cs="Times New Roman"/>
          <w:b/>
          <w:bCs/>
          <w:color w:val="auto"/>
          <w:kern w:val="0"/>
          <w:sz w:val="32"/>
          <w:szCs w:val="32"/>
          <w:shd w:val="clear" w:color="auto" w:fill="FFFFFF"/>
          <w:lang w:val="zh-CN"/>
        </w:rPr>
        <w:t>（二）部门财政资金支出情况。</w:t>
      </w:r>
    </w:p>
    <w:p>
      <w:pPr>
        <w:pageBreakBefore w:val="0"/>
        <w:kinsoku/>
        <w:wordWrap/>
        <w:overflowPunct/>
        <w:topLinePunct w:val="0"/>
        <w:bidi w:val="0"/>
        <w:adjustRightInd w:val="0"/>
        <w:snapToGrid w:val="0"/>
        <w:spacing w:line="560" w:lineRule="exact"/>
        <w:ind w:firstLine="640"/>
        <w:contextualSpacing/>
        <w:rPr>
          <w:rFonts w:hint="default" w:ascii="Times New Roman" w:hAnsi="Times New Roman" w:cs="Times New Roman"/>
          <w:bCs/>
          <w:color w:val="auto"/>
        </w:rPr>
      </w:pPr>
      <w:r>
        <w:rPr>
          <w:rFonts w:hint="default" w:ascii="Times New Roman" w:hAnsi="Times New Roman" w:eastAsia="仿宋_GB2312" w:cs="Times New Roman"/>
          <w:bCs/>
          <w:color w:val="auto"/>
          <w:sz w:val="32"/>
          <w:szCs w:val="32"/>
        </w:rPr>
        <w:t>20</w:t>
      </w:r>
      <w:r>
        <w:rPr>
          <w:rFonts w:hint="default" w:ascii="Times New Roman" w:hAnsi="Times New Roman" w:cs="Times New Roman"/>
          <w:bCs/>
          <w:color w:val="auto"/>
          <w:sz w:val="32"/>
          <w:szCs w:val="32"/>
        </w:rPr>
        <w:t>21</w:t>
      </w:r>
      <w:r>
        <w:rPr>
          <w:rFonts w:hint="default" w:ascii="Times New Roman" w:hAnsi="Times New Roman" w:eastAsia="仿宋_GB2312" w:cs="Times New Roman"/>
          <w:bCs/>
          <w:color w:val="auto"/>
          <w:sz w:val="32"/>
          <w:szCs w:val="32"/>
        </w:rPr>
        <w:t>年，省发展改革委机关及直属单位财政拨款支出</w:t>
      </w:r>
      <w:r>
        <w:rPr>
          <w:rFonts w:hint="default" w:ascii="Times New Roman" w:hAnsi="Times New Roman" w:cs="Times New Roman"/>
          <w:bCs/>
          <w:color w:val="auto"/>
          <w:sz w:val="32"/>
          <w:szCs w:val="32"/>
        </w:rPr>
        <w:t>23766.68</w:t>
      </w:r>
      <w:r>
        <w:rPr>
          <w:rFonts w:hint="default" w:ascii="Times New Roman" w:hAnsi="Times New Roman" w:eastAsia="仿宋_GB2312" w:cs="Times New Roman"/>
          <w:bCs/>
          <w:color w:val="auto"/>
          <w:sz w:val="32"/>
          <w:szCs w:val="32"/>
        </w:rPr>
        <w:t>万元。其中，基本支出</w:t>
      </w:r>
      <w:r>
        <w:rPr>
          <w:rFonts w:hint="default" w:ascii="Times New Roman" w:hAnsi="Times New Roman" w:cs="Times New Roman"/>
          <w:bCs/>
          <w:color w:val="auto"/>
          <w:sz w:val="32"/>
          <w:szCs w:val="32"/>
        </w:rPr>
        <w:t>15055.79</w:t>
      </w:r>
      <w:r>
        <w:rPr>
          <w:rFonts w:hint="default" w:ascii="Times New Roman" w:hAnsi="Times New Roman" w:eastAsia="仿宋_GB2312" w:cs="Times New Roman"/>
          <w:bCs/>
          <w:color w:val="auto"/>
          <w:sz w:val="32"/>
          <w:szCs w:val="32"/>
        </w:rPr>
        <w:t>万元</w:t>
      </w:r>
      <w:r>
        <w:rPr>
          <w:rFonts w:hint="default" w:ascii="Times New Roman" w:hAnsi="Times New Roman" w:cs="Times New Roman"/>
          <w:bCs/>
          <w:color w:val="auto"/>
          <w:sz w:val="32"/>
          <w:szCs w:val="32"/>
        </w:rPr>
        <w:t>，</w:t>
      </w:r>
      <w:r>
        <w:rPr>
          <w:rFonts w:hint="default" w:ascii="Times New Roman" w:hAnsi="Times New Roman" w:eastAsia="仿宋_GB2312" w:cs="Times New Roman"/>
          <w:bCs/>
          <w:color w:val="auto"/>
          <w:sz w:val="32"/>
          <w:szCs w:val="32"/>
        </w:rPr>
        <w:t>项目支出</w:t>
      </w:r>
      <w:r>
        <w:rPr>
          <w:rFonts w:hint="default" w:ascii="Times New Roman" w:hAnsi="Times New Roman" w:cs="Times New Roman"/>
          <w:bCs/>
          <w:color w:val="auto"/>
          <w:sz w:val="32"/>
          <w:szCs w:val="32"/>
        </w:rPr>
        <w:t>8710.89</w:t>
      </w:r>
      <w:r>
        <w:rPr>
          <w:rFonts w:hint="default" w:ascii="Times New Roman" w:hAnsi="Times New Roman" w:eastAsia="仿宋_GB2312" w:cs="Times New Roman"/>
          <w:bCs/>
          <w:color w:val="auto"/>
          <w:sz w:val="32"/>
          <w:szCs w:val="32"/>
        </w:rPr>
        <w:t>万元</w:t>
      </w:r>
      <w:r>
        <w:rPr>
          <w:rFonts w:hint="default" w:ascii="Times New Roman" w:hAnsi="Times New Roman" w:cs="Times New Roman"/>
          <w:bCs/>
          <w:color w:val="auto"/>
          <w:sz w:val="32"/>
          <w:szCs w:val="32"/>
        </w:rPr>
        <w:t>。</w:t>
      </w:r>
      <w:r>
        <w:rPr>
          <w:rFonts w:hint="default" w:ascii="Times New Roman" w:hAnsi="Times New Roman" w:eastAsia="仿宋_GB2312" w:cs="Times New Roman"/>
          <w:bCs/>
          <w:color w:val="auto"/>
          <w:sz w:val="32"/>
          <w:szCs w:val="32"/>
        </w:rPr>
        <w:t>按经济支出分类</w:t>
      </w:r>
      <w:r>
        <w:rPr>
          <w:rFonts w:hint="default" w:ascii="Times New Roman" w:hAnsi="Times New Roman" w:cs="Times New Roman"/>
          <w:bCs/>
          <w:color w:val="auto"/>
          <w:sz w:val="32"/>
          <w:szCs w:val="32"/>
        </w:rPr>
        <w:t>：</w:t>
      </w:r>
      <w:r>
        <w:rPr>
          <w:rFonts w:hint="default" w:ascii="Times New Roman" w:hAnsi="Times New Roman" w:eastAsia="仿宋_GB2312" w:cs="Times New Roman"/>
          <w:bCs/>
          <w:color w:val="auto"/>
          <w:sz w:val="32"/>
          <w:szCs w:val="32"/>
        </w:rPr>
        <w:t>工资福利支出</w:t>
      </w:r>
      <w:r>
        <w:rPr>
          <w:rFonts w:hint="default" w:ascii="Times New Roman" w:hAnsi="Times New Roman" w:cs="Times New Roman"/>
          <w:bCs/>
          <w:color w:val="auto"/>
          <w:sz w:val="32"/>
          <w:szCs w:val="32"/>
        </w:rPr>
        <w:t>9535.67</w:t>
      </w:r>
      <w:r>
        <w:rPr>
          <w:rFonts w:hint="default" w:ascii="Times New Roman" w:hAnsi="Times New Roman" w:eastAsia="仿宋_GB2312" w:cs="Times New Roman"/>
          <w:bCs/>
          <w:color w:val="auto"/>
          <w:sz w:val="32"/>
          <w:szCs w:val="32"/>
        </w:rPr>
        <w:t>万元</w:t>
      </w:r>
      <w:r>
        <w:rPr>
          <w:rFonts w:hint="default" w:ascii="Times New Roman" w:hAnsi="Times New Roman" w:cs="Times New Roman"/>
          <w:bCs/>
          <w:color w:val="auto"/>
          <w:sz w:val="32"/>
          <w:szCs w:val="32"/>
        </w:rPr>
        <w:t>，</w:t>
      </w:r>
      <w:r>
        <w:rPr>
          <w:rFonts w:hint="default" w:ascii="Times New Roman" w:hAnsi="Times New Roman" w:eastAsia="仿宋_GB2312" w:cs="Times New Roman"/>
          <w:bCs/>
          <w:color w:val="auto"/>
          <w:sz w:val="32"/>
          <w:szCs w:val="32"/>
        </w:rPr>
        <w:t>商品和服务支出</w:t>
      </w:r>
      <w:r>
        <w:rPr>
          <w:rFonts w:hint="default" w:ascii="Times New Roman" w:hAnsi="Times New Roman" w:cs="Times New Roman"/>
          <w:bCs/>
          <w:color w:val="auto"/>
          <w:sz w:val="32"/>
          <w:szCs w:val="32"/>
        </w:rPr>
        <w:t>6005.85</w:t>
      </w:r>
      <w:r>
        <w:rPr>
          <w:rFonts w:hint="default" w:ascii="Times New Roman" w:hAnsi="Times New Roman" w:eastAsia="仿宋_GB2312" w:cs="Times New Roman"/>
          <w:bCs/>
          <w:color w:val="auto"/>
          <w:sz w:val="32"/>
          <w:szCs w:val="32"/>
        </w:rPr>
        <w:t>万元</w:t>
      </w:r>
      <w:r>
        <w:rPr>
          <w:rFonts w:hint="default" w:ascii="Times New Roman" w:hAnsi="Times New Roman" w:cs="Times New Roman"/>
          <w:bCs/>
          <w:color w:val="auto"/>
          <w:sz w:val="32"/>
          <w:szCs w:val="32"/>
        </w:rPr>
        <w:t>，</w:t>
      </w:r>
      <w:r>
        <w:rPr>
          <w:rFonts w:hint="default" w:ascii="Times New Roman" w:hAnsi="Times New Roman" w:eastAsia="仿宋_GB2312" w:cs="Times New Roman"/>
          <w:bCs/>
          <w:color w:val="auto"/>
          <w:sz w:val="32"/>
          <w:szCs w:val="32"/>
        </w:rPr>
        <w:t>对个人和家庭的补助支出</w:t>
      </w:r>
      <w:r>
        <w:rPr>
          <w:rFonts w:hint="default" w:ascii="Times New Roman" w:hAnsi="Times New Roman" w:cs="Times New Roman"/>
          <w:bCs/>
          <w:color w:val="auto"/>
          <w:sz w:val="32"/>
          <w:szCs w:val="32"/>
        </w:rPr>
        <w:t>2180.25</w:t>
      </w:r>
      <w:r>
        <w:rPr>
          <w:rFonts w:hint="default" w:ascii="Times New Roman" w:hAnsi="Times New Roman" w:eastAsia="仿宋_GB2312" w:cs="Times New Roman"/>
          <w:bCs/>
          <w:color w:val="auto"/>
          <w:sz w:val="32"/>
          <w:szCs w:val="32"/>
        </w:rPr>
        <w:t>万元</w:t>
      </w:r>
      <w:r>
        <w:rPr>
          <w:rFonts w:hint="default" w:ascii="Times New Roman" w:hAnsi="Times New Roman" w:cs="Times New Roman"/>
          <w:bCs/>
          <w:color w:val="auto"/>
          <w:sz w:val="32"/>
          <w:szCs w:val="32"/>
        </w:rPr>
        <w:t>，</w:t>
      </w:r>
      <w:r>
        <w:rPr>
          <w:rFonts w:hint="default" w:ascii="Times New Roman" w:hAnsi="Times New Roman" w:eastAsia="仿宋_GB2312" w:cs="Times New Roman"/>
          <w:bCs/>
          <w:color w:val="auto"/>
          <w:sz w:val="32"/>
          <w:szCs w:val="32"/>
        </w:rPr>
        <w:t>资本性支出</w:t>
      </w:r>
      <w:r>
        <w:rPr>
          <w:rFonts w:hint="default" w:ascii="Times New Roman" w:hAnsi="Times New Roman" w:cs="Times New Roman"/>
          <w:bCs/>
          <w:color w:val="auto"/>
          <w:sz w:val="32"/>
          <w:szCs w:val="32"/>
        </w:rPr>
        <w:t>6044.91</w:t>
      </w:r>
      <w:r>
        <w:rPr>
          <w:rFonts w:hint="default" w:ascii="Times New Roman" w:hAnsi="Times New Roman" w:eastAsia="仿宋_GB2312" w:cs="Times New Roman"/>
          <w:bCs/>
          <w:color w:val="auto"/>
          <w:sz w:val="32"/>
          <w:szCs w:val="32"/>
        </w:rPr>
        <w:t>万元</w:t>
      </w:r>
      <w:r>
        <w:rPr>
          <w:rFonts w:hint="default" w:ascii="Times New Roman" w:hAnsi="Times New Roman" w:cs="Times New Roman"/>
          <w:bCs/>
          <w:color w:val="auto"/>
          <w:sz w:val="32"/>
          <w:szCs w:val="32"/>
        </w:rPr>
        <w:t>。</w:t>
      </w:r>
    </w:p>
    <w:p>
      <w:pPr>
        <w:pageBreakBefore w:val="0"/>
        <w:widowControl/>
        <w:kinsoku/>
        <w:wordWrap/>
        <w:overflowPunct/>
        <w:topLinePunct w:val="0"/>
        <w:bidi w:val="0"/>
        <w:adjustRightInd w:val="0"/>
        <w:snapToGrid w:val="0"/>
        <w:spacing w:line="560" w:lineRule="exact"/>
        <w:ind w:firstLine="640" w:firstLineChars="200"/>
        <w:contextualSpacing/>
        <w:jc w:val="left"/>
        <w:rPr>
          <w:rFonts w:hint="default" w:ascii="Times New Roman" w:hAnsi="Times New Roman" w:eastAsia="黑体" w:cs="Times New Roman"/>
          <w:color w:val="auto"/>
          <w:kern w:val="0"/>
          <w:sz w:val="32"/>
          <w:szCs w:val="32"/>
          <w:shd w:val="clear" w:color="auto" w:fill="FFFFFF"/>
        </w:rPr>
      </w:pPr>
      <w:r>
        <w:rPr>
          <w:rFonts w:hint="default" w:ascii="Times New Roman" w:hAnsi="Times New Roman" w:eastAsia="黑体" w:cs="Times New Roman"/>
          <w:color w:val="auto"/>
          <w:kern w:val="0"/>
          <w:sz w:val="32"/>
          <w:szCs w:val="32"/>
          <w:shd w:val="clear" w:color="auto" w:fill="FFFFFF"/>
        </w:rPr>
        <w:t>三、部门整体预算绩效管理情况</w:t>
      </w:r>
    </w:p>
    <w:p>
      <w:pPr>
        <w:pageBreakBefore w:val="0"/>
        <w:widowControl/>
        <w:kinsoku/>
        <w:wordWrap/>
        <w:overflowPunct/>
        <w:topLinePunct w:val="0"/>
        <w:bidi w:val="0"/>
        <w:adjustRightInd w:val="0"/>
        <w:snapToGrid w:val="0"/>
        <w:spacing w:line="560" w:lineRule="exact"/>
        <w:ind w:firstLine="642" w:firstLineChars="200"/>
        <w:contextualSpacing/>
        <w:jc w:val="left"/>
        <w:rPr>
          <w:rFonts w:hint="default" w:ascii="Times New Roman" w:hAnsi="Times New Roman" w:eastAsia="楷体_GB2312" w:cs="Times New Roman"/>
          <w:b/>
          <w:bCs/>
          <w:color w:val="auto"/>
          <w:kern w:val="0"/>
          <w:sz w:val="32"/>
          <w:szCs w:val="32"/>
          <w:shd w:val="clear" w:color="auto" w:fill="FFFFFF"/>
          <w:lang w:val="zh-CN"/>
        </w:rPr>
      </w:pPr>
      <w:r>
        <w:rPr>
          <w:rFonts w:hint="default" w:ascii="Times New Roman" w:hAnsi="Times New Roman" w:eastAsia="楷体_GB2312" w:cs="Times New Roman"/>
          <w:b/>
          <w:bCs/>
          <w:color w:val="auto"/>
          <w:kern w:val="0"/>
          <w:sz w:val="32"/>
          <w:szCs w:val="32"/>
          <w:shd w:val="clear" w:color="auto" w:fill="FFFFFF"/>
          <w:lang w:val="zh-CN"/>
        </w:rPr>
        <w:t>（一）部门预算项目绩效管理。</w:t>
      </w:r>
    </w:p>
    <w:p>
      <w:pPr>
        <w:pageBreakBefore w:val="0"/>
        <w:kinsoku/>
        <w:wordWrap/>
        <w:overflowPunct/>
        <w:topLinePunct w:val="0"/>
        <w:bidi w:val="0"/>
        <w:adjustRightInd w:val="0"/>
        <w:snapToGrid w:val="0"/>
        <w:spacing w:line="560" w:lineRule="exact"/>
        <w:ind w:firstLine="642"/>
        <w:contextualSpacing/>
        <w:jc w:val="left"/>
        <w:rPr>
          <w:rFonts w:hint="default" w:ascii="Times New Roman" w:hAnsi="Times New Roman" w:eastAsia="仿宋_GB2312" w:cs="Times New Roman"/>
          <w:bCs/>
          <w:color w:val="auto"/>
          <w:kern w:val="0"/>
          <w:sz w:val="32"/>
          <w:szCs w:val="32"/>
          <w:shd w:val="clear" w:color="auto" w:fill="FFFFFF"/>
        </w:rPr>
      </w:pPr>
      <w:r>
        <w:rPr>
          <w:rFonts w:hint="default" w:ascii="Times New Roman" w:hAnsi="Times New Roman" w:eastAsia="仿宋_GB2312" w:cs="Times New Roman"/>
          <w:bCs/>
          <w:color w:val="auto"/>
          <w:kern w:val="0"/>
          <w:sz w:val="32"/>
          <w:szCs w:val="32"/>
          <w:shd w:val="clear" w:color="auto" w:fill="FFFFFF"/>
        </w:rPr>
        <w:t>1.目标管理</w:t>
      </w:r>
    </w:p>
    <w:p>
      <w:pPr>
        <w:pageBreakBefore w:val="0"/>
        <w:kinsoku/>
        <w:wordWrap/>
        <w:overflowPunct/>
        <w:topLinePunct w:val="0"/>
        <w:bidi w:val="0"/>
        <w:adjustRightInd w:val="0"/>
        <w:snapToGrid w:val="0"/>
        <w:spacing w:line="560" w:lineRule="exact"/>
        <w:ind w:firstLine="642"/>
        <w:contextualSpacing/>
        <w:jc w:val="left"/>
        <w:rPr>
          <w:rFonts w:hint="default" w:ascii="Times New Roman" w:hAnsi="Times New Roman" w:eastAsia="仿宋_GB2312" w:cs="Times New Roman"/>
          <w:bCs/>
          <w:color w:val="auto"/>
          <w:kern w:val="0"/>
          <w:sz w:val="32"/>
          <w:szCs w:val="32"/>
          <w:shd w:val="clear" w:color="auto" w:fill="FFFFFF"/>
        </w:rPr>
      </w:pPr>
      <w:r>
        <w:rPr>
          <w:rFonts w:hint="default" w:ascii="Times New Roman" w:hAnsi="Times New Roman" w:eastAsia="仿宋_GB2312" w:cs="Times New Roman"/>
          <w:bCs/>
          <w:color w:val="auto"/>
          <w:kern w:val="0"/>
          <w:sz w:val="32"/>
          <w:szCs w:val="32"/>
          <w:shd w:val="clear" w:color="auto" w:fill="FFFFFF"/>
        </w:rPr>
        <w:t>（1）目标制定。我委严格落实省委、省政府各项决策部署，结合2021年度计划任务，科学制定部门整体预算绩效目标。整体绩效目标符合中长期规划，切合当前实际，在全面反映年度主要目标任务基础上，细化、量化了成果和效益指标，绩效目标监控和考核具有科学性、合理性和可操作性。按部门预算编制要求，100万元以上的项目均编制了项目绩效目标，纳入绩效管理体系。同时，绩效目标与预算草案一同经委党组审议。该项分值5分，按照评分标准，自评得分5分。</w:t>
      </w:r>
    </w:p>
    <w:p>
      <w:pPr>
        <w:pageBreakBefore w:val="0"/>
        <w:kinsoku/>
        <w:wordWrap/>
        <w:overflowPunct/>
        <w:topLinePunct w:val="0"/>
        <w:bidi w:val="0"/>
        <w:adjustRightInd w:val="0"/>
        <w:snapToGrid w:val="0"/>
        <w:spacing w:line="560" w:lineRule="exact"/>
        <w:ind w:firstLine="640" w:firstLineChars="200"/>
        <w:contextualSpacing/>
        <w:jc w:val="left"/>
        <w:rPr>
          <w:rFonts w:hint="default" w:ascii="Times New Roman" w:hAnsi="Times New Roman" w:eastAsia="仿宋_GB2312" w:cs="Times New Roman"/>
          <w:bCs/>
          <w:color w:val="auto"/>
          <w:kern w:val="0"/>
          <w:sz w:val="32"/>
          <w:szCs w:val="32"/>
          <w:shd w:val="clear" w:color="auto" w:fill="FFFFFF"/>
        </w:rPr>
      </w:pPr>
      <w:r>
        <w:rPr>
          <w:rFonts w:hint="default" w:ascii="Times New Roman" w:hAnsi="Times New Roman" w:eastAsia="仿宋_GB2312" w:cs="Times New Roman"/>
          <w:bCs/>
          <w:color w:val="auto"/>
          <w:kern w:val="0"/>
          <w:sz w:val="32"/>
          <w:szCs w:val="32"/>
          <w:shd w:val="clear" w:color="auto" w:fill="FFFFFF"/>
        </w:rPr>
        <w:t>（2）目标实现。2021年纳入绩效管理项目14个，数量指标21个。无未达到预期指标值或超过预期指标值30%数量指标。该项分值10分，按照计算公式，自评得分10分。</w:t>
      </w:r>
    </w:p>
    <w:p>
      <w:pPr>
        <w:pageBreakBefore w:val="0"/>
        <w:kinsoku/>
        <w:wordWrap/>
        <w:overflowPunct/>
        <w:topLinePunct w:val="0"/>
        <w:bidi w:val="0"/>
        <w:adjustRightInd w:val="0"/>
        <w:snapToGrid w:val="0"/>
        <w:spacing w:line="560" w:lineRule="exact"/>
        <w:ind w:firstLine="640"/>
        <w:contextualSpacing/>
        <w:jc w:val="left"/>
        <w:rPr>
          <w:rFonts w:hint="default" w:ascii="Times New Roman" w:hAnsi="Times New Roman" w:eastAsia="仿宋_GB2312" w:cs="Times New Roman"/>
          <w:bCs/>
          <w:color w:val="auto"/>
          <w:kern w:val="0"/>
          <w:sz w:val="32"/>
          <w:szCs w:val="32"/>
          <w:shd w:val="clear" w:color="auto" w:fill="FFFFFF"/>
        </w:rPr>
      </w:pPr>
      <w:r>
        <w:rPr>
          <w:rFonts w:hint="default" w:ascii="Times New Roman" w:hAnsi="Times New Roman" w:eastAsia="仿宋_GB2312" w:cs="Times New Roman"/>
          <w:bCs/>
          <w:color w:val="auto"/>
          <w:kern w:val="0"/>
          <w:sz w:val="32"/>
          <w:szCs w:val="32"/>
          <w:shd w:val="clear" w:color="auto" w:fill="FFFFFF"/>
        </w:rPr>
        <w:t>2.动态调整</w:t>
      </w:r>
    </w:p>
    <w:p>
      <w:pPr>
        <w:pageBreakBefore w:val="0"/>
        <w:kinsoku/>
        <w:wordWrap/>
        <w:overflowPunct/>
        <w:topLinePunct w:val="0"/>
        <w:bidi w:val="0"/>
        <w:adjustRightInd w:val="0"/>
        <w:snapToGrid w:val="0"/>
        <w:spacing w:line="560" w:lineRule="exact"/>
        <w:contextualSpacing/>
        <w:jc w:val="left"/>
        <w:rPr>
          <w:rFonts w:hint="default" w:ascii="Times New Roman" w:hAnsi="Times New Roman" w:eastAsia="仿宋_GB2312" w:cs="Times New Roman"/>
          <w:bCs/>
          <w:color w:val="auto"/>
          <w:kern w:val="0"/>
          <w:sz w:val="32"/>
          <w:szCs w:val="32"/>
          <w:shd w:val="clear" w:color="auto" w:fill="FFFFFF"/>
        </w:rPr>
      </w:pPr>
      <w:r>
        <w:rPr>
          <w:rFonts w:hint="default" w:ascii="Times New Roman" w:hAnsi="Times New Roman" w:eastAsia="仿宋_GB2312" w:cs="Times New Roman"/>
          <w:bCs/>
          <w:color w:val="auto"/>
          <w:kern w:val="0"/>
          <w:sz w:val="32"/>
          <w:szCs w:val="32"/>
          <w:shd w:val="clear" w:color="auto" w:fill="FFFFFF"/>
        </w:rPr>
        <w:t xml:space="preserve">    （1）支出控制。委机关及直属单位日常公用经费、项目支出中“办公费、印刷费、水费、电费、物业管理费”科目年初预算总额为1087.62万元，实际决算支出总额为1181.87万元，预决算偏差度8.67%，小于10%。该项分值2分，按照评分标准，偏差度小于10%，自评得分2分。</w:t>
      </w:r>
    </w:p>
    <w:p>
      <w:pPr>
        <w:pageBreakBefore w:val="0"/>
        <w:kinsoku/>
        <w:wordWrap/>
        <w:overflowPunct/>
        <w:topLinePunct w:val="0"/>
        <w:bidi w:val="0"/>
        <w:adjustRightInd w:val="0"/>
        <w:snapToGrid w:val="0"/>
        <w:spacing w:line="560" w:lineRule="exact"/>
        <w:ind w:firstLine="640"/>
        <w:contextualSpacing/>
        <w:jc w:val="left"/>
        <w:rPr>
          <w:rFonts w:hint="default" w:ascii="Times New Roman" w:hAnsi="Times New Roman" w:eastAsia="仿宋_GB2312" w:cs="Times New Roman"/>
          <w:bCs/>
          <w:color w:val="auto"/>
          <w:kern w:val="0"/>
          <w:sz w:val="32"/>
          <w:szCs w:val="32"/>
          <w:shd w:val="clear" w:color="auto" w:fill="FFFFFF"/>
        </w:rPr>
      </w:pPr>
      <w:r>
        <w:rPr>
          <w:rFonts w:hint="default" w:ascii="Times New Roman" w:hAnsi="Times New Roman" w:eastAsia="仿宋_GB2312" w:cs="Times New Roman"/>
          <w:bCs/>
          <w:color w:val="auto"/>
          <w:kern w:val="0"/>
          <w:sz w:val="32"/>
          <w:szCs w:val="32"/>
          <w:shd w:val="clear" w:color="auto" w:fill="FFFFFF"/>
        </w:rPr>
        <w:t>（2）及时处置。我委2021年绩效监控调整取消额为0,结余注销额为597.88万元，年度总预算为28301.8万元。该项分值4分，按照计算公式，自评得分3.15分。</w:t>
      </w:r>
    </w:p>
    <w:p>
      <w:pPr>
        <w:pageBreakBefore w:val="0"/>
        <w:kinsoku/>
        <w:wordWrap/>
        <w:overflowPunct/>
        <w:topLinePunct w:val="0"/>
        <w:bidi w:val="0"/>
        <w:adjustRightInd w:val="0"/>
        <w:snapToGrid w:val="0"/>
        <w:spacing w:line="560" w:lineRule="exact"/>
        <w:ind w:firstLine="640" w:firstLineChars="200"/>
        <w:contextualSpacing/>
        <w:jc w:val="left"/>
        <w:rPr>
          <w:rFonts w:hint="default" w:ascii="Times New Roman" w:hAnsi="Times New Roman" w:eastAsia="仿宋_GB2312" w:cs="Times New Roman"/>
          <w:bCs/>
          <w:color w:val="auto"/>
          <w:kern w:val="0"/>
          <w:sz w:val="32"/>
          <w:szCs w:val="32"/>
          <w:shd w:val="clear" w:color="auto" w:fill="FFFFFF"/>
        </w:rPr>
      </w:pPr>
      <w:r>
        <w:rPr>
          <w:rFonts w:hint="default" w:ascii="Times New Roman" w:hAnsi="Times New Roman" w:eastAsia="仿宋_GB2312" w:cs="Times New Roman"/>
          <w:bCs/>
          <w:color w:val="auto"/>
          <w:kern w:val="0"/>
          <w:sz w:val="32"/>
          <w:szCs w:val="32"/>
          <w:shd w:val="clear" w:color="auto" w:fill="FFFFFF"/>
        </w:rPr>
        <w:t>（3）执行进度。按照财政厅预算执行情况通报，我委6月份预算执行率49.6%，得1分；9月份预算执行率63.9%，得0.95分；11月份预算执行率70%，得1.7分。该项分值4分，按照计算公式，自评得分3.65分。</w:t>
      </w:r>
    </w:p>
    <w:p>
      <w:pPr>
        <w:pageBreakBefore w:val="0"/>
        <w:kinsoku/>
        <w:wordWrap/>
        <w:overflowPunct/>
        <w:topLinePunct w:val="0"/>
        <w:bidi w:val="0"/>
        <w:adjustRightInd w:val="0"/>
        <w:snapToGrid w:val="0"/>
        <w:spacing w:line="560" w:lineRule="exact"/>
        <w:ind w:firstLine="640"/>
        <w:contextualSpacing/>
        <w:jc w:val="left"/>
        <w:rPr>
          <w:rFonts w:hint="default" w:ascii="Times New Roman" w:hAnsi="Times New Roman" w:eastAsia="仿宋_GB2312" w:cs="Times New Roman"/>
          <w:bCs/>
          <w:color w:val="auto"/>
          <w:kern w:val="0"/>
          <w:sz w:val="32"/>
          <w:szCs w:val="32"/>
          <w:shd w:val="clear" w:color="auto" w:fill="FFFFFF"/>
        </w:rPr>
      </w:pPr>
      <w:r>
        <w:rPr>
          <w:rFonts w:hint="default" w:ascii="Times New Roman" w:hAnsi="Times New Roman" w:eastAsia="仿宋_GB2312" w:cs="Times New Roman"/>
          <w:bCs/>
          <w:color w:val="auto"/>
          <w:kern w:val="0"/>
          <w:sz w:val="32"/>
          <w:szCs w:val="32"/>
          <w:shd w:val="clear" w:color="auto" w:fill="FFFFFF"/>
        </w:rPr>
        <w:t>3.完成效率</w:t>
      </w:r>
    </w:p>
    <w:p>
      <w:pPr>
        <w:pageBreakBefore w:val="0"/>
        <w:kinsoku/>
        <w:wordWrap/>
        <w:overflowPunct/>
        <w:topLinePunct w:val="0"/>
        <w:bidi w:val="0"/>
        <w:adjustRightInd w:val="0"/>
        <w:snapToGrid w:val="0"/>
        <w:spacing w:line="560" w:lineRule="exact"/>
        <w:ind w:firstLine="640"/>
        <w:contextualSpacing/>
        <w:jc w:val="left"/>
        <w:rPr>
          <w:rFonts w:hint="default" w:ascii="Times New Roman" w:hAnsi="Times New Roman" w:eastAsia="仿宋_GB2312" w:cs="Times New Roman"/>
          <w:bCs/>
          <w:color w:val="auto"/>
          <w:kern w:val="0"/>
          <w:sz w:val="32"/>
          <w:szCs w:val="32"/>
          <w:shd w:val="clear" w:color="auto" w:fill="FFFFFF"/>
        </w:rPr>
      </w:pPr>
      <w:r>
        <w:rPr>
          <w:rFonts w:hint="default" w:ascii="Times New Roman" w:hAnsi="Times New Roman" w:eastAsia="仿宋_GB2312" w:cs="Times New Roman"/>
          <w:bCs/>
          <w:color w:val="auto"/>
          <w:kern w:val="0"/>
          <w:sz w:val="32"/>
          <w:szCs w:val="32"/>
          <w:shd w:val="clear" w:color="auto" w:fill="FFFFFF"/>
        </w:rPr>
        <w:t>（1）预算完成。按照财政厅预算执行情况通报，我委年度预算执行率84.2%。该项分值5分，按照计算公式，自评得分4.21分。</w:t>
      </w:r>
    </w:p>
    <w:p>
      <w:pPr>
        <w:pageBreakBefore w:val="0"/>
        <w:kinsoku/>
        <w:wordWrap/>
        <w:overflowPunct/>
        <w:topLinePunct w:val="0"/>
        <w:bidi w:val="0"/>
        <w:adjustRightInd w:val="0"/>
        <w:snapToGrid w:val="0"/>
        <w:spacing w:line="560" w:lineRule="exact"/>
        <w:ind w:firstLine="640"/>
        <w:contextualSpacing/>
        <w:jc w:val="left"/>
        <w:rPr>
          <w:rFonts w:hint="default" w:ascii="Times New Roman" w:hAnsi="Times New Roman" w:eastAsia="仿宋_GB2312" w:cs="Times New Roman"/>
          <w:bCs/>
          <w:color w:val="auto"/>
          <w:kern w:val="0"/>
          <w:sz w:val="32"/>
          <w:szCs w:val="32"/>
          <w:shd w:val="clear" w:color="auto" w:fill="FFFFFF"/>
        </w:rPr>
      </w:pPr>
      <w:r>
        <w:rPr>
          <w:rFonts w:hint="default" w:ascii="Times New Roman" w:hAnsi="Times New Roman" w:eastAsia="仿宋_GB2312" w:cs="Times New Roman"/>
          <w:bCs/>
          <w:color w:val="auto"/>
          <w:kern w:val="0"/>
          <w:sz w:val="32"/>
          <w:szCs w:val="32"/>
          <w:shd w:val="clear" w:color="auto" w:fill="FFFFFF"/>
        </w:rPr>
        <w:t>（2）资金结余率。我委2021年部门预算项目数78个，资金结余率小于0.1的项目67个。该项分值8分，按照计算公式，自评得分6.87分。</w:t>
      </w:r>
    </w:p>
    <w:p>
      <w:pPr>
        <w:pageBreakBefore w:val="0"/>
        <w:kinsoku/>
        <w:wordWrap/>
        <w:overflowPunct/>
        <w:topLinePunct w:val="0"/>
        <w:bidi w:val="0"/>
        <w:adjustRightInd w:val="0"/>
        <w:snapToGrid w:val="0"/>
        <w:spacing w:line="560" w:lineRule="exact"/>
        <w:ind w:firstLine="640"/>
        <w:contextualSpacing/>
        <w:jc w:val="left"/>
        <w:rPr>
          <w:rFonts w:hint="default" w:ascii="Times New Roman" w:hAnsi="Times New Roman" w:eastAsia="仿宋_GB2312" w:cs="Times New Roman"/>
          <w:bCs/>
          <w:color w:val="auto"/>
          <w:kern w:val="0"/>
          <w:sz w:val="32"/>
          <w:szCs w:val="32"/>
          <w:shd w:val="clear" w:color="auto" w:fill="FFFFFF"/>
        </w:rPr>
      </w:pPr>
      <w:r>
        <w:rPr>
          <w:rFonts w:hint="default" w:ascii="Times New Roman" w:hAnsi="Times New Roman" w:eastAsia="仿宋_GB2312" w:cs="Times New Roman"/>
          <w:bCs/>
          <w:color w:val="auto"/>
          <w:kern w:val="0"/>
          <w:sz w:val="32"/>
          <w:szCs w:val="32"/>
          <w:shd w:val="clear" w:color="auto" w:fill="FFFFFF"/>
        </w:rPr>
        <w:t>（3）违规记录。我委2021年部门预算管理方面无违纪违规问题。该项分值2分，按照评分标准，自评得分2分。</w:t>
      </w:r>
    </w:p>
    <w:p>
      <w:pPr>
        <w:pageBreakBefore w:val="0"/>
        <w:widowControl/>
        <w:kinsoku/>
        <w:wordWrap/>
        <w:overflowPunct/>
        <w:topLinePunct w:val="0"/>
        <w:bidi w:val="0"/>
        <w:adjustRightInd w:val="0"/>
        <w:snapToGrid w:val="0"/>
        <w:spacing w:line="560" w:lineRule="exact"/>
        <w:ind w:firstLine="642" w:firstLineChars="200"/>
        <w:contextualSpacing/>
        <w:jc w:val="left"/>
        <w:rPr>
          <w:rFonts w:hint="default" w:ascii="Times New Roman" w:hAnsi="Times New Roman" w:eastAsia="楷体_GB2312" w:cs="Times New Roman"/>
          <w:b/>
          <w:bCs/>
          <w:color w:val="auto"/>
          <w:kern w:val="0"/>
          <w:sz w:val="32"/>
          <w:szCs w:val="32"/>
          <w:shd w:val="clear" w:color="auto" w:fill="FFFFFF"/>
          <w:lang w:val="zh-CN"/>
        </w:rPr>
      </w:pPr>
      <w:r>
        <w:rPr>
          <w:rFonts w:hint="default" w:ascii="Times New Roman" w:hAnsi="Times New Roman" w:eastAsia="楷体_GB2312" w:cs="Times New Roman"/>
          <w:b/>
          <w:bCs/>
          <w:color w:val="auto"/>
          <w:kern w:val="0"/>
          <w:sz w:val="32"/>
          <w:szCs w:val="32"/>
          <w:shd w:val="clear" w:color="auto" w:fill="FFFFFF"/>
          <w:lang w:val="zh-CN"/>
        </w:rPr>
        <w:t>（二）结果应用情况。</w:t>
      </w:r>
    </w:p>
    <w:p>
      <w:pPr>
        <w:pageBreakBefore w:val="0"/>
        <w:kinsoku/>
        <w:wordWrap/>
        <w:overflowPunct/>
        <w:topLinePunct w:val="0"/>
        <w:bidi w:val="0"/>
        <w:adjustRightInd w:val="0"/>
        <w:snapToGrid w:val="0"/>
        <w:spacing w:line="560" w:lineRule="exact"/>
        <w:ind w:firstLine="642"/>
        <w:contextualSpacing/>
        <w:jc w:val="left"/>
        <w:rPr>
          <w:rFonts w:hint="default" w:ascii="Times New Roman" w:hAnsi="Times New Roman" w:eastAsia="仿宋_GB2312" w:cs="Times New Roman"/>
          <w:bCs/>
          <w:color w:val="auto"/>
          <w:kern w:val="0"/>
          <w:sz w:val="32"/>
          <w:szCs w:val="32"/>
          <w:shd w:val="clear" w:color="auto" w:fill="FFFFFF"/>
        </w:rPr>
      </w:pPr>
      <w:r>
        <w:rPr>
          <w:rFonts w:hint="default" w:ascii="Times New Roman" w:hAnsi="Times New Roman" w:eastAsia="仿宋_GB2312" w:cs="Times New Roman"/>
          <w:bCs/>
          <w:color w:val="auto"/>
          <w:kern w:val="0"/>
          <w:sz w:val="32"/>
          <w:szCs w:val="32"/>
          <w:shd w:val="clear" w:color="auto" w:fill="FFFFFF"/>
        </w:rPr>
        <w:t>1.内部应用</w:t>
      </w:r>
    </w:p>
    <w:p>
      <w:pPr>
        <w:pageBreakBefore w:val="0"/>
        <w:kinsoku/>
        <w:wordWrap/>
        <w:overflowPunct/>
        <w:topLinePunct w:val="0"/>
        <w:bidi w:val="0"/>
        <w:adjustRightInd w:val="0"/>
        <w:snapToGrid w:val="0"/>
        <w:spacing w:line="560" w:lineRule="exact"/>
        <w:ind w:firstLine="642"/>
        <w:contextualSpacing/>
        <w:jc w:val="left"/>
        <w:rPr>
          <w:rFonts w:hint="default" w:ascii="Times New Roman" w:hAnsi="Times New Roman" w:eastAsia="仿宋_GB2312" w:cs="Times New Roman"/>
          <w:bCs/>
          <w:color w:val="auto"/>
          <w:kern w:val="0"/>
          <w:sz w:val="32"/>
          <w:szCs w:val="32"/>
          <w:shd w:val="clear" w:color="auto" w:fill="FFFFFF"/>
        </w:rPr>
      </w:pPr>
      <w:r>
        <w:rPr>
          <w:rFonts w:hint="default" w:ascii="Times New Roman" w:hAnsi="Times New Roman" w:eastAsia="仿宋_GB2312" w:cs="Times New Roman"/>
          <w:bCs/>
          <w:color w:val="auto"/>
          <w:kern w:val="0"/>
          <w:sz w:val="32"/>
          <w:szCs w:val="32"/>
          <w:shd w:val="clear" w:color="auto" w:fill="FFFFFF"/>
        </w:rPr>
        <w:t>我委已将内设机构及下属各单位部门预算绩效管理情况纳入年度绩效考评工作体系。该项分值4分，按照评分标准，自评得分4分。</w:t>
      </w:r>
    </w:p>
    <w:p>
      <w:pPr>
        <w:pageBreakBefore w:val="0"/>
        <w:kinsoku/>
        <w:wordWrap/>
        <w:overflowPunct/>
        <w:topLinePunct w:val="0"/>
        <w:bidi w:val="0"/>
        <w:adjustRightInd w:val="0"/>
        <w:snapToGrid w:val="0"/>
        <w:spacing w:line="560" w:lineRule="exact"/>
        <w:ind w:firstLine="642"/>
        <w:contextualSpacing/>
        <w:jc w:val="left"/>
        <w:rPr>
          <w:rFonts w:hint="default" w:ascii="Times New Roman" w:hAnsi="Times New Roman" w:eastAsia="仿宋_GB2312" w:cs="Times New Roman"/>
          <w:bCs/>
          <w:color w:val="auto"/>
          <w:kern w:val="0"/>
          <w:sz w:val="32"/>
          <w:szCs w:val="32"/>
          <w:shd w:val="clear" w:color="auto" w:fill="FFFFFF"/>
        </w:rPr>
      </w:pPr>
      <w:r>
        <w:rPr>
          <w:rFonts w:hint="default" w:ascii="Times New Roman" w:hAnsi="Times New Roman" w:eastAsia="仿宋_GB2312" w:cs="Times New Roman"/>
          <w:bCs/>
          <w:color w:val="auto"/>
          <w:kern w:val="0"/>
          <w:sz w:val="32"/>
          <w:szCs w:val="32"/>
          <w:shd w:val="clear" w:color="auto" w:fill="FFFFFF"/>
        </w:rPr>
        <w:t>2.信息公开</w:t>
      </w:r>
    </w:p>
    <w:p>
      <w:pPr>
        <w:pageBreakBefore w:val="0"/>
        <w:kinsoku/>
        <w:wordWrap/>
        <w:overflowPunct/>
        <w:topLinePunct w:val="0"/>
        <w:bidi w:val="0"/>
        <w:adjustRightInd w:val="0"/>
        <w:snapToGrid w:val="0"/>
        <w:spacing w:line="560" w:lineRule="exact"/>
        <w:ind w:firstLine="642"/>
        <w:contextualSpacing/>
        <w:jc w:val="left"/>
        <w:rPr>
          <w:rFonts w:hint="default" w:ascii="Times New Roman" w:hAnsi="Times New Roman" w:eastAsia="仿宋_GB2312" w:cs="Times New Roman"/>
          <w:bCs/>
          <w:color w:val="auto"/>
          <w:kern w:val="0"/>
          <w:sz w:val="32"/>
          <w:szCs w:val="32"/>
          <w:shd w:val="clear" w:color="auto" w:fill="FFFFFF"/>
        </w:rPr>
      </w:pPr>
      <w:r>
        <w:rPr>
          <w:rFonts w:hint="default" w:ascii="Times New Roman" w:hAnsi="Times New Roman" w:eastAsia="仿宋_GB2312" w:cs="Times New Roman"/>
          <w:bCs/>
          <w:color w:val="auto"/>
          <w:kern w:val="0"/>
          <w:sz w:val="32"/>
          <w:szCs w:val="32"/>
          <w:shd w:val="clear" w:color="auto" w:fill="FFFFFF"/>
        </w:rPr>
        <w:t>按照财政通知要求，我委2021年整体绩效目标和2021年部门预算向在委门户网站上予以公开，部门整体绩效自评情况和项目绩效自评情况也同2020年部门决算进行了公开。该项分值2分，按照评分标准，自评得分2分。</w:t>
      </w:r>
    </w:p>
    <w:p>
      <w:pPr>
        <w:pageBreakBefore w:val="0"/>
        <w:kinsoku/>
        <w:wordWrap/>
        <w:overflowPunct/>
        <w:topLinePunct w:val="0"/>
        <w:bidi w:val="0"/>
        <w:adjustRightInd w:val="0"/>
        <w:snapToGrid w:val="0"/>
        <w:spacing w:line="560" w:lineRule="exact"/>
        <w:ind w:firstLine="640"/>
        <w:contextualSpacing/>
        <w:jc w:val="left"/>
        <w:rPr>
          <w:rFonts w:hint="default" w:ascii="Times New Roman" w:hAnsi="Times New Roman" w:eastAsia="仿宋_GB2312" w:cs="Times New Roman"/>
          <w:bCs/>
          <w:color w:val="auto"/>
          <w:kern w:val="0"/>
          <w:sz w:val="32"/>
          <w:szCs w:val="32"/>
          <w:shd w:val="clear" w:color="auto" w:fill="FFFFFF"/>
        </w:rPr>
      </w:pPr>
      <w:r>
        <w:rPr>
          <w:rFonts w:hint="default" w:ascii="Times New Roman" w:hAnsi="Times New Roman" w:eastAsia="仿宋_GB2312" w:cs="Times New Roman"/>
          <w:bCs/>
          <w:color w:val="auto"/>
          <w:kern w:val="0"/>
          <w:sz w:val="32"/>
          <w:szCs w:val="32"/>
          <w:shd w:val="clear" w:color="auto" w:fill="FFFFFF"/>
        </w:rPr>
        <w:t>3.整改反馈</w:t>
      </w:r>
    </w:p>
    <w:p>
      <w:pPr>
        <w:pageBreakBefore w:val="0"/>
        <w:kinsoku/>
        <w:wordWrap/>
        <w:overflowPunct/>
        <w:topLinePunct w:val="0"/>
        <w:bidi w:val="0"/>
        <w:adjustRightInd w:val="0"/>
        <w:snapToGrid w:val="0"/>
        <w:spacing w:line="560" w:lineRule="exact"/>
        <w:ind w:firstLine="640"/>
        <w:contextualSpacing/>
        <w:jc w:val="left"/>
        <w:rPr>
          <w:rFonts w:hint="default" w:ascii="Times New Roman" w:hAnsi="Times New Roman" w:eastAsia="仿宋_GB2312" w:cs="Times New Roman"/>
          <w:bCs/>
          <w:color w:val="auto"/>
          <w:kern w:val="0"/>
          <w:sz w:val="32"/>
          <w:szCs w:val="32"/>
          <w:shd w:val="clear" w:color="auto" w:fill="FFFFFF"/>
        </w:rPr>
      </w:pPr>
      <w:r>
        <w:rPr>
          <w:rFonts w:hint="default" w:ascii="Times New Roman" w:hAnsi="Times New Roman" w:eastAsia="仿宋_GB2312" w:cs="Times New Roman"/>
          <w:bCs/>
          <w:color w:val="auto"/>
          <w:kern w:val="0"/>
          <w:sz w:val="32"/>
          <w:szCs w:val="32"/>
          <w:shd w:val="clear" w:color="auto" w:fill="FFFFFF"/>
        </w:rPr>
        <w:t>（1）问题整改。按照《财政厅关于印送2021年省级财政重点绩效评价报告和做好绩效评价问题整改及结果应用的函》（川财绩函〔2021〕7号）要求，我委对涉及的部门整体、部门预算项目、攀西战略资源创新开发专项资金重点绩效评价指出问题进行问题整改，并已将问题整改情况和结果应用情况函报财政厅。该项分值2分，按照评分标准，自评得分2分。</w:t>
      </w:r>
    </w:p>
    <w:p>
      <w:pPr>
        <w:pageBreakBefore w:val="0"/>
        <w:kinsoku/>
        <w:wordWrap/>
        <w:overflowPunct/>
        <w:topLinePunct w:val="0"/>
        <w:bidi w:val="0"/>
        <w:adjustRightInd w:val="0"/>
        <w:snapToGrid w:val="0"/>
        <w:spacing w:line="560" w:lineRule="exact"/>
        <w:ind w:firstLine="640"/>
        <w:contextualSpacing/>
        <w:jc w:val="left"/>
        <w:rPr>
          <w:rFonts w:hint="default" w:ascii="Times New Roman" w:hAnsi="Times New Roman" w:eastAsia="仿宋_GB2312" w:cs="Times New Roman"/>
          <w:bCs/>
          <w:color w:val="auto"/>
          <w:kern w:val="0"/>
          <w:sz w:val="32"/>
          <w:szCs w:val="32"/>
          <w:shd w:val="clear" w:color="auto" w:fill="FFFFFF"/>
        </w:rPr>
      </w:pPr>
      <w:r>
        <w:rPr>
          <w:rFonts w:hint="default" w:ascii="Times New Roman" w:hAnsi="Times New Roman" w:eastAsia="仿宋_GB2312" w:cs="Times New Roman"/>
          <w:bCs/>
          <w:color w:val="auto"/>
          <w:kern w:val="0"/>
          <w:sz w:val="32"/>
          <w:szCs w:val="32"/>
          <w:shd w:val="clear" w:color="auto" w:fill="FFFFFF"/>
        </w:rPr>
        <w:t>（2）应用反馈。根据通知要求，我委在规定时间内向财政部门反馈了绩效结果应用报告和绩效评估应用报告。该项分值2分，按照评分标准，自评得分2分。</w:t>
      </w:r>
    </w:p>
    <w:p>
      <w:pPr>
        <w:pageBreakBefore w:val="0"/>
        <w:widowControl/>
        <w:numPr>
          <w:ilvl w:val="0"/>
          <w:numId w:val="0"/>
        </w:numPr>
        <w:kinsoku/>
        <w:wordWrap/>
        <w:overflowPunct/>
        <w:topLinePunct w:val="0"/>
        <w:bidi w:val="0"/>
        <w:adjustRightInd w:val="0"/>
        <w:snapToGrid w:val="0"/>
        <w:spacing w:line="560" w:lineRule="exact"/>
        <w:ind w:firstLine="642" w:firstLineChars="200"/>
        <w:contextualSpacing/>
        <w:jc w:val="left"/>
        <w:rPr>
          <w:rFonts w:hint="default" w:ascii="Times New Roman" w:hAnsi="Times New Roman" w:eastAsia="楷体_GB2312" w:cs="Times New Roman"/>
          <w:b/>
          <w:bCs/>
          <w:color w:val="auto"/>
          <w:kern w:val="0"/>
          <w:sz w:val="32"/>
          <w:szCs w:val="32"/>
          <w:shd w:val="clear" w:color="auto" w:fill="FFFFFF"/>
          <w:lang w:val="zh-CN"/>
        </w:rPr>
      </w:pPr>
      <w:r>
        <w:rPr>
          <w:rFonts w:hint="default" w:ascii="Times New Roman" w:hAnsi="Times New Roman" w:eastAsia="楷体_GB2312" w:cs="Times New Roman"/>
          <w:b/>
          <w:bCs/>
          <w:color w:val="auto"/>
          <w:kern w:val="0"/>
          <w:sz w:val="32"/>
          <w:szCs w:val="32"/>
          <w:shd w:val="clear" w:color="auto" w:fill="FFFFFF"/>
          <w:lang w:val="zh-CN"/>
        </w:rPr>
        <w:t>（三）自评质量。</w:t>
      </w:r>
    </w:p>
    <w:p>
      <w:pPr>
        <w:pageBreakBefore w:val="0"/>
        <w:kinsoku/>
        <w:wordWrap/>
        <w:overflowPunct/>
        <w:topLinePunct w:val="0"/>
        <w:bidi w:val="0"/>
        <w:adjustRightInd w:val="0"/>
        <w:snapToGrid w:val="0"/>
        <w:spacing w:line="560" w:lineRule="exact"/>
        <w:ind w:firstLine="640" w:firstLineChars="200"/>
        <w:contextualSpacing/>
        <w:jc w:val="left"/>
        <w:rPr>
          <w:rFonts w:hint="default" w:ascii="Times New Roman" w:hAnsi="Times New Roman" w:eastAsia="仿宋_GB2312" w:cs="Times New Roman"/>
          <w:bCs/>
          <w:color w:val="auto"/>
          <w:kern w:val="0"/>
          <w:sz w:val="32"/>
          <w:szCs w:val="32"/>
          <w:shd w:val="clear" w:color="auto" w:fill="FFFFFF"/>
          <w:lang w:val="zh-CN"/>
        </w:rPr>
      </w:pPr>
      <w:r>
        <w:rPr>
          <w:rFonts w:hint="default" w:ascii="Times New Roman" w:hAnsi="Times New Roman" w:eastAsia="仿宋_GB2312" w:cs="Times New Roman"/>
          <w:bCs/>
          <w:color w:val="auto"/>
          <w:kern w:val="0"/>
          <w:sz w:val="32"/>
          <w:szCs w:val="32"/>
          <w:shd w:val="clear" w:color="auto" w:fill="FFFFFF"/>
          <w:lang w:val="zh-CN"/>
        </w:rPr>
        <w:t>2021年9月，财政厅对我委部门整体支出进行重点绩效评价，评价组考评得分34.94分，我委自评得分35.45分,得分差异在5%以内。该项分值10分，按照评分标准，自评得分10分。</w:t>
      </w:r>
    </w:p>
    <w:p>
      <w:pPr>
        <w:pageBreakBefore w:val="0"/>
        <w:widowControl/>
        <w:kinsoku/>
        <w:wordWrap/>
        <w:overflowPunct/>
        <w:topLinePunct w:val="0"/>
        <w:bidi w:val="0"/>
        <w:adjustRightInd w:val="0"/>
        <w:snapToGrid w:val="0"/>
        <w:spacing w:line="560" w:lineRule="exact"/>
        <w:ind w:firstLine="640" w:firstLineChars="200"/>
        <w:contextualSpacing/>
        <w:jc w:val="left"/>
        <w:rPr>
          <w:rFonts w:hint="default" w:ascii="Times New Roman" w:hAnsi="Times New Roman" w:eastAsia="黑体" w:cs="Times New Roman"/>
          <w:color w:val="auto"/>
          <w:kern w:val="0"/>
          <w:sz w:val="32"/>
          <w:szCs w:val="32"/>
          <w:shd w:val="clear" w:color="auto" w:fill="FFFFFF"/>
        </w:rPr>
      </w:pPr>
      <w:r>
        <w:rPr>
          <w:rFonts w:hint="default" w:ascii="Times New Roman" w:hAnsi="Times New Roman" w:eastAsia="黑体" w:cs="Times New Roman"/>
          <w:color w:val="auto"/>
          <w:kern w:val="0"/>
          <w:sz w:val="32"/>
          <w:szCs w:val="32"/>
          <w:shd w:val="clear" w:color="auto" w:fill="FFFFFF"/>
        </w:rPr>
        <w:t>四、评价结论及建议</w:t>
      </w:r>
    </w:p>
    <w:p>
      <w:pPr>
        <w:pageBreakBefore w:val="0"/>
        <w:widowControl/>
        <w:kinsoku/>
        <w:wordWrap/>
        <w:overflowPunct/>
        <w:topLinePunct w:val="0"/>
        <w:bidi w:val="0"/>
        <w:adjustRightInd w:val="0"/>
        <w:snapToGrid w:val="0"/>
        <w:spacing w:line="560" w:lineRule="exact"/>
        <w:ind w:firstLine="642" w:firstLineChars="200"/>
        <w:contextualSpacing/>
        <w:jc w:val="left"/>
        <w:rPr>
          <w:rFonts w:hint="default" w:ascii="Times New Roman" w:hAnsi="Times New Roman" w:eastAsia="楷体_GB2312" w:cs="Times New Roman"/>
          <w:b/>
          <w:bCs/>
          <w:color w:val="auto"/>
          <w:kern w:val="0"/>
          <w:sz w:val="32"/>
          <w:szCs w:val="32"/>
          <w:shd w:val="clear" w:color="auto" w:fill="FFFFFF"/>
          <w:lang w:val="zh-CN"/>
        </w:rPr>
      </w:pPr>
      <w:r>
        <w:rPr>
          <w:rFonts w:hint="default" w:ascii="Times New Roman" w:hAnsi="Times New Roman" w:eastAsia="楷体_GB2312" w:cs="Times New Roman"/>
          <w:b/>
          <w:bCs/>
          <w:color w:val="auto"/>
          <w:kern w:val="0"/>
          <w:sz w:val="32"/>
          <w:szCs w:val="32"/>
          <w:shd w:val="clear" w:color="auto" w:fill="FFFFFF"/>
          <w:lang w:val="zh-CN"/>
        </w:rPr>
        <w:t>（一）评价结论。</w:t>
      </w:r>
    </w:p>
    <w:p>
      <w:pPr>
        <w:pageBreakBefore w:val="0"/>
        <w:kinsoku/>
        <w:wordWrap/>
        <w:overflowPunct/>
        <w:topLinePunct w:val="0"/>
        <w:bidi w:val="0"/>
        <w:adjustRightInd w:val="0"/>
        <w:snapToGrid w:val="0"/>
        <w:spacing w:line="560" w:lineRule="exact"/>
        <w:ind w:firstLine="640" w:firstLineChars="200"/>
        <w:contextualSpacing/>
        <w:jc w:val="left"/>
        <w:rPr>
          <w:rFonts w:hint="default" w:ascii="Times New Roman" w:hAnsi="Times New Roman" w:eastAsia="仿宋_GB2312" w:cs="Times New Roman"/>
          <w:bCs/>
          <w:color w:val="auto"/>
          <w:kern w:val="0"/>
          <w:sz w:val="32"/>
          <w:szCs w:val="32"/>
          <w:shd w:val="clear" w:color="auto" w:fill="FFFFFF"/>
          <w:lang w:val="zh-CN"/>
        </w:rPr>
      </w:pPr>
      <w:r>
        <w:rPr>
          <w:rFonts w:hint="default" w:ascii="Times New Roman" w:hAnsi="Times New Roman" w:eastAsia="仿宋_GB2312" w:cs="Times New Roman"/>
          <w:bCs/>
          <w:color w:val="auto"/>
          <w:kern w:val="0"/>
          <w:sz w:val="32"/>
          <w:szCs w:val="32"/>
          <w:shd w:val="clear" w:color="auto" w:fill="FFFFFF"/>
          <w:lang w:val="zh-CN"/>
        </w:rPr>
        <w:t>按照《202</w:t>
      </w:r>
      <w:r>
        <w:rPr>
          <w:rFonts w:hint="default" w:ascii="Times New Roman" w:hAnsi="Times New Roman" w:eastAsia="仿宋_GB2312" w:cs="Times New Roman"/>
          <w:bCs/>
          <w:color w:val="auto"/>
          <w:kern w:val="0"/>
          <w:sz w:val="32"/>
          <w:szCs w:val="32"/>
          <w:shd w:val="clear" w:color="auto" w:fill="FFFFFF"/>
        </w:rPr>
        <w:t>2</w:t>
      </w:r>
      <w:r>
        <w:rPr>
          <w:rFonts w:hint="default" w:ascii="Times New Roman" w:hAnsi="Times New Roman" w:eastAsia="仿宋_GB2312" w:cs="Times New Roman"/>
          <w:bCs/>
          <w:color w:val="auto"/>
          <w:kern w:val="0"/>
          <w:sz w:val="32"/>
          <w:szCs w:val="32"/>
          <w:shd w:val="clear" w:color="auto" w:fill="FFFFFF"/>
          <w:lang w:val="zh-CN"/>
        </w:rPr>
        <w:t>年度省级部门整体支出绩效评价指标体系（适用于有专项预算项目的部门）》，我委按要求对部门预算管理、绩效结果应用等进行逐项评分，总分</w:t>
      </w:r>
      <w:r>
        <w:rPr>
          <w:rFonts w:hint="default" w:ascii="Times New Roman" w:hAnsi="Times New Roman" w:eastAsia="仿宋_GB2312" w:cs="Times New Roman"/>
          <w:bCs/>
          <w:color w:val="auto"/>
          <w:kern w:val="0"/>
          <w:sz w:val="32"/>
          <w:szCs w:val="32"/>
          <w:shd w:val="clear" w:color="auto" w:fill="FFFFFF"/>
        </w:rPr>
        <w:t>100分，共得分96.08分。</w:t>
      </w:r>
    </w:p>
    <w:p>
      <w:pPr>
        <w:pageBreakBefore w:val="0"/>
        <w:widowControl/>
        <w:kinsoku/>
        <w:wordWrap/>
        <w:overflowPunct/>
        <w:topLinePunct w:val="0"/>
        <w:bidi w:val="0"/>
        <w:adjustRightInd w:val="0"/>
        <w:snapToGrid w:val="0"/>
        <w:spacing w:line="560" w:lineRule="exact"/>
        <w:ind w:firstLine="642" w:firstLineChars="200"/>
        <w:contextualSpacing/>
        <w:jc w:val="left"/>
        <w:rPr>
          <w:rFonts w:hint="default" w:ascii="Times New Roman" w:hAnsi="Times New Roman" w:eastAsia="楷体_GB2312" w:cs="Times New Roman"/>
          <w:b/>
          <w:bCs/>
          <w:color w:val="auto"/>
          <w:kern w:val="0"/>
          <w:sz w:val="32"/>
          <w:szCs w:val="32"/>
          <w:shd w:val="clear" w:color="auto" w:fill="FFFFFF"/>
          <w:lang w:val="zh-CN"/>
        </w:rPr>
      </w:pPr>
      <w:r>
        <w:rPr>
          <w:rFonts w:hint="default" w:ascii="Times New Roman" w:hAnsi="Times New Roman" w:eastAsia="楷体_GB2312" w:cs="Times New Roman"/>
          <w:b/>
          <w:bCs/>
          <w:color w:val="auto"/>
          <w:kern w:val="0"/>
          <w:sz w:val="32"/>
          <w:szCs w:val="32"/>
          <w:shd w:val="clear" w:color="auto" w:fill="FFFFFF"/>
          <w:lang w:val="zh-CN"/>
        </w:rPr>
        <w:t>（二）存在问题。</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color w:val="auto"/>
        </w:rPr>
      </w:pPr>
      <w:r>
        <w:rPr>
          <w:rFonts w:hint="default" w:ascii="Times New Roman" w:hAnsi="Times New Roman" w:eastAsia="仿宋_GB2312" w:cs="Times New Roman"/>
          <w:b/>
          <w:bCs/>
          <w:color w:val="auto"/>
          <w:sz w:val="32"/>
          <w:szCs w:val="32"/>
        </w:rPr>
        <w:t>一是</w:t>
      </w:r>
      <w:r>
        <w:rPr>
          <w:rFonts w:hint="default" w:ascii="Times New Roman" w:hAnsi="Times New Roman" w:eastAsia="仿宋_GB2312" w:cs="Times New Roman"/>
          <w:b w:val="0"/>
          <w:bCs w:val="0"/>
          <w:color w:val="auto"/>
          <w:sz w:val="32"/>
          <w:szCs w:val="32"/>
        </w:rPr>
        <w:t>预算绩效管理观念有待提高。</w:t>
      </w:r>
      <w:r>
        <w:rPr>
          <w:rFonts w:hint="default" w:ascii="Times New Roman" w:hAnsi="Times New Roman" w:eastAsia="仿宋_GB2312" w:cs="Times New Roman"/>
          <w:color w:val="auto"/>
          <w:sz w:val="32"/>
          <w:szCs w:val="32"/>
        </w:rPr>
        <w:t>部分处室和直属单位对预算绩效管理工作重视程度不够，</w:t>
      </w:r>
      <w:r>
        <w:rPr>
          <w:rFonts w:hint="default" w:ascii="Times New Roman" w:hAnsi="Times New Roman" w:eastAsia="仿宋_GB2312" w:cs="Times New Roman"/>
          <w:color w:val="auto"/>
          <w:sz w:val="32"/>
          <w:szCs w:val="32"/>
          <w:lang w:eastAsia="zh-CN"/>
        </w:rPr>
        <w:t>对</w:t>
      </w:r>
      <w:r>
        <w:rPr>
          <w:rFonts w:hint="default" w:ascii="Times New Roman" w:hAnsi="Times New Roman" w:eastAsia="仿宋_GB2312" w:cs="Times New Roman"/>
          <w:color w:val="auto"/>
          <w:sz w:val="32"/>
          <w:szCs w:val="32"/>
        </w:rPr>
        <w:t>标预算绩效管理要求的工作</w:t>
      </w:r>
      <w:r>
        <w:rPr>
          <w:rFonts w:hint="default" w:ascii="Times New Roman" w:hAnsi="Times New Roman" w:eastAsia="仿宋_GB2312" w:cs="Times New Roman"/>
          <w:color w:val="auto"/>
          <w:sz w:val="32"/>
          <w:szCs w:val="32"/>
          <w:lang w:eastAsia="zh-CN"/>
        </w:rPr>
        <w:t>主动性不够</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auto"/>
          <w:sz w:val="32"/>
          <w:szCs w:val="32"/>
        </w:rPr>
        <w:t>二是</w:t>
      </w:r>
      <w:r>
        <w:rPr>
          <w:rFonts w:hint="default" w:ascii="Times New Roman" w:hAnsi="Times New Roman" w:eastAsia="仿宋_GB2312" w:cs="Times New Roman"/>
          <w:b w:val="0"/>
          <w:bCs w:val="0"/>
          <w:color w:val="auto"/>
          <w:sz w:val="32"/>
          <w:szCs w:val="32"/>
        </w:rPr>
        <w:t>绩效目标值设定的科学性有待提高</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color w:val="auto"/>
          <w:sz w:val="32"/>
          <w:szCs w:val="32"/>
        </w:rPr>
        <w:t>申报绩效目标不够明确，设计的评价指标体系不够科学精准，目标值设定不够合理，量化程度不够。</w:t>
      </w:r>
    </w:p>
    <w:p>
      <w:pPr>
        <w:pageBreakBefore w:val="0"/>
        <w:widowControl/>
        <w:kinsoku/>
        <w:wordWrap/>
        <w:overflowPunct/>
        <w:topLinePunct w:val="0"/>
        <w:bidi w:val="0"/>
        <w:adjustRightInd w:val="0"/>
        <w:snapToGrid w:val="0"/>
        <w:spacing w:line="560" w:lineRule="exact"/>
        <w:ind w:firstLine="642" w:firstLineChars="200"/>
        <w:contextualSpacing/>
        <w:jc w:val="left"/>
        <w:rPr>
          <w:rFonts w:hint="default" w:ascii="Times New Roman" w:hAnsi="Times New Roman" w:eastAsia="楷体_GB2312" w:cs="Times New Roman"/>
          <w:b/>
          <w:bCs/>
          <w:color w:val="auto"/>
          <w:kern w:val="0"/>
          <w:sz w:val="32"/>
          <w:szCs w:val="32"/>
          <w:shd w:val="clear" w:color="auto" w:fill="FFFFFF"/>
          <w:lang w:val="zh-CN"/>
        </w:rPr>
      </w:pPr>
      <w:r>
        <w:rPr>
          <w:rFonts w:hint="default" w:ascii="Times New Roman" w:hAnsi="Times New Roman" w:eastAsia="楷体_GB2312" w:cs="Times New Roman"/>
          <w:b/>
          <w:bCs/>
          <w:color w:val="auto"/>
          <w:kern w:val="0"/>
          <w:sz w:val="32"/>
          <w:szCs w:val="32"/>
          <w:shd w:val="clear" w:color="auto" w:fill="FFFFFF"/>
          <w:lang w:val="zh-CN"/>
        </w:rPr>
        <w:t>（三）改进建议。</w:t>
      </w:r>
    </w:p>
    <w:p>
      <w:pPr>
        <w:pageBreakBefore w:val="0"/>
        <w:kinsoku/>
        <w:wordWrap/>
        <w:overflowPunct/>
        <w:topLinePunct w:val="0"/>
        <w:bidi w:val="0"/>
        <w:snapToGrid w:val="0"/>
        <w:spacing w:line="560" w:lineRule="exact"/>
        <w:ind w:firstLine="640"/>
        <w:rPr>
          <w:rFonts w:hint="default" w:ascii="Times New Roman" w:hAnsi="Times New Roman" w:eastAsia="仿宋_GB2312" w:cs="Times New Roman"/>
          <w:color w:val="auto"/>
        </w:rPr>
      </w:pPr>
      <w:r>
        <w:rPr>
          <w:rFonts w:hint="default" w:ascii="Times New Roman" w:hAnsi="Times New Roman" w:eastAsia="仿宋_GB2312" w:cs="Times New Roman"/>
          <w:b/>
          <w:bCs/>
          <w:color w:val="auto"/>
          <w:sz w:val="32"/>
          <w:szCs w:val="32"/>
        </w:rPr>
        <w:t>一是</w:t>
      </w:r>
      <w:r>
        <w:rPr>
          <w:rFonts w:hint="default" w:ascii="Times New Roman" w:hAnsi="Times New Roman" w:eastAsia="仿宋_GB2312" w:cs="Times New Roman"/>
          <w:b w:val="0"/>
          <w:bCs w:val="0"/>
          <w:color w:val="auto"/>
          <w:sz w:val="32"/>
          <w:szCs w:val="32"/>
        </w:rPr>
        <w:t>优化预算绩效目标。</w:t>
      </w:r>
      <w:r>
        <w:rPr>
          <w:rFonts w:hint="default" w:ascii="Times New Roman" w:hAnsi="Times New Roman" w:eastAsia="仿宋_GB2312" w:cs="Times New Roman"/>
          <w:color w:val="auto"/>
          <w:kern w:val="0"/>
          <w:sz w:val="32"/>
          <w:szCs w:val="32"/>
          <w:shd w:val="clear" w:color="auto" w:fill="FFFFFF"/>
          <w:lang w:val="zh-CN"/>
        </w:rPr>
        <w:t>结合职能职责和年度总体任务，进一步提高绩效目标设置的科学性、合理性。从数量、质量、时效、成本、社会效益、经济效益和生态效益等方面，更加科学设置绩效目标，使绩效目标成体系、可量化、可考核。</w:t>
      </w:r>
    </w:p>
    <w:p>
      <w:pPr>
        <w:pageBreakBefore w:val="0"/>
        <w:kinsoku/>
        <w:wordWrap/>
        <w:overflowPunct/>
        <w:topLinePunct w:val="0"/>
        <w:bidi w:val="0"/>
        <w:snapToGrid w:val="0"/>
        <w:spacing w:line="560" w:lineRule="exact"/>
        <w:ind w:firstLine="640"/>
        <w:rPr>
          <w:rFonts w:hint="default" w:ascii="Times New Roman" w:hAnsi="Times New Roman" w:eastAsia="仿宋_GB2312" w:cs="Times New Roman"/>
          <w:color w:val="auto"/>
        </w:rPr>
      </w:pPr>
      <w:r>
        <w:rPr>
          <w:rFonts w:hint="default" w:ascii="Times New Roman" w:hAnsi="Times New Roman" w:eastAsia="仿宋_GB2312" w:cs="Times New Roman"/>
          <w:b/>
          <w:bCs/>
          <w:color w:val="auto"/>
          <w:sz w:val="32"/>
          <w:szCs w:val="32"/>
        </w:rPr>
        <w:t>二是</w:t>
      </w:r>
      <w:r>
        <w:rPr>
          <w:rFonts w:hint="default" w:ascii="Times New Roman" w:hAnsi="Times New Roman" w:eastAsia="仿宋_GB2312" w:cs="Times New Roman"/>
          <w:b w:val="0"/>
          <w:bCs w:val="0"/>
          <w:color w:val="auto"/>
          <w:sz w:val="32"/>
          <w:szCs w:val="32"/>
        </w:rPr>
        <w:t>加大运行监控力度。</w:t>
      </w:r>
      <w:r>
        <w:rPr>
          <w:rFonts w:hint="default" w:ascii="Times New Roman" w:hAnsi="Times New Roman" w:eastAsia="仿宋_GB2312" w:cs="Times New Roman"/>
          <w:color w:val="auto"/>
          <w:sz w:val="32"/>
          <w:szCs w:val="32"/>
        </w:rPr>
        <w:t>逐项对照批复预算、绩效目标，着力抓实预算执行进度和绩效目标实现程度“双监控”，提高目标精准度，加强过程监督检查，探索“穿透式”绩效管理，有效发挥“两书一函”作用，督促提高“双监控”工作质效。</w:t>
      </w:r>
    </w:p>
    <w:p>
      <w:pPr>
        <w:pageBreakBefore w:val="0"/>
        <w:kinsoku/>
        <w:wordWrap/>
        <w:overflowPunct/>
        <w:topLinePunct w:val="0"/>
        <w:bidi w:val="0"/>
        <w:snapToGrid w:val="0"/>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三是</w:t>
      </w:r>
      <w:r>
        <w:rPr>
          <w:rFonts w:hint="default" w:ascii="Times New Roman" w:hAnsi="Times New Roman" w:eastAsia="仿宋_GB2312" w:cs="Times New Roman"/>
          <w:b w:val="0"/>
          <w:bCs w:val="0"/>
          <w:color w:val="auto"/>
          <w:sz w:val="32"/>
          <w:szCs w:val="32"/>
        </w:rPr>
        <w:t>做好预算执行分析。</w:t>
      </w:r>
      <w:r>
        <w:rPr>
          <w:rFonts w:hint="default" w:ascii="Times New Roman" w:hAnsi="Times New Roman" w:eastAsia="仿宋_GB2312" w:cs="Times New Roman"/>
          <w:color w:val="auto"/>
          <w:sz w:val="32"/>
          <w:szCs w:val="32"/>
        </w:rPr>
        <w:t>加强绩效目标完成可能性的分析研判，根据情况分类处置。对预算执行进度滞后的，加大督促力度，提出整改措施，加快项目实施进度；对确属客观原因预计无法完成的，按照《四川省财政厅关于加强省级财政资金结余结转管理健全存量资金动态清缴机制的通知》要求，及时申请追减预算结余指标，有效清理盘活财政资金。</w:t>
      </w:r>
    </w:p>
    <w:p>
      <w:pPr>
        <w:pageBreakBefore w:val="0"/>
        <w:kinsoku/>
        <w:wordWrap/>
        <w:overflowPunct/>
        <w:topLinePunct w:val="0"/>
        <w:bidi w:val="0"/>
        <w:snapToGrid w:val="0"/>
        <w:spacing w:line="560" w:lineRule="exact"/>
        <w:ind w:firstLine="640"/>
        <w:rPr>
          <w:rFonts w:hint="default" w:ascii="Times New Roman" w:hAnsi="Times New Roman" w:eastAsia="仿宋_GB2312" w:cs="Times New Roman"/>
          <w:color w:val="auto"/>
        </w:rPr>
      </w:pPr>
      <w:r>
        <w:rPr>
          <w:rFonts w:hint="default" w:ascii="Times New Roman" w:hAnsi="Times New Roman" w:eastAsia="仿宋_GB2312" w:cs="Times New Roman"/>
          <w:b/>
          <w:bCs/>
          <w:color w:val="auto"/>
          <w:sz w:val="32"/>
          <w:szCs w:val="32"/>
        </w:rPr>
        <w:t>四是</w:t>
      </w:r>
      <w:r>
        <w:rPr>
          <w:rFonts w:hint="default" w:ascii="Times New Roman" w:hAnsi="Times New Roman" w:eastAsia="仿宋_GB2312" w:cs="Times New Roman"/>
          <w:b w:val="0"/>
          <w:bCs w:val="0"/>
          <w:color w:val="auto"/>
          <w:sz w:val="32"/>
          <w:szCs w:val="32"/>
        </w:rPr>
        <w:t>强化评价结果应用。</w:t>
      </w:r>
      <w:r>
        <w:rPr>
          <w:rFonts w:hint="default" w:ascii="Times New Roman" w:hAnsi="Times New Roman" w:eastAsia="仿宋_GB2312" w:cs="Times New Roman"/>
          <w:color w:val="auto"/>
          <w:sz w:val="32"/>
          <w:szCs w:val="32"/>
        </w:rPr>
        <w:t>推进预算和绩效管理深度融合，以全过程管理为主线，进一步强化绩效目标引领和绩效结果应用。特别是针对财政厅重点绩效评价中指出的问题，举一反三，将评价结果运用到完善内部控制、强化项目管理、安排项目资金等方面。</w:t>
      </w:r>
    </w:p>
    <w:p>
      <w:pPr>
        <w:pageBreakBefore w:val="0"/>
        <w:kinsoku/>
        <w:wordWrap/>
        <w:overflowPunct/>
        <w:topLinePunct w:val="0"/>
        <w:bidi w:val="0"/>
        <w:snapToGrid w:val="0"/>
        <w:spacing w:line="560" w:lineRule="exact"/>
        <w:ind w:firstLine="640"/>
        <w:rPr>
          <w:rFonts w:hint="default" w:ascii="Times New Roman" w:hAnsi="Times New Roman" w:eastAsia="仿宋_GB2312" w:cs="Times New Roman"/>
          <w:color w:val="auto"/>
        </w:rPr>
      </w:pPr>
      <w:r>
        <w:rPr>
          <w:rFonts w:hint="default" w:ascii="Times New Roman" w:hAnsi="Times New Roman" w:eastAsia="仿宋_GB2312" w:cs="Times New Roman"/>
          <w:b/>
          <w:bCs/>
          <w:color w:val="auto"/>
          <w:sz w:val="32"/>
          <w:szCs w:val="32"/>
        </w:rPr>
        <w:t>五是</w:t>
      </w:r>
      <w:r>
        <w:rPr>
          <w:rFonts w:hint="default" w:ascii="Times New Roman" w:hAnsi="Times New Roman" w:eastAsia="仿宋_GB2312" w:cs="Times New Roman"/>
          <w:b w:val="0"/>
          <w:bCs w:val="0"/>
          <w:color w:val="auto"/>
          <w:sz w:val="32"/>
          <w:szCs w:val="32"/>
        </w:rPr>
        <w:t>加强财务队伍建设。</w:t>
      </w:r>
      <w:r>
        <w:rPr>
          <w:rFonts w:hint="default" w:ascii="Times New Roman" w:hAnsi="Times New Roman" w:eastAsia="仿宋_GB2312" w:cs="Times New Roman"/>
          <w:color w:val="auto"/>
          <w:sz w:val="32"/>
          <w:szCs w:val="32"/>
        </w:rPr>
        <w:t>进一步通过走出去和请进来等方式，加强委机关及直属单位财务人员教育培训，特别是针对预算绩效管理，加强宣传和指导力度，不断提升财务人员和业务处室预算绩效管理意识和管理能力。</w:t>
      </w:r>
    </w:p>
    <w:p>
      <w:pPr>
        <w:pStyle w:val="7"/>
        <w:pageBreakBefore w:val="0"/>
        <w:kinsoku/>
        <w:wordWrap/>
        <w:overflowPunct/>
        <w:topLinePunct w:val="0"/>
        <w:bidi w:val="0"/>
        <w:spacing w:before="93" w:line="560" w:lineRule="exact"/>
        <w:ind w:firstLine="642" w:firstLineChars="200"/>
        <w:rPr>
          <w:rFonts w:hint="default" w:ascii="Times New Roman" w:hAnsi="Times New Roman" w:cs="Times New Roman"/>
          <w:color w:val="auto"/>
        </w:rPr>
      </w:pPr>
      <w:r>
        <w:rPr>
          <w:rFonts w:hint="default" w:ascii="Times New Roman" w:hAnsi="Times New Roman" w:cs="Times New Roman"/>
          <w:b/>
          <w:bCs/>
          <w:color w:val="auto"/>
        </w:rPr>
        <w:t>六是</w:t>
      </w:r>
      <w:r>
        <w:rPr>
          <w:rFonts w:hint="default" w:ascii="Times New Roman" w:hAnsi="Times New Roman" w:cs="Times New Roman"/>
          <w:b w:val="0"/>
          <w:bCs w:val="0"/>
          <w:color w:val="auto"/>
        </w:rPr>
        <w:t>建立健全长效机制。</w:t>
      </w:r>
      <w:r>
        <w:rPr>
          <w:rFonts w:hint="default" w:ascii="Times New Roman" w:hAnsi="Times New Roman" w:cs="Times New Roman"/>
          <w:color w:val="auto"/>
        </w:rPr>
        <w:t>提升预算绩效管理考核在部门绩效目标考核中权重的比重，强化预算绩效管理的约束作用。加强委内预算绩效制度建设，抓紧制订出台部门预算绩效管理办法，进一步提升我委预算绩效管理水平。</w:t>
      </w:r>
    </w:p>
    <w:p>
      <w:pPr>
        <w:pStyle w:val="8"/>
        <w:pageBreakBefore w:val="0"/>
        <w:kinsoku/>
        <w:wordWrap/>
        <w:overflowPunct/>
        <w:topLinePunct w:val="0"/>
        <w:bidi w:val="0"/>
        <w:spacing w:before="93" w:line="560" w:lineRule="exact"/>
        <w:rPr>
          <w:rFonts w:hint="default" w:ascii="Times New Roman" w:hAnsi="Times New Roman" w:cs="Times New Roman"/>
          <w:color w:val="auto"/>
          <w:sz w:val="32"/>
          <w:szCs w:val="32"/>
          <w:shd w:val="clear" w:color="auto" w:fill="FFFFFF"/>
        </w:rPr>
      </w:pPr>
    </w:p>
    <w:p>
      <w:pPr>
        <w:pStyle w:val="8"/>
        <w:pageBreakBefore w:val="0"/>
        <w:kinsoku/>
        <w:wordWrap/>
        <w:overflowPunct/>
        <w:topLinePunct w:val="0"/>
        <w:bidi w:val="0"/>
        <w:spacing w:before="93" w:line="560" w:lineRule="exact"/>
        <w:rPr>
          <w:rFonts w:hint="default" w:ascii="Times New Roman" w:hAnsi="Times New Roman" w:eastAsia="黑体" w:cs="Times New Roman"/>
          <w:color w:val="auto"/>
        </w:rPr>
      </w:pPr>
      <w:r>
        <w:rPr>
          <w:rFonts w:hint="default" w:ascii="Times New Roman" w:hAnsi="Times New Roman" w:eastAsia="黑体" w:cs="Times New Roman"/>
          <w:color w:val="auto"/>
          <w:sz w:val="32"/>
          <w:szCs w:val="32"/>
          <w:shd w:val="clear" w:color="auto" w:fill="FFFFFF"/>
          <w:lang w:val="zh-CN"/>
        </w:rPr>
        <w:t>附件</w:t>
      </w:r>
      <w:r>
        <w:rPr>
          <w:rFonts w:hint="default" w:ascii="Times New Roman" w:hAnsi="Times New Roman" w:eastAsia="黑体" w:cs="Times New Roman"/>
          <w:color w:val="auto"/>
          <w:sz w:val="32"/>
          <w:szCs w:val="32"/>
          <w:shd w:val="clear" w:color="auto" w:fill="FFFFFF"/>
        </w:rPr>
        <w:t>2</w:t>
      </w:r>
    </w:p>
    <w:p>
      <w:pPr>
        <w:pStyle w:val="42"/>
        <w:pageBreakBefore w:val="0"/>
        <w:kinsoku/>
        <w:wordWrap/>
        <w:overflowPunct/>
        <w:topLinePunct w:val="0"/>
        <w:bidi w:val="0"/>
        <w:spacing w:line="560" w:lineRule="exact"/>
        <w:jc w:val="center"/>
        <w:rPr>
          <w:rFonts w:hint="default" w:ascii="Times New Roman" w:hAnsi="Times New Roman" w:eastAsia="方正小标宋简体" w:cs="Times New Roman"/>
          <w:color w:val="auto"/>
          <w:kern w:val="2"/>
          <w:sz w:val="44"/>
          <w:szCs w:val="44"/>
          <w:lang w:val="en-US"/>
        </w:rPr>
      </w:pPr>
      <w:r>
        <w:rPr>
          <w:rFonts w:hint="default" w:ascii="Times New Roman" w:hAnsi="Times New Roman" w:eastAsia="方正小标宋简体" w:cs="Times New Roman"/>
          <w:color w:val="auto"/>
          <w:kern w:val="2"/>
          <w:sz w:val="44"/>
          <w:szCs w:val="44"/>
          <w:lang w:val="en-US"/>
        </w:rPr>
        <w:t>2021年省预算内基本建设投资</w:t>
      </w:r>
    </w:p>
    <w:p>
      <w:pPr>
        <w:pStyle w:val="42"/>
        <w:pageBreakBefore w:val="0"/>
        <w:kinsoku/>
        <w:wordWrap/>
        <w:overflowPunct/>
        <w:topLinePunct w:val="0"/>
        <w:bidi w:val="0"/>
        <w:spacing w:line="560" w:lineRule="exact"/>
        <w:jc w:val="center"/>
        <w:rPr>
          <w:rFonts w:hint="default" w:ascii="Times New Roman" w:hAnsi="Times New Roman" w:eastAsia="方正小标宋简体" w:cs="Times New Roman"/>
          <w:color w:val="auto"/>
          <w:kern w:val="2"/>
          <w:sz w:val="44"/>
          <w:szCs w:val="44"/>
          <w:lang w:val="en-US"/>
        </w:rPr>
      </w:pPr>
      <w:r>
        <w:rPr>
          <w:rFonts w:hint="default" w:ascii="Times New Roman" w:hAnsi="Times New Roman" w:eastAsia="方正小标宋简体" w:cs="Times New Roman"/>
          <w:color w:val="auto"/>
          <w:kern w:val="2"/>
          <w:sz w:val="44"/>
          <w:szCs w:val="44"/>
          <w:lang w:val="en-US"/>
        </w:rPr>
        <w:t>支出绩效自评报告</w:t>
      </w:r>
    </w:p>
    <w:p>
      <w:pPr>
        <w:pageBreakBefore w:val="0"/>
        <w:kinsoku/>
        <w:wordWrap/>
        <w:overflowPunct/>
        <w:topLinePunct w:val="0"/>
        <w:bidi w:val="0"/>
        <w:spacing w:line="560" w:lineRule="exact"/>
        <w:ind w:firstLine="640"/>
        <w:rPr>
          <w:rFonts w:hint="default" w:ascii="Times New Roman" w:hAnsi="Times New Roman" w:eastAsia="黑体" w:cs="Times New Roman"/>
          <w:color w:val="auto"/>
          <w:sz w:val="32"/>
        </w:rPr>
      </w:pPr>
    </w:p>
    <w:p>
      <w:pPr>
        <w:pageBreakBefore w:val="0"/>
        <w:kinsoku/>
        <w:wordWrap/>
        <w:overflowPunct/>
        <w:topLinePunct w:val="0"/>
        <w:bidi w:val="0"/>
        <w:spacing w:line="560" w:lineRule="exact"/>
        <w:ind w:firstLine="640"/>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t>一、绩效自评思路</w:t>
      </w:r>
    </w:p>
    <w:p>
      <w:pPr>
        <w:pageBreakBefore w:val="0"/>
        <w:kinsoku/>
        <w:wordWrap/>
        <w:overflowPunct/>
        <w:topLinePunct w:val="0"/>
        <w:bidi w:val="0"/>
        <w:spacing w:line="560" w:lineRule="exact"/>
        <w:ind w:firstLine="640"/>
        <w:rPr>
          <w:rFonts w:hint="default" w:ascii="Times New Roman" w:hAnsi="Times New Roman" w:eastAsia="楷体_GB2312" w:cs="Times New Roman"/>
          <w:b/>
          <w:bCs w:val="0"/>
          <w:color w:val="auto"/>
          <w:sz w:val="32"/>
          <w:lang w:val="zh-CN"/>
        </w:rPr>
      </w:pPr>
      <w:r>
        <w:rPr>
          <w:rFonts w:hint="default" w:ascii="Times New Roman" w:hAnsi="Times New Roman" w:eastAsia="楷体_GB2312" w:cs="Times New Roman"/>
          <w:b/>
          <w:bCs w:val="0"/>
          <w:color w:val="auto"/>
          <w:sz w:val="32"/>
        </w:rPr>
        <w:t>（一</w:t>
      </w:r>
      <w:r>
        <w:rPr>
          <w:rFonts w:hint="default" w:ascii="Times New Roman" w:hAnsi="Times New Roman" w:eastAsia="楷体_GB2312" w:cs="Times New Roman"/>
          <w:b/>
          <w:bCs w:val="0"/>
          <w:color w:val="auto"/>
          <w:sz w:val="32"/>
          <w:lang w:val="zh-CN"/>
        </w:rPr>
        <w:t>）绩效目标。</w:t>
      </w:r>
    </w:p>
    <w:p>
      <w:pPr>
        <w:pageBreakBefore w:val="0"/>
        <w:kinsoku/>
        <w:wordWrap/>
        <w:overflowPunct/>
        <w:topLinePunct w:val="0"/>
        <w:bidi w:val="0"/>
        <w:spacing w:line="560" w:lineRule="exact"/>
        <w:ind w:firstLine="640"/>
        <w:rPr>
          <w:rFonts w:hint="default" w:ascii="Times New Roman" w:hAnsi="Times New Roman" w:eastAsia="楷体_GB2312" w:cs="Times New Roman"/>
          <w:b/>
          <w:bCs w:val="0"/>
          <w:color w:val="auto"/>
          <w:sz w:val="32"/>
        </w:rPr>
      </w:pPr>
      <w:r>
        <w:rPr>
          <w:rFonts w:hint="default" w:ascii="Times New Roman" w:hAnsi="Times New Roman" w:eastAsia="仿宋_GB2312" w:cs="Times New Roman"/>
          <w:color w:val="auto"/>
          <w:sz w:val="32"/>
        </w:rPr>
        <w:t>深入贯彻习近平总书记关于统筹疫情防控和经济社会发展的重要讲话精神，全面落实省委、省政府决策部署，全力做好“六稳”工作，充分发挥政府投资效益，进一步发挥</w:t>
      </w:r>
      <w:r>
        <w:rPr>
          <w:rFonts w:hint="default" w:ascii="Times New Roman" w:hAnsi="Times New Roman" w:eastAsia="仿宋_GB2312" w:cs="Times New Roman"/>
          <w:color w:val="auto"/>
          <w:sz w:val="32"/>
          <w:szCs w:val="32"/>
        </w:rPr>
        <w:t>省预算内基本建设投资对全省经济社会发展的</w:t>
      </w:r>
      <w:r>
        <w:rPr>
          <w:rFonts w:hint="default" w:ascii="Times New Roman" w:hAnsi="Times New Roman" w:eastAsia="仿宋_GB2312" w:cs="Times New Roman"/>
          <w:color w:val="auto"/>
          <w:sz w:val="32"/>
        </w:rPr>
        <w:t>引导带动作用，助力实现全省高质量发展。</w:t>
      </w:r>
    </w:p>
    <w:p>
      <w:pPr>
        <w:pageBreakBefore w:val="0"/>
        <w:kinsoku/>
        <w:wordWrap/>
        <w:overflowPunct/>
        <w:topLinePunct w:val="0"/>
        <w:bidi w:val="0"/>
        <w:spacing w:line="560" w:lineRule="exact"/>
        <w:ind w:firstLine="640"/>
        <w:rPr>
          <w:rFonts w:hint="default" w:ascii="Times New Roman" w:hAnsi="Times New Roman" w:eastAsia="楷体_GB2312" w:cs="Times New Roman"/>
          <w:b/>
          <w:bCs w:val="0"/>
          <w:color w:val="auto"/>
          <w:sz w:val="32"/>
        </w:rPr>
      </w:pPr>
      <w:r>
        <w:rPr>
          <w:rFonts w:hint="default" w:ascii="Times New Roman" w:hAnsi="Times New Roman" w:eastAsia="楷体_GB2312" w:cs="Times New Roman"/>
          <w:b/>
          <w:bCs w:val="0"/>
          <w:color w:val="auto"/>
          <w:sz w:val="32"/>
        </w:rPr>
        <w:t>（二）相关职能职责。</w:t>
      </w:r>
    </w:p>
    <w:p>
      <w:pPr>
        <w:pageBreakBefore w:val="0"/>
        <w:kinsoku/>
        <w:wordWrap/>
        <w:overflowPunct/>
        <w:topLinePunct w:val="0"/>
        <w:bidi w:val="0"/>
        <w:spacing w:line="560" w:lineRule="exact"/>
        <w:ind w:firstLine="640"/>
        <w:rPr>
          <w:rFonts w:hint="default" w:ascii="Times New Roman" w:hAnsi="Times New Roman" w:eastAsia="仿宋_GB2312" w:cs="Times New Roman"/>
          <w:color w:val="auto"/>
          <w:sz w:val="32"/>
          <w:lang w:val="zh-CN"/>
        </w:rPr>
      </w:pPr>
      <w:r>
        <w:rPr>
          <w:rFonts w:hint="default" w:ascii="Times New Roman" w:hAnsi="Times New Roman" w:eastAsia="仿宋_GB2312" w:cs="Times New Roman"/>
          <w:color w:val="auto"/>
          <w:sz w:val="32"/>
        </w:rPr>
        <w:t>省发展改革委是省预算基本建设投资的主管部门，负责省预算内资金安排下达及监管。</w:t>
      </w:r>
      <w:r>
        <w:rPr>
          <w:rFonts w:hint="default" w:ascii="Times New Roman" w:hAnsi="Times New Roman" w:eastAsia="仿宋_GB2312" w:cs="Times New Roman"/>
          <w:color w:val="auto"/>
          <w:spacing w:val="-6"/>
          <w:sz w:val="32"/>
        </w:rPr>
        <w:t>地方发展改革部门</w:t>
      </w:r>
      <w:r>
        <w:rPr>
          <w:rFonts w:hint="default" w:ascii="Times New Roman" w:hAnsi="Times New Roman" w:eastAsia="仿宋_GB2312" w:cs="Times New Roman"/>
          <w:color w:val="auto"/>
          <w:sz w:val="32"/>
        </w:rPr>
        <w:t>、省级</w:t>
      </w:r>
      <w:r>
        <w:rPr>
          <w:rFonts w:hint="default" w:ascii="Times New Roman" w:hAnsi="Times New Roman" w:eastAsia="仿宋_GB2312" w:cs="Times New Roman"/>
          <w:color w:val="auto"/>
          <w:sz w:val="32"/>
          <w:szCs w:val="32"/>
        </w:rPr>
        <w:t>项目主管</w:t>
      </w:r>
      <w:r>
        <w:rPr>
          <w:rFonts w:hint="default" w:ascii="Times New Roman" w:hAnsi="Times New Roman" w:eastAsia="仿宋_GB2312" w:cs="Times New Roman"/>
          <w:color w:val="auto"/>
          <w:sz w:val="32"/>
        </w:rPr>
        <w:t>部门以及项目日常监管的直接责任单位、监管责任人是预算绩效管理的责任主体，负责对项目前期申报、落地实施、工程建设管理、计划执行进度、资金使用与拨付等重点环节进行监督检查，</w:t>
      </w:r>
      <w:r>
        <w:rPr>
          <w:rFonts w:hint="default" w:ascii="Times New Roman" w:hAnsi="Times New Roman" w:eastAsia="仿宋_GB2312" w:cs="Times New Roman"/>
          <w:color w:val="auto"/>
          <w:sz w:val="32"/>
          <w:lang w:val="zh-CN"/>
        </w:rPr>
        <w:t>对绩效目标实现程度进行监督管理，保证政府投资资金的合理使用和项目顺利建设实施。</w:t>
      </w:r>
    </w:p>
    <w:p>
      <w:pPr>
        <w:pageBreakBefore w:val="0"/>
        <w:kinsoku/>
        <w:wordWrap/>
        <w:overflowPunct/>
        <w:topLinePunct w:val="0"/>
        <w:bidi w:val="0"/>
        <w:spacing w:line="560" w:lineRule="exact"/>
        <w:ind w:firstLine="640"/>
        <w:rPr>
          <w:rFonts w:hint="default" w:ascii="Times New Roman" w:hAnsi="Times New Roman" w:eastAsia="楷体_GB2312" w:cs="Times New Roman"/>
          <w:b/>
          <w:bCs w:val="0"/>
          <w:color w:val="auto"/>
          <w:sz w:val="32"/>
          <w:lang w:val="zh-CN"/>
        </w:rPr>
      </w:pPr>
      <w:r>
        <w:rPr>
          <w:rFonts w:hint="default" w:ascii="Times New Roman" w:hAnsi="Times New Roman" w:eastAsia="楷体_GB2312" w:cs="Times New Roman"/>
          <w:b/>
          <w:bCs w:val="0"/>
          <w:color w:val="auto"/>
          <w:sz w:val="32"/>
          <w:lang w:val="zh-CN"/>
        </w:rPr>
        <w:t>（</w:t>
      </w:r>
      <w:r>
        <w:rPr>
          <w:rFonts w:hint="default" w:ascii="Times New Roman" w:hAnsi="Times New Roman" w:eastAsia="楷体_GB2312" w:cs="Times New Roman"/>
          <w:b/>
          <w:bCs w:val="0"/>
          <w:color w:val="auto"/>
          <w:sz w:val="32"/>
        </w:rPr>
        <w:t>三</w:t>
      </w:r>
      <w:r>
        <w:rPr>
          <w:rFonts w:hint="default" w:ascii="Times New Roman" w:hAnsi="Times New Roman" w:eastAsia="楷体_GB2312" w:cs="Times New Roman"/>
          <w:b/>
          <w:bCs w:val="0"/>
          <w:color w:val="auto"/>
          <w:sz w:val="32"/>
          <w:lang w:val="zh-CN"/>
        </w:rPr>
        <w:t>）自评步骤及方法。</w:t>
      </w:r>
    </w:p>
    <w:p>
      <w:pPr>
        <w:pageBreakBefore w:val="0"/>
        <w:kinsoku/>
        <w:wordWrap/>
        <w:overflowPunct/>
        <w:topLinePunct w:val="0"/>
        <w:bidi w:val="0"/>
        <w:spacing w:line="560" w:lineRule="exact"/>
        <w:ind w:firstLine="640"/>
        <w:rPr>
          <w:rFonts w:hint="default" w:ascii="Times New Roman" w:hAnsi="Times New Roman" w:eastAsia="仿宋_GB2312" w:cs="Times New Roman"/>
          <w:color w:val="auto"/>
          <w:kern w:val="0"/>
          <w:sz w:val="32"/>
        </w:rPr>
      </w:pPr>
      <w:r>
        <w:rPr>
          <w:rFonts w:hint="default" w:ascii="Times New Roman" w:hAnsi="Times New Roman" w:eastAsia="仿宋_GB2312" w:cs="Times New Roman"/>
          <w:color w:val="auto"/>
          <w:sz w:val="32"/>
          <w:shd w:val="clear" w:color="auto" w:fill="FFFFFF"/>
        </w:rPr>
        <w:t>成立项目绩效自评工作组，</w:t>
      </w:r>
      <w:r>
        <w:rPr>
          <w:rFonts w:hint="default" w:ascii="Times New Roman" w:hAnsi="Times New Roman" w:eastAsia="仿宋_GB2312" w:cs="Times New Roman"/>
          <w:color w:val="auto"/>
          <w:kern w:val="0"/>
          <w:sz w:val="32"/>
        </w:rPr>
        <w:t>按照前期准备、实施评价、报告撰写三个阶段，会同行业主管部门、相关市（州）组织项目单位通过自查、实地查看、资料核查、</w:t>
      </w:r>
      <w:r>
        <w:rPr>
          <w:rFonts w:hint="default" w:ascii="Times New Roman" w:hAnsi="Times New Roman" w:eastAsia="仿宋_GB2312" w:cs="Times New Roman"/>
          <w:color w:val="auto"/>
          <w:sz w:val="32"/>
        </w:rPr>
        <w:t>座谈询问、</w:t>
      </w:r>
      <w:r>
        <w:rPr>
          <w:rFonts w:hint="default" w:ascii="Times New Roman" w:hAnsi="Times New Roman" w:eastAsia="仿宋_GB2312" w:cs="Times New Roman"/>
          <w:color w:val="auto"/>
          <w:kern w:val="0"/>
          <w:sz w:val="32"/>
        </w:rPr>
        <w:t>“项目一张网”在线监测等方式开展</w:t>
      </w:r>
      <w:r>
        <w:rPr>
          <w:rFonts w:hint="default" w:ascii="Times New Roman" w:hAnsi="Times New Roman" w:eastAsia="仿宋_GB2312" w:cs="Times New Roman"/>
          <w:color w:val="auto"/>
          <w:sz w:val="32"/>
          <w:szCs w:val="32"/>
        </w:rPr>
        <w:t>绩效自评工作。</w:t>
      </w:r>
      <w:r>
        <w:rPr>
          <w:rFonts w:hint="default" w:ascii="Times New Roman" w:hAnsi="Times New Roman" w:eastAsia="仿宋_GB2312" w:cs="Times New Roman"/>
          <w:color w:val="auto"/>
          <w:sz w:val="32"/>
          <w:shd w:val="clear" w:color="auto" w:fill="FFFFFF"/>
        </w:rPr>
        <w:t>对照绩效自评要求，</w:t>
      </w:r>
      <w:r>
        <w:rPr>
          <w:rFonts w:hint="default" w:ascii="Times New Roman" w:hAnsi="Times New Roman" w:eastAsia="仿宋_GB2312" w:cs="Times New Roman"/>
          <w:color w:val="auto"/>
          <w:kern w:val="0"/>
          <w:sz w:val="32"/>
        </w:rPr>
        <w:t>在收集项目文件资料、细化评价指标及评价标准的基础上，实地查看项目建设情况，</w:t>
      </w:r>
      <w:r>
        <w:rPr>
          <w:rFonts w:hint="default" w:ascii="Times New Roman" w:hAnsi="Times New Roman" w:eastAsia="仿宋_GB2312" w:cs="Times New Roman"/>
          <w:color w:val="auto"/>
          <w:sz w:val="32"/>
          <w:szCs w:val="32"/>
          <w:lang w:val="zh-CN"/>
        </w:rPr>
        <w:t>查看项目合同、项目管理资料、核实资金使用情况，</w:t>
      </w:r>
      <w:r>
        <w:rPr>
          <w:rFonts w:hint="default" w:ascii="Times New Roman" w:hAnsi="Times New Roman" w:eastAsia="仿宋_GB2312" w:cs="Times New Roman"/>
          <w:color w:val="auto"/>
          <w:kern w:val="0"/>
          <w:sz w:val="32"/>
        </w:rPr>
        <w:t>收集相关数据资料，</w:t>
      </w:r>
      <w:r>
        <w:rPr>
          <w:rFonts w:hint="default" w:ascii="Times New Roman" w:hAnsi="Times New Roman" w:eastAsia="仿宋_GB2312" w:cs="Times New Roman"/>
          <w:color w:val="auto"/>
          <w:sz w:val="32"/>
          <w:szCs w:val="32"/>
        </w:rPr>
        <w:t>现场核对实际进度情况，和资金</w:t>
      </w:r>
      <w:r>
        <w:rPr>
          <w:rFonts w:hint="default" w:ascii="Times New Roman" w:hAnsi="Times New Roman" w:eastAsia="仿宋_GB2312" w:cs="Times New Roman"/>
          <w:color w:val="auto"/>
          <w:sz w:val="32"/>
          <w:szCs w:val="32"/>
          <w:lang w:val="zh-CN"/>
        </w:rPr>
        <w:t>使用单位沟通交流</w:t>
      </w:r>
      <w:r>
        <w:rPr>
          <w:rFonts w:hint="default" w:ascii="Times New Roman" w:hAnsi="Times New Roman" w:eastAsia="仿宋_GB2312" w:cs="Times New Roman"/>
          <w:color w:val="auto"/>
          <w:kern w:val="0"/>
          <w:sz w:val="32"/>
        </w:rPr>
        <w:t>，定量与定性分析相结合形成自评结论。</w:t>
      </w:r>
    </w:p>
    <w:p>
      <w:pPr>
        <w:pageBreakBefore w:val="0"/>
        <w:kinsoku/>
        <w:wordWrap/>
        <w:overflowPunct/>
        <w:topLinePunct w:val="0"/>
        <w:bidi w:val="0"/>
        <w:adjustRightInd w:val="0"/>
        <w:snapToGrid w:val="0"/>
        <w:spacing w:line="560" w:lineRule="exact"/>
        <w:ind w:firstLine="720"/>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t>二、资金使用及项目管理情况</w:t>
      </w:r>
    </w:p>
    <w:p>
      <w:pPr>
        <w:pageBreakBefore w:val="0"/>
        <w:kinsoku/>
        <w:wordWrap/>
        <w:overflowPunct/>
        <w:topLinePunct w:val="0"/>
        <w:bidi w:val="0"/>
        <w:spacing w:line="560" w:lineRule="exact"/>
        <w:ind w:firstLine="640"/>
        <w:rPr>
          <w:rFonts w:hint="default" w:ascii="Times New Roman" w:hAnsi="Times New Roman" w:eastAsia="楷体_GB2312" w:cs="Times New Roman"/>
          <w:b/>
          <w:bCs w:val="0"/>
          <w:color w:val="auto"/>
          <w:sz w:val="32"/>
          <w:lang w:val="zh-CN"/>
        </w:rPr>
      </w:pPr>
      <w:r>
        <w:rPr>
          <w:rFonts w:hint="default" w:ascii="Times New Roman" w:hAnsi="Times New Roman" w:eastAsia="楷体_GB2312" w:cs="Times New Roman"/>
          <w:b/>
          <w:bCs w:val="0"/>
          <w:color w:val="auto"/>
          <w:sz w:val="32"/>
          <w:lang w:val="zh-CN"/>
        </w:rPr>
        <w:t>（一）资金安排原则。</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b/>
          <w:bCs/>
          <w:color w:val="auto"/>
          <w:sz w:val="32"/>
          <w:szCs w:val="32"/>
          <w:lang w:val="zh-CN"/>
        </w:rPr>
        <w:t>一是进一步优化结构。</w:t>
      </w:r>
      <w:r>
        <w:rPr>
          <w:rFonts w:hint="default" w:ascii="Times New Roman" w:hAnsi="Times New Roman" w:eastAsia="仿宋_GB2312" w:cs="Times New Roman"/>
          <w:color w:val="auto"/>
          <w:sz w:val="32"/>
          <w:szCs w:val="32"/>
          <w:lang w:val="zh-CN"/>
        </w:rPr>
        <w:t>围绕重大基础设施、重大社会事业和民生工程、重点园区和创新平台建设、节能环保与生态建设、其他方面等五大领域，主要安排关乎社会民生福祉的，需政府投资建设的项目，适当支持创新平台建设等。</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b/>
          <w:bCs/>
          <w:color w:val="auto"/>
          <w:sz w:val="32"/>
          <w:szCs w:val="32"/>
          <w:lang w:val="zh-CN"/>
        </w:rPr>
        <w:t>二是进一步突出重点。</w:t>
      </w:r>
      <w:r>
        <w:rPr>
          <w:rFonts w:hint="default" w:ascii="Times New Roman" w:hAnsi="Times New Roman" w:eastAsia="仿宋_GB2312" w:cs="Times New Roman"/>
          <w:color w:val="auto"/>
          <w:sz w:val="32"/>
          <w:szCs w:val="32"/>
          <w:lang w:val="zh-CN"/>
        </w:rPr>
        <w:t>省预算内投资集中力量办大事，重点安排省委、省政府确定支持的重大项目，以及中央预算内投资项目规定或承诺的配套。加强与部门沟通衔接，结合部门职能职责进行差异化支持。</w:t>
      </w:r>
    </w:p>
    <w:p>
      <w:pPr>
        <w:pageBreakBefore w:val="0"/>
        <w:kinsoku/>
        <w:wordWrap/>
        <w:overflowPunct/>
        <w:topLinePunct w:val="0"/>
        <w:bidi w:val="0"/>
        <w:spacing w:line="560" w:lineRule="exact"/>
        <w:ind w:firstLine="640"/>
        <w:rPr>
          <w:rFonts w:hint="default" w:ascii="Times New Roman" w:hAnsi="Times New Roman" w:eastAsia="楷体_GB2312" w:cs="Times New Roman"/>
          <w:b/>
          <w:bCs w:val="0"/>
          <w:color w:val="auto"/>
          <w:sz w:val="32"/>
          <w:lang w:val="zh-CN"/>
        </w:rPr>
      </w:pPr>
      <w:r>
        <w:rPr>
          <w:rFonts w:hint="default" w:ascii="Times New Roman" w:hAnsi="Times New Roman" w:eastAsia="楷体_GB2312" w:cs="Times New Roman"/>
          <w:b/>
          <w:bCs w:val="0"/>
          <w:color w:val="auto"/>
          <w:sz w:val="32"/>
          <w:lang w:val="zh-CN"/>
        </w:rPr>
        <w:t>（二）资金计划、到位及使用情况。</w:t>
      </w:r>
    </w:p>
    <w:p>
      <w:pPr>
        <w:pageBreakBefore w:val="0"/>
        <w:kinsoku/>
        <w:wordWrap/>
        <w:overflowPunct/>
        <w:topLinePunct w:val="0"/>
        <w:bidi w:val="0"/>
        <w:spacing w:line="560" w:lineRule="exact"/>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2021年省预算内投资总盘子70亿元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0"/>
          <w:sz w:val="32"/>
          <w:szCs w:val="32"/>
        </w:rPr>
        <w:t>主要安排五大领域，具体情况为：</w:t>
      </w:r>
    </w:p>
    <w:p>
      <w:pPr>
        <w:pageBreakBefore w:val="0"/>
        <w:numPr>
          <w:ilvl w:val="0"/>
          <w:numId w:val="0"/>
        </w:numPr>
        <w:kinsoku/>
        <w:wordWrap/>
        <w:overflowPunct/>
        <w:topLinePunct w:val="0"/>
        <w:bidi w:val="0"/>
        <w:spacing w:line="560" w:lineRule="exact"/>
        <w:ind w:firstLine="642" w:firstLineChars="200"/>
        <w:rPr>
          <w:rFonts w:hint="default" w:ascii="Times New Roman" w:hAnsi="Times New Roman" w:eastAsia="仿宋_GB2312" w:cs="Times New Roman"/>
          <w:b/>
          <w:bCs/>
          <w:color w:val="auto"/>
          <w:sz w:val="32"/>
          <w:szCs w:val="22"/>
        </w:rPr>
      </w:pPr>
      <w:r>
        <w:rPr>
          <w:rFonts w:hint="default" w:ascii="Times New Roman" w:hAnsi="Times New Roman" w:eastAsia="仿宋_GB2312" w:cs="Times New Roman"/>
          <w:b/>
          <w:bCs/>
          <w:color w:val="auto"/>
          <w:sz w:val="32"/>
          <w:szCs w:val="32"/>
          <w:lang w:val="en"/>
        </w:rPr>
        <w:t>1.</w:t>
      </w:r>
      <w:r>
        <w:rPr>
          <w:rFonts w:hint="default" w:ascii="Times New Roman" w:hAnsi="Times New Roman" w:eastAsia="仿宋_GB2312" w:cs="Times New Roman"/>
          <w:b/>
          <w:bCs/>
          <w:color w:val="auto"/>
          <w:sz w:val="32"/>
          <w:szCs w:val="32"/>
        </w:rPr>
        <w:t>重大基础设施29.2亿元，占总盘子的41.7%。</w:t>
      </w:r>
      <w:r>
        <w:rPr>
          <w:rFonts w:hint="default" w:ascii="Times New Roman" w:hAnsi="Times New Roman" w:eastAsia="仿宋_GB2312" w:cs="Times New Roman"/>
          <w:color w:val="auto"/>
          <w:sz w:val="32"/>
          <w:szCs w:val="32"/>
        </w:rPr>
        <w:t>安排铁路建设专项、镇巴（川陕界）至广安高速公路王坪至通江段、乐西高速公路马边至昭觉段、国道317线友谊隧道至映秀改建工程、川陕革命根据地红军烈士陵园交通专项、天府国际机场口岸检查检验及配套设施设备项目、岷江老木孔航电枢纽工程、天府农业博览园主展馆、省种质资源中心库、省气象灾害监测预警体系建设、森林航空消防基础设施建设、两项改革“后半篇”文章推动农村电网改造升级工程、</w:t>
      </w:r>
      <w:r>
        <w:rPr>
          <w:rFonts w:hint="default" w:ascii="Times New Roman" w:hAnsi="Times New Roman" w:eastAsia="仿宋_GB2312" w:cs="Times New Roman"/>
          <w:color w:val="auto"/>
          <w:sz w:val="32"/>
          <w:szCs w:val="22"/>
        </w:rPr>
        <w:t>重</w:t>
      </w:r>
      <w:r>
        <w:rPr>
          <w:rFonts w:hint="default" w:ascii="Times New Roman" w:hAnsi="Times New Roman" w:eastAsia="仿宋_GB2312" w:cs="Times New Roman"/>
          <w:color w:val="auto"/>
          <w:spacing w:val="-6"/>
          <w:sz w:val="32"/>
          <w:szCs w:val="32"/>
        </w:rPr>
        <w:t>大水利基础设施</w:t>
      </w:r>
      <w:r>
        <w:rPr>
          <w:rFonts w:hint="default" w:ascii="Times New Roman" w:hAnsi="Times New Roman" w:eastAsia="仿宋_GB2312" w:cs="Times New Roman"/>
          <w:color w:val="auto"/>
          <w:sz w:val="32"/>
          <w:szCs w:val="32"/>
        </w:rPr>
        <w:t>、中小河流水文监测系统等其他水利基础设施、煤矿安全改造、排水设施建设、</w:t>
      </w:r>
      <w:r>
        <w:rPr>
          <w:rFonts w:hint="default" w:ascii="Times New Roman" w:hAnsi="Times New Roman" w:eastAsia="仿宋_GB2312" w:cs="Times New Roman"/>
          <w:color w:val="auto"/>
          <w:sz w:val="32"/>
          <w:szCs w:val="22"/>
        </w:rPr>
        <w:t>县城新型城镇化建设示范县暨小县优城创建试点建设、充电基础设施建设、县域经济强县培育等。</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2.社会事业和民生工程27.5亿元，占总盘子的39.3%。</w:t>
      </w:r>
      <w:r>
        <w:rPr>
          <w:rFonts w:hint="default" w:ascii="Times New Roman" w:hAnsi="Times New Roman" w:eastAsia="仿宋_GB2312" w:cs="Times New Roman"/>
          <w:color w:val="auto"/>
          <w:sz w:val="32"/>
          <w:szCs w:val="32"/>
        </w:rPr>
        <w:t>安排四川省公共卫生综合临床中心、四川省老年医学中心二期、华西生物学研究与转化中心生物安全实验室、四川省中医药科学院国家中医药传承创新工程、成都中医药大学附属第二医院一期、</w:t>
      </w:r>
      <w:r>
        <w:rPr>
          <w:rFonts w:hint="default" w:ascii="Times New Roman" w:hAnsi="Times New Roman" w:eastAsia="仿宋_GB2312" w:cs="Times New Roman"/>
          <w:color w:val="auto"/>
          <w:sz w:val="32"/>
          <w:szCs w:val="32"/>
          <w:lang w:eastAsia="zh-CN"/>
        </w:rPr>
        <w:t>四川</w:t>
      </w:r>
      <w:r>
        <w:rPr>
          <w:rFonts w:hint="default" w:ascii="Times New Roman" w:hAnsi="Times New Roman" w:eastAsia="仿宋_GB2312" w:cs="Times New Roman"/>
          <w:color w:val="auto"/>
          <w:sz w:val="32"/>
          <w:szCs w:val="32"/>
        </w:rPr>
        <w:t>省第五人民医院医疗业务用房及配套设施改造、成都中医药大学附属医院防疫应急通道及环境改造建设、四川音乐学院音乐艺术大楼建设、四川体育职业学院太平寺校区教学综合楼建设、天府新区省级文化中心、</w:t>
      </w:r>
      <w:r>
        <w:rPr>
          <w:rFonts w:hint="default" w:ascii="Times New Roman" w:hAnsi="Times New Roman" w:eastAsia="仿宋_GB2312" w:cs="Times New Roman"/>
          <w:color w:val="auto"/>
          <w:sz w:val="32"/>
          <w:szCs w:val="32"/>
          <w:lang w:eastAsia="zh-CN"/>
        </w:rPr>
        <w:t>四川</w:t>
      </w:r>
      <w:r>
        <w:rPr>
          <w:rFonts w:hint="default" w:ascii="Times New Roman" w:hAnsi="Times New Roman" w:eastAsia="仿宋_GB2312" w:cs="Times New Roman"/>
          <w:color w:val="auto"/>
          <w:sz w:val="32"/>
          <w:szCs w:val="32"/>
        </w:rPr>
        <w:t>省妇女儿童中心、国家西南区域应急救援中心、四川省区域应急救援基地、四川省应急救援总队基地建设、</w:t>
      </w:r>
      <w:r>
        <w:rPr>
          <w:rFonts w:hint="default" w:ascii="Times New Roman" w:hAnsi="Times New Roman" w:eastAsia="仿宋_GB2312" w:cs="Times New Roman"/>
          <w:color w:val="auto"/>
          <w:sz w:val="32"/>
          <w:szCs w:val="32"/>
          <w:lang w:val="en-US" w:eastAsia="zh-CN"/>
        </w:rPr>
        <w:t>四川</w:t>
      </w:r>
      <w:r>
        <w:rPr>
          <w:rFonts w:hint="default" w:ascii="Times New Roman" w:hAnsi="Times New Roman" w:eastAsia="仿宋_GB2312" w:cs="Times New Roman"/>
          <w:color w:val="auto"/>
          <w:sz w:val="32"/>
          <w:szCs w:val="32"/>
        </w:rPr>
        <w:t>省自然资源基础信息平台、四川省应急管理信息化建设、四川省森林草原火情监测即报系统、暴雨洪涝灾害灾后恢复重建，公共实训基地、卫生健康领域、综合防灾减灾能力建设等专项中央预算内投资配套，以工代赈、妇女居家灵活就业示范基地等。</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3.重点园区和创新平台8.9亿元，占总盘子的12.7%。</w:t>
      </w:r>
      <w:r>
        <w:rPr>
          <w:rFonts w:hint="default" w:ascii="Times New Roman" w:hAnsi="Times New Roman" w:eastAsia="仿宋_GB2312" w:cs="Times New Roman"/>
          <w:color w:val="auto"/>
          <w:sz w:val="32"/>
          <w:szCs w:val="32"/>
        </w:rPr>
        <w:t>安排省级新区高质量发展、转化医学国家重大科技基础设施（四川）、多态耦合轨道交通动模试验平台、柔性基底微纳结构成像装置、省药品医疗器械检验检测能力提升项目、四川省1：1万无图区域测图工程、完善空间定位基准现代化建设、国家企业技术中心创新能力建设、国家地方联合工程研究中心（工程实验室）创新能力建设、省级工程实验室创新能力建设等。</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4.节能环保与生态建设2.3亿元，占总盘子的3.3%。</w:t>
      </w:r>
      <w:r>
        <w:rPr>
          <w:rFonts w:hint="default" w:ascii="Times New Roman" w:hAnsi="Times New Roman" w:eastAsia="仿宋_GB2312" w:cs="Times New Roman"/>
          <w:color w:val="auto"/>
          <w:sz w:val="32"/>
          <w:szCs w:val="32"/>
        </w:rPr>
        <w:t>安排农村生活污水治理“千村示范工程”、园区循环化改造、资源循环利用基地、碳达峰碳中和基础工作。</w:t>
      </w:r>
    </w:p>
    <w:p>
      <w:pPr>
        <w:pageBreakBefore w:val="0"/>
        <w:kinsoku/>
        <w:wordWrap/>
        <w:overflowPunct/>
        <w:topLinePunct w:val="0"/>
        <w:bidi w:val="0"/>
        <w:spacing w:line="560" w:lineRule="exact"/>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5.其他方面2.1亿元，占总盘子的3%。</w:t>
      </w:r>
      <w:r>
        <w:rPr>
          <w:rFonts w:hint="default" w:ascii="Times New Roman" w:hAnsi="Times New Roman" w:eastAsia="仿宋_GB2312" w:cs="Times New Roman"/>
          <w:color w:val="auto"/>
          <w:sz w:val="32"/>
          <w:szCs w:val="32"/>
        </w:rPr>
        <w:t>安排政府投资项目评审、企业投资项目事中事后监管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全省投资及重大项目监测管理和咨询评估支撑服务</w:t>
      </w:r>
      <w:r>
        <w:rPr>
          <w:rFonts w:hint="default"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rPr>
        <w:t>。</w:t>
      </w:r>
    </w:p>
    <w:p>
      <w:pPr>
        <w:pageBreakBefore w:val="0"/>
        <w:kinsoku/>
        <w:wordWrap/>
        <w:overflowPunct/>
        <w:topLinePunct w:val="0"/>
        <w:bidi w:val="0"/>
        <w:adjustRightInd w:val="0"/>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rPr>
        <w:t>省预算内基本建设投资均及时安排下达到位，资金总体使用情况良好，</w:t>
      </w:r>
      <w:r>
        <w:rPr>
          <w:rFonts w:hint="default" w:ascii="Times New Roman" w:hAnsi="Times New Roman" w:eastAsia="仿宋_GB2312" w:cs="Times New Roman"/>
          <w:color w:val="auto"/>
          <w:sz w:val="32"/>
          <w:szCs w:val="32"/>
        </w:rPr>
        <w:t>项目形象进度较好。</w:t>
      </w:r>
    </w:p>
    <w:p>
      <w:pPr>
        <w:pageBreakBefore w:val="0"/>
        <w:kinsoku/>
        <w:wordWrap/>
        <w:overflowPunct/>
        <w:topLinePunct w:val="0"/>
        <w:bidi w:val="0"/>
        <w:spacing w:line="560" w:lineRule="exact"/>
        <w:ind w:firstLine="640"/>
        <w:rPr>
          <w:rFonts w:hint="default" w:ascii="Times New Roman" w:hAnsi="Times New Roman" w:eastAsia="楷体_GB2312" w:cs="Times New Roman"/>
          <w:b/>
          <w:bCs w:val="0"/>
          <w:color w:val="auto"/>
          <w:sz w:val="32"/>
          <w:lang w:val="zh-CN"/>
        </w:rPr>
      </w:pPr>
      <w:r>
        <w:rPr>
          <w:rFonts w:hint="default" w:ascii="Times New Roman" w:hAnsi="Times New Roman" w:eastAsia="楷体_GB2312" w:cs="Times New Roman"/>
          <w:b/>
          <w:bCs w:val="0"/>
          <w:color w:val="auto"/>
          <w:sz w:val="32"/>
          <w:lang w:val="zh-CN"/>
        </w:rPr>
        <w:t>（三）项目财务管理情况。</w:t>
      </w:r>
    </w:p>
    <w:p>
      <w:pPr>
        <w:pageBreakBefore w:val="0"/>
        <w:kinsoku/>
        <w:wordWrap/>
        <w:overflowPunct/>
        <w:topLinePunct w:val="0"/>
        <w:bidi w:val="0"/>
        <w:adjustRightInd w:val="0"/>
        <w:snapToGrid w:val="0"/>
        <w:spacing w:line="560" w:lineRule="exact"/>
        <w:ind w:firstLine="64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32"/>
          <w:lang w:val="zh-CN"/>
        </w:rPr>
        <w:t>项目实施单位严格执行相关法律法规及项目管理制度，按照年度投资计划下达的建设任务组织实施，</w:t>
      </w:r>
      <w:r>
        <w:rPr>
          <w:rFonts w:hint="default" w:ascii="Times New Roman" w:hAnsi="Times New Roman" w:eastAsia="仿宋_GB2312" w:cs="Times New Roman"/>
          <w:color w:val="auto"/>
          <w:sz w:val="32"/>
          <w:szCs w:val="32"/>
        </w:rPr>
        <w:t>财务管理制度健全。</w:t>
      </w:r>
      <w:r>
        <w:rPr>
          <w:rFonts w:hint="default" w:ascii="Times New Roman" w:hAnsi="Times New Roman" w:eastAsia="仿宋_GB2312" w:cs="Times New Roman"/>
          <w:color w:val="auto"/>
          <w:sz w:val="32"/>
          <w:szCs w:val="32"/>
          <w:lang w:val="zh-CN"/>
        </w:rPr>
        <w:t>严格</w:t>
      </w:r>
      <w:r>
        <w:rPr>
          <w:rFonts w:hint="default" w:ascii="Times New Roman" w:hAnsi="Times New Roman" w:eastAsia="仿宋_GB2312" w:cs="Times New Roman"/>
          <w:color w:val="auto"/>
          <w:sz w:val="32"/>
          <w:szCs w:val="32"/>
        </w:rPr>
        <w:t>落实</w:t>
      </w:r>
      <w:r>
        <w:rPr>
          <w:rFonts w:hint="default" w:ascii="Times New Roman" w:hAnsi="Times New Roman" w:eastAsia="仿宋_GB2312" w:cs="Times New Roman"/>
          <w:color w:val="auto"/>
          <w:sz w:val="32"/>
          <w:szCs w:val="32"/>
          <w:lang w:val="zh-CN"/>
        </w:rPr>
        <w:t>财务管理制度，严格执行财务管理制度，</w:t>
      </w:r>
      <w:r>
        <w:rPr>
          <w:rFonts w:hint="default" w:ascii="Times New Roman" w:hAnsi="Times New Roman" w:eastAsia="仿宋_GB2312" w:cs="Times New Roman"/>
          <w:color w:val="auto"/>
          <w:sz w:val="32"/>
        </w:rPr>
        <w:t>报销手续规范齐全，</w:t>
      </w:r>
      <w:r>
        <w:rPr>
          <w:rFonts w:hint="default" w:ascii="Times New Roman" w:hAnsi="Times New Roman" w:eastAsia="仿宋_GB2312" w:cs="Times New Roman"/>
          <w:color w:val="auto"/>
          <w:sz w:val="32"/>
          <w:szCs w:val="32"/>
          <w:lang w:val="zh-CN"/>
        </w:rPr>
        <w:t>财务处理及时，</w:t>
      </w:r>
      <w:r>
        <w:rPr>
          <w:rFonts w:hint="default" w:ascii="Times New Roman" w:hAnsi="Times New Roman" w:eastAsia="仿宋_GB2312" w:cs="Times New Roman"/>
          <w:color w:val="auto"/>
          <w:sz w:val="32"/>
        </w:rPr>
        <w:t>严格按照《政府会计准则》《政府会计制度》进行会计核算，</w:t>
      </w:r>
      <w:r>
        <w:rPr>
          <w:rFonts w:hint="default" w:ascii="Times New Roman" w:hAnsi="Times New Roman" w:eastAsia="仿宋_GB2312" w:cs="Times New Roman"/>
          <w:color w:val="auto"/>
          <w:sz w:val="32"/>
          <w:szCs w:val="32"/>
        </w:rPr>
        <w:t>会计</w:t>
      </w:r>
      <w:r>
        <w:rPr>
          <w:rFonts w:hint="default" w:ascii="Times New Roman" w:hAnsi="Times New Roman" w:eastAsia="仿宋_GB2312" w:cs="Times New Roman"/>
          <w:color w:val="auto"/>
          <w:sz w:val="32"/>
          <w:szCs w:val="32"/>
          <w:lang w:val="zh-CN"/>
        </w:rPr>
        <w:t>核算规范。</w:t>
      </w:r>
      <w:r>
        <w:rPr>
          <w:rFonts w:hint="default" w:ascii="Times New Roman" w:hAnsi="Times New Roman" w:eastAsia="仿宋_GB2312" w:cs="Times New Roman"/>
          <w:color w:val="auto"/>
          <w:sz w:val="32"/>
          <w:szCs w:val="32"/>
        </w:rPr>
        <w:t>落实</w:t>
      </w:r>
      <w:r>
        <w:rPr>
          <w:rFonts w:hint="default" w:ascii="Times New Roman" w:hAnsi="Times New Roman" w:eastAsia="仿宋_GB2312" w:cs="Times New Roman"/>
          <w:color w:val="auto"/>
          <w:sz w:val="32"/>
          <w:szCs w:val="32"/>
          <w:lang w:val="zh-CN"/>
        </w:rPr>
        <w:t>专款专用</w:t>
      </w:r>
      <w:r>
        <w:rPr>
          <w:rFonts w:hint="default" w:ascii="Times New Roman" w:hAnsi="Times New Roman" w:eastAsia="仿宋_GB2312" w:cs="Times New Roman"/>
          <w:color w:val="auto"/>
          <w:sz w:val="32"/>
          <w:szCs w:val="32"/>
        </w:rPr>
        <w:t>要求</w:t>
      </w:r>
      <w:r>
        <w:rPr>
          <w:rFonts w:hint="default" w:ascii="Times New Roman" w:hAnsi="Times New Roman" w:eastAsia="仿宋_GB2312" w:cs="Times New Roman"/>
          <w:color w:val="auto"/>
          <w:sz w:val="32"/>
          <w:szCs w:val="32"/>
          <w:lang w:val="zh-CN"/>
        </w:rPr>
        <w:t>，资金发放复查由财务人员按照财务制度进行资金的审核、支付和核算，所有支出均以转账方式进行，在具体支付时，具备了资金发票、合同、验收清单等相关材料，手续完善，不存在虚假会计凭证的情况。</w:t>
      </w:r>
      <w:r>
        <w:rPr>
          <w:rFonts w:hint="default" w:ascii="Times New Roman" w:hAnsi="Times New Roman" w:eastAsia="仿宋_GB2312" w:cs="Times New Roman"/>
          <w:color w:val="auto"/>
          <w:sz w:val="32"/>
          <w:szCs w:val="32"/>
        </w:rPr>
        <w:t>未发现</w:t>
      </w:r>
      <w:r>
        <w:rPr>
          <w:rFonts w:hint="default" w:ascii="Times New Roman" w:hAnsi="Times New Roman" w:eastAsia="仿宋_GB2312" w:cs="Times New Roman"/>
          <w:color w:val="auto"/>
          <w:sz w:val="32"/>
          <w:szCs w:val="32"/>
          <w:lang w:val="zh-CN"/>
        </w:rPr>
        <w:t>项目实施单位</w:t>
      </w:r>
      <w:r>
        <w:rPr>
          <w:rFonts w:hint="default" w:ascii="Times New Roman" w:hAnsi="Times New Roman" w:eastAsia="仿宋_GB2312" w:cs="Times New Roman"/>
          <w:color w:val="auto"/>
          <w:sz w:val="32"/>
          <w:szCs w:val="32"/>
        </w:rPr>
        <w:t>挪用、截留、滞留、挤占或置换工程专项资金的情况。</w:t>
      </w:r>
    </w:p>
    <w:p>
      <w:pPr>
        <w:pageBreakBefore w:val="0"/>
        <w:kinsoku/>
        <w:wordWrap/>
        <w:overflowPunct/>
        <w:topLinePunct w:val="0"/>
        <w:bidi w:val="0"/>
        <w:spacing w:line="560" w:lineRule="exact"/>
        <w:ind w:firstLine="640"/>
        <w:rPr>
          <w:rFonts w:hint="default" w:ascii="Times New Roman" w:hAnsi="Times New Roman" w:eastAsia="楷体_GB2312" w:cs="Times New Roman"/>
          <w:b/>
          <w:bCs w:val="0"/>
          <w:color w:val="auto"/>
          <w:sz w:val="32"/>
        </w:rPr>
      </w:pPr>
      <w:r>
        <w:rPr>
          <w:rFonts w:hint="default" w:ascii="Times New Roman" w:hAnsi="Times New Roman" w:eastAsia="楷体_GB2312" w:cs="Times New Roman"/>
          <w:b/>
          <w:bCs w:val="0"/>
          <w:color w:val="auto"/>
          <w:sz w:val="32"/>
        </w:rPr>
        <w:t>（四）项目监管情况。</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各地各部门</w:t>
      </w:r>
      <w:r>
        <w:rPr>
          <w:rFonts w:hint="default" w:ascii="Times New Roman" w:hAnsi="Times New Roman" w:eastAsia="仿宋_GB2312" w:cs="Times New Roman"/>
          <w:color w:val="auto"/>
          <w:sz w:val="32"/>
          <w:szCs w:val="32"/>
          <w:lang w:val="zh-CN"/>
        </w:rPr>
        <w:t>明确各自职能职责，严格落实投资计划执行和项目实施日常监管直接责任，全面压实项目业主单位主体责任，</w:t>
      </w:r>
      <w:r>
        <w:rPr>
          <w:rFonts w:hint="default" w:ascii="Times New Roman" w:hAnsi="Times New Roman" w:eastAsia="仿宋_GB2312" w:cs="Times New Roman"/>
          <w:color w:val="auto"/>
          <w:sz w:val="32"/>
        </w:rPr>
        <w:t>落细落实项目资金管理、档案管理、质量监管、安全施工、公开公示、信息化管理等日常工作，做到资金到项目、管理到项目、核算到项目、责任到项目。</w:t>
      </w:r>
      <w:r>
        <w:rPr>
          <w:rFonts w:hint="default" w:ascii="Times New Roman" w:hAnsi="Times New Roman" w:eastAsia="仿宋_GB2312" w:cs="Times New Roman"/>
          <w:color w:val="auto"/>
          <w:sz w:val="32"/>
          <w:szCs w:val="32"/>
          <w:lang w:val="zh-CN"/>
        </w:rPr>
        <w:t>各相关实施单位严格执行相关法律法规及项目管理制度，严格按照法律法规实施招投标、政府采购、项目公示制等相关规定</w:t>
      </w:r>
      <w:r>
        <w:rPr>
          <w:rFonts w:hint="default" w:ascii="Times New Roman" w:hAnsi="Times New Roman" w:eastAsia="仿宋_GB2312" w:cs="Times New Roman"/>
          <w:color w:val="auto"/>
          <w:sz w:val="32"/>
          <w:szCs w:val="32"/>
        </w:rPr>
        <w:t>实施。</w:t>
      </w:r>
    </w:p>
    <w:p>
      <w:pPr>
        <w:pageBreakBefore w:val="0"/>
        <w:kinsoku/>
        <w:wordWrap/>
        <w:overflowPunct/>
        <w:topLinePunct w:val="0"/>
        <w:bidi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业主单位成立相应的项目管理机构，负责具体组织实施和管理项目建设，细化管理，确定质量、进度、安全生产责任人，确定质量目标、工期目标、安全目标，落实相关管理人员的岗位职责。认真做好年度项目建设工作的组织与实施，及时报告建设进度、安全生产、质量管理、工作建议以及存在问题等情况。各地</w:t>
      </w:r>
      <w:r>
        <w:rPr>
          <w:rFonts w:hint="default" w:ascii="Times New Roman" w:hAnsi="Times New Roman" w:eastAsia="仿宋_GB2312" w:cs="Times New Roman"/>
          <w:color w:val="auto"/>
          <w:sz w:val="32"/>
          <w:szCs w:val="32"/>
          <w:lang w:val="zh-CN"/>
        </w:rPr>
        <w:t>采取督促自查、实地调研抽查、联合有关部门不定期检查、专项督导、在线监测等多种方式对项目进行全过程监管，</w:t>
      </w:r>
      <w:r>
        <w:rPr>
          <w:rFonts w:hint="default" w:ascii="Times New Roman" w:hAnsi="Times New Roman" w:eastAsia="仿宋_GB2312" w:cs="Times New Roman"/>
          <w:color w:val="auto"/>
          <w:sz w:val="32"/>
          <w:szCs w:val="32"/>
        </w:rPr>
        <w:t>开展现场调研指导，协调解决问题，确保</w:t>
      </w:r>
      <w:r>
        <w:rPr>
          <w:rFonts w:hint="default" w:ascii="Times New Roman" w:hAnsi="Times New Roman" w:eastAsia="仿宋_GB2312" w:cs="Times New Roman"/>
          <w:color w:val="auto"/>
          <w:sz w:val="32"/>
          <w:szCs w:val="32"/>
          <w:lang w:val="zh-CN"/>
        </w:rPr>
        <w:t>项目资金合理使用和</w:t>
      </w:r>
      <w:r>
        <w:rPr>
          <w:rFonts w:hint="default" w:ascii="Times New Roman" w:hAnsi="Times New Roman" w:eastAsia="仿宋_GB2312" w:cs="Times New Roman"/>
          <w:color w:val="auto"/>
          <w:sz w:val="32"/>
          <w:szCs w:val="32"/>
        </w:rPr>
        <w:t>项目顺利实施。业主单位每月10日前通过四川省投资项目管理平台（即“项目一张网”）在线调度。</w:t>
      </w:r>
    </w:p>
    <w:p>
      <w:pPr>
        <w:pageBreakBefore w:val="0"/>
        <w:kinsoku/>
        <w:wordWrap/>
        <w:overflowPunct/>
        <w:topLinePunct w:val="0"/>
        <w:bidi w:val="0"/>
        <w:adjustRightInd w:val="0"/>
        <w:snapToGrid w:val="0"/>
        <w:spacing w:line="560" w:lineRule="exact"/>
        <w:ind w:firstLine="720"/>
        <w:rPr>
          <w:rFonts w:hint="default" w:ascii="Times New Roman" w:hAnsi="Times New Roman" w:eastAsia="仿宋_GB2312" w:cs="Times New Roman"/>
          <w:color w:val="auto"/>
          <w:sz w:val="32"/>
          <w:lang w:val="zh-CN"/>
        </w:rPr>
      </w:pPr>
      <w:r>
        <w:rPr>
          <w:rFonts w:hint="default" w:ascii="Times New Roman" w:hAnsi="Times New Roman" w:eastAsia="黑体" w:cs="Times New Roman"/>
          <w:color w:val="auto"/>
          <w:sz w:val="32"/>
        </w:rPr>
        <w:t>三、绩效自评情况</w:t>
      </w:r>
      <w:r>
        <w:rPr>
          <w:rFonts w:hint="default" w:ascii="Times New Roman" w:hAnsi="Times New Roman" w:eastAsia="仿宋_GB2312" w:cs="Times New Roman"/>
          <w:color w:val="auto"/>
          <w:sz w:val="32"/>
          <w:lang w:val="zh-CN"/>
        </w:rPr>
        <w:tab/>
      </w:r>
    </w:p>
    <w:p>
      <w:pPr>
        <w:pageBreakBefore w:val="0"/>
        <w:kinsoku/>
        <w:wordWrap/>
        <w:overflowPunct/>
        <w:topLinePunct w:val="0"/>
        <w:bidi w:val="0"/>
        <w:spacing w:line="560" w:lineRule="exact"/>
        <w:ind w:firstLine="640"/>
        <w:rPr>
          <w:rFonts w:hint="default" w:ascii="Times New Roman" w:hAnsi="Times New Roman" w:eastAsia="楷体_GB2312" w:cs="Times New Roman"/>
          <w:b/>
          <w:bCs w:val="0"/>
          <w:color w:val="auto"/>
          <w:sz w:val="32"/>
          <w:lang w:val="zh-CN"/>
        </w:rPr>
      </w:pPr>
      <w:r>
        <w:rPr>
          <w:rFonts w:hint="default" w:ascii="Times New Roman" w:hAnsi="Times New Roman" w:eastAsia="楷体_GB2312" w:cs="Times New Roman"/>
          <w:b/>
          <w:bCs w:val="0"/>
          <w:color w:val="auto"/>
          <w:sz w:val="32"/>
          <w:lang w:val="zh-CN"/>
        </w:rPr>
        <w:t>（一）项目实施顺利。</w:t>
      </w:r>
    </w:p>
    <w:p>
      <w:pPr>
        <w:pageBreakBefore w:val="0"/>
        <w:kinsoku/>
        <w:wordWrap/>
        <w:overflowPunct/>
        <w:topLinePunct w:val="0"/>
        <w:bidi w:val="0"/>
        <w:adjustRightInd w:val="0"/>
        <w:snapToGrid w:val="0"/>
        <w:spacing w:line="560" w:lineRule="exact"/>
        <w:ind w:firstLine="720"/>
        <w:rPr>
          <w:rFonts w:hint="default" w:ascii="Times New Roman" w:hAnsi="Times New Roman" w:eastAsia="楷体_GB2312" w:cs="Times New Roman"/>
          <w:b/>
          <w:color w:val="auto"/>
          <w:sz w:val="32"/>
          <w:lang w:val="zh-CN"/>
        </w:rPr>
      </w:pPr>
      <w:r>
        <w:rPr>
          <w:rFonts w:hint="default" w:ascii="Times New Roman" w:hAnsi="Times New Roman" w:eastAsia="仿宋_GB2312" w:cs="Times New Roman"/>
          <w:color w:val="auto"/>
          <w:sz w:val="32"/>
          <w:szCs w:val="32"/>
        </w:rPr>
        <w:t>总体看，2021年省预算内基本建设投资项目按规划计划顺利实施，完成预期建设任务，项目如期开工，在建项目正加快建设进度，实施进度良好，资金到位率100%。部分重大项目以及关系社会民生的项目基本完工并投入运行使用，如全省2021年度四川省公（专）用充电基础设施</w:t>
      </w:r>
      <w:r>
        <w:rPr>
          <w:rFonts w:hint="default" w:ascii="Times New Roman" w:hAnsi="Times New Roman" w:eastAsia="仿宋_GB2312" w:cs="Times New Roman"/>
          <w:color w:val="auto"/>
          <w:sz w:val="32"/>
          <w:szCs w:val="32"/>
          <w:lang w:val="zh-CN"/>
        </w:rPr>
        <w:t>项目共</w:t>
      </w:r>
      <w:r>
        <w:rPr>
          <w:rFonts w:hint="default" w:ascii="Times New Roman" w:hAnsi="Times New Roman" w:eastAsia="仿宋_GB2312" w:cs="Times New Roman"/>
          <w:color w:val="auto"/>
          <w:sz w:val="32"/>
          <w:szCs w:val="32"/>
        </w:rPr>
        <w:t>100</w:t>
      </w:r>
      <w:r>
        <w:rPr>
          <w:rFonts w:hint="default" w:ascii="Times New Roman" w:hAnsi="Times New Roman" w:eastAsia="仿宋_GB2312" w:cs="Times New Roman"/>
          <w:color w:val="auto"/>
          <w:sz w:val="32"/>
          <w:szCs w:val="32"/>
          <w:lang w:val="zh-CN"/>
        </w:rPr>
        <w:t>个，均</w:t>
      </w:r>
      <w:r>
        <w:rPr>
          <w:rFonts w:hint="default" w:ascii="Times New Roman" w:hAnsi="Times New Roman" w:eastAsia="仿宋_GB2312" w:cs="Times New Roman"/>
          <w:color w:val="auto"/>
          <w:sz w:val="32"/>
          <w:szCs w:val="32"/>
        </w:rPr>
        <w:t>已</w:t>
      </w:r>
      <w:r>
        <w:rPr>
          <w:rFonts w:hint="default" w:ascii="Times New Roman" w:hAnsi="Times New Roman" w:eastAsia="仿宋_GB2312" w:cs="Times New Roman"/>
          <w:color w:val="auto"/>
          <w:sz w:val="32"/>
          <w:szCs w:val="32"/>
          <w:lang w:val="zh-CN"/>
        </w:rPr>
        <w:t>完成目标任务建设、验收、通电、投运及联网，镇巴（川陕界）至广安高速公路王坪至通江段、王坪烈士陵园景区外环道路建成通车，</w:t>
      </w:r>
      <w:r>
        <w:rPr>
          <w:rFonts w:hint="default" w:ascii="Times New Roman" w:hAnsi="Times New Roman" w:eastAsia="仿宋_GB2312" w:cs="Times New Roman"/>
          <w:color w:val="auto"/>
          <w:sz w:val="32"/>
          <w:szCs w:val="32"/>
        </w:rPr>
        <w:t>两项改革“后半篇”文章中3个农村电网改造升级项目已全部完工，</w:t>
      </w:r>
      <w:r>
        <w:rPr>
          <w:rFonts w:hint="default" w:ascii="Times New Roman" w:hAnsi="Times New Roman" w:eastAsia="仿宋_GB2312" w:cs="Times New Roman"/>
          <w:color w:val="auto"/>
          <w:sz w:val="32"/>
        </w:rPr>
        <w:t>完成10千伏线路132.8千米、低压线路686.9千米</w:t>
      </w:r>
      <w:r>
        <w:rPr>
          <w:rFonts w:hint="default" w:ascii="Times New Roman" w:hAnsi="Times New Roman" w:eastAsia="仿宋_GB2312" w:cs="Times New Roman"/>
          <w:color w:val="auto"/>
          <w:sz w:val="33"/>
          <w:szCs w:val="33"/>
        </w:rPr>
        <w:t>，</w:t>
      </w:r>
      <w:r>
        <w:rPr>
          <w:rFonts w:hint="default" w:ascii="Times New Roman" w:hAnsi="Times New Roman" w:eastAsia="仿宋_GB2312" w:cs="Times New Roman"/>
          <w:color w:val="auto"/>
          <w:sz w:val="32"/>
          <w:szCs w:val="32"/>
        </w:rPr>
        <w:t>24个</w:t>
      </w:r>
      <w:r>
        <w:rPr>
          <w:rFonts w:hint="default" w:ascii="Times New Roman" w:hAnsi="Times New Roman" w:eastAsia="仿宋_GB2312" w:cs="Times New Roman"/>
          <w:color w:val="auto"/>
          <w:sz w:val="32"/>
          <w:lang w:val="zh-CN"/>
        </w:rPr>
        <w:t>煤矿安全改造项目</w:t>
      </w:r>
      <w:r>
        <w:rPr>
          <w:rFonts w:hint="default" w:ascii="Times New Roman" w:hAnsi="Times New Roman" w:eastAsia="仿宋_GB2312" w:cs="Times New Roman"/>
          <w:color w:val="auto"/>
          <w:sz w:val="32"/>
          <w:szCs w:val="32"/>
          <w:lang w:val="zh-CN"/>
        </w:rPr>
        <w:t>已全部完工，</w:t>
      </w:r>
      <w:r>
        <w:rPr>
          <w:rFonts w:hint="default" w:ascii="Times New Roman" w:hAnsi="Times New Roman" w:eastAsia="仿宋_GB2312" w:cs="Times New Roman"/>
          <w:color w:val="auto"/>
          <w:sz w:val="32"/>
          <w:szCs w:val="32"/>
        </w:rPr>
        <w:t>10个以工代赈项目</w:t>
      </w:r>
      <w:r>
        <w:rPr>
          <w:rFonts w:hint="default" w:ascii="Times New Roman" w:hAnsi="Times New Roman" w:eastAsia="仿宋_GB2312" w:cs="Times New Roman"/>
          <w:bCs/>
          <w:color w:val="auto"/>
          <w:sz w:val="32"/>
        </w:rPr>
        <w:t>已全部完工</w:t>
      </w: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sz w:val="32"/>
          <w:lang w:val="zh-CN"/>
        </w:rPr>
        <w:t>部分项目超额完成预期目标，如宜宾三江新区2021年省级新区年度计划完成率</w:t>
      </w:r>
      <w:r>
        <w:rPr>
          <w:rFonts w:hint="default" w:ascii="Times New Roman" w:hAnsi="Times New Roman" w:eastAsia="仿宋_GB2312" w:cs="Times New Roman"/>
          <w:color w:val="auto"/>
          <w:sz w:val="32"/>
        </w:rPr>
        <w:t>137</w:t>
      </w:r>
      <w:r>
        <w:rPr>
          <w:rFonts w:hint="default" w:ascii="Times New Roman" w:hAnsi="Times New Roman" w:eastAsia="仿宋_GB2312" w:cs="Times New Roman"/>
          <w:color w:val="auto"/>
          <w:sz w:val="32"/>
          <w:lang w:val="zh-CN"/>
        </w:rPr>
        <w:t>%，南充临江新区2021年省级新区年度计划完成率1</w:t>
      </w:r>
      <w:r>
        <w:rPr>
          <w:rFonts w:hint="default" w:ascii="Times New Roman" w:hAnsi="Times New Roman" w:eastAsia="仿宋_GB2312" w:cs="Times New Roman"/>
          <w:color w:val="auto"/>
          <w:sz w:val="32"/>
        </w:rPr>
        <w:t>05.7</w:t>
      </w:r>
      <w:r>
        <w:rPr>
          <w:rFonts w:hint="default" w:ascii="Times New Roman" w:hAnsi="Times New Roman" w:eastAsia="仿宋_GB2312" w:cs="Times New Roman"/>
          <w:color w:val="auto"/>
          <w:sz w:val="32"/>
          <w:lang w:val="zh-CN"/>
        </w:rPr>
        <w:t>%，绵阳科技城新区2021年省级新区年度计划完成率</w:t>
      </w:r>
      <w:r>
        <w:rPr>
          <w:rFonts w:hint="default" w:ascii="Times New Roman" w:hAnsi="Times New Roman" w:eastAsia="仿宋_GB2312" w:cs="Times New Roman"/>
          <w:color w:val="auto"/>
          <w:sz w:val="32"/>
        </w:rPr>
        <w:t>101.5</w:t>
      </w:r>
      <w:r>
        <w:rPr>
          <w:rFonts w:hint="default" w:ascii="Times New Roman" w:hAnsi="Times New Roman" w:eastAsia="仿宋_GB2312" w:cs="Times New Roman"/>
          <w:color w:val="auto"/>
          <w:sz w:val="32"/>
          <w:lang w:val="zh-CN"/>
        </w:rPr>
        <w:t>%。</w:t>
      </w:r>
    </w:p>
    <w:p>
      <w:pPr>
        <w:pageBreakBefore w:val="0"/>
        <w:kinsoku/>
        <w:wordWrap/>
        <w:overflowPunct/>
        <w:topLinePunct w:val="0"/>
        <w:bidi w:val="0"/>
        <w:spacing w:line="560" w:lineRule="exact"/>
        <w:ind w:firstLine="640"/>
        <w:rPr>
          <w:rFonts w:hint="default" w:ascii="Times New Roman" w:hAnsi="Times New Roman" w:eastAsia="楷体_GB2312" w:cs="Times New Roman"/>
          <w:b/>
          <w:bCs w:val="0"/>
          <w:color w:val="auto"/>
          <w:sz w:val="32"/>
          <w:lang w:val="zh-CN"/>
        </w:rPr>
      </w:pPr>
      <w:r>
        <w:rPr>
          <w:rFonts w:hint="default" w:ascii="Times New Roman" w:hAnsi="Times New Roman" w:eastAsia="楷体_GB2312" w:cs="Times New Roman"/>
          <w:b/>
          <w:bCs w:val="0"/>
          <w:color w:val="auto"/>
          <w:sz w:val="32"/>
          <w:lang w:val="zh-CN"/>
        </w:rPr>
        <w:t>（二）效益充分发挥。</w:t>
      </w:r>
    </w:p>
    <w:p>
      <w:pPr>
        <w:pageBreakBefore w:val="0"/>
        <w:kinsoku/>
        <w:wordWrap/>
        <w:overflowPunct/>
        <w:topLinePunct w:val="0"/>
        <w:bidi w:val="0"/>
        <w:adjustRightInd w:val="0"/>
        <w:snapToGrid w:val="0"/>
        <w:spacing w:line="560" w:lineRule="exact"/>
        <w:ind w:firstLine="640" w:firstLineChars="200"/>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省预算内基本建设投资</w:t>
      </w:r>
      <w:r>
        <w:rPr>
          <w:rFonts w:hint="default" w:ascii="Times New Roman" w:hAnsi="Times New Roman" w:eastAsia="仿宋_GB2312" w:cs="Times New Roman"/>
          <w:color w:val="auto"/>
          <w:sz w:val="32"/>
          <w:szCs w:val="32"/>
        </w:rPr>
        <w:t>主要安排省委、省政府确定支持的、关乎社会民生福祉的重大项目</w:t>
      </w:r>
      <w:r>
        <w:rPr>
          <w:rFonts w:hint="default" w:ascii="Times New Roman" w:hAnsi="Times New Roman" w:eastAsia="仿宋_GB2312" w:cs="Times New Roman"/>
          <w:color w:val="auto"/>
          <w:sz w:val="32"/>
          <w:szCs w:val="32"/>
          <w:lang w:val="zh-CN"/>
        </w:rPr>
        <w:t>，有力推动了全省重点项目建设，有效发挥了省预算内资金效益，为全省投资稳定增长、经济平稳发展、</w:t>
      </w:r>
      <w:r>
        <w:rPr>
          <w:rFonts w:hint="default" w:ascii="Times New Roman" w:hAnsi="Times New Roman" w:eastAsia="仿宋_GB2312" w:cs="Times New Roman"/>
          <w:color w:val="auto"/>
          <w:sz w:val="32"/>
          <w:szCs w:val="32"/>
        </w:rPr>
        <w:t>公共服务水平提升、科技成果转化</w:t>
      </w:r>
      <w:r>
        <w:rPr>
          <w:rFonts w:hint="default" w:ascii="Times New Roman" w:hAnsi="Times New Roman" w:eastAsia="仿宋_GB2312" w:cs="Times New Roman"/>
          <w:color w:val="auto"/>
          <w:sz w:val="32"/>
          <w:szCs w:val="32"/>
          <w:lang w:val="zh-CN"/>
        </w:rPr>
        <w:t>起到了积极作用。</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color w:val="auto"/>
          <w:sz w:val="32"/>
          <w:lang w:val="zh-CN"/>
        </w:rPr>
      </w:pPr>
      <w:r>
        <w:rPr>
          <w:rFonts w:hint="default" w:ascii="Times New Roman" w:hAnsi="Times New Roman" w:eastAsia="仿宋_GB2312" w:cs="Times New Roman"/>
          <w:b/>
          <w:bCs/>
          <w:color w:val="auto"/>
          <w:kern w:val="0"/>
          <w:sz w:val="32"/>
          <w:lang w:val="zh-CN"/>
        </w:rPr>
        <w:t>——经济效益</w:t>
      </w:r>
      <w:r>
        <w:rPr>
          <w:rFonts w:hint="default" w:ascii="Times New Roman" w:hAnsi="Times New Roman" w:eastAsia="仿宋_GB2312" w:cs="Times New Roman"/>
          <w:b/>
          <w:bCs/>
          <w:color w:val="auto"/>
          <w:kern w:val="0"/>
          <w:sz w:val="32"/>
        </w:rPr>
        <w:t>方面</w:t>
      </w:r>
      <w:r>
        <w:rPr>
          <w:rFonts w:hint="default" w:ascii="Times New Roman" w:hAnsi="Times New Roman" w:eastAsia="仿宋_GB2312" w:cs="Times New Roman"/>
          <w:b/>
          <w:bCs/>
          <w:color w:val="auto"/>
          <w:kern w:val="0"/>
          <w:sz w:val="32"/>
          <w:lang w:val="zh-CN"/>
        </w:rPr>
        <w:t>。</w:t>
      </w:r>
      <w:r>
        <w:rPr>
          <w:rFonts w:hint="default" w:ascii="Times New Roman" w:hAnsi="Times New Roman" w:eastAsia="仿宋_GB2312" w:cs="Times New Roman"/>
          <w:color w:val="auto"/>
          <w:kern w:val="0"/>
          <w:sz w:val="32"/>
        </w:rPr>
        <w:t>通过省预算内基本建设投资引导，有效带动地方政府和社会资本投资，202</w:t>
      </w:r>
      <w:r>
        <w:rPr>
          <w:rFonts w:hint="default" w:ascii="Times New Roman" w:hAnsi="Times New Roman" w:cs="Times New Roman"/>
          <w:color w:val="auto"/>
          <w:kern w:val="0"/>
          <w:sz w:val="32"/>
        </w:rPr>
        <w:t>1</w:t>
      </w:r>
      <w:r>
        <w:rPr>
          <w:rFonts w:hint="default" w:ascii="Times New Roman" w:hAnsi="Times New Roman" w:eastAsia="仿宋_GB2312" w:cs="Times New Roman"/>
          <w:color w:val="auto"/>
          <w:kern w:val="0"/>
          <w:sz w:val="32"/>
        </w:rPr>
        <w:t>年省预算内投资安排资金</w:t>
      </w:r>
      <w:r>
        <w:rPr>
          <w:rFonts w:hint="default" w:ascii="Times New Roman" w:hAnsi="Times New Roman" w:cs="Times New Roman"/>
          <w:color w:val="auto"/>
          <w:kern w:val="0"/>
          <w:sz w:val="32"/>
        </w:rPr>
        <w:t>70</w:t>
      </w:r>
      <w:r>
        <w:rPr>
          <w:rFonts w:hint="default" w:ascii="Times New Roman" w:hAnsi="Times New Roman" w:eastAsia="仿宋_GB2312" w:cs="Times New Roman"/>
          <w:color w:val="auto"/>
          <w:kern w:val="0"/>
          <w:sz w:val="32"/>
        </w:rPr>
        <w:t>亿元，带动项目总投资超</w:t>
      </w:r>
      <w:r>
        <w:rPr>
          <w:rFonts w:hint="default" w:ascii="Times New Roman" w:hAnsi="Times New Roman" w:eastAsia="仿宋_GB2312" w:cs="Times New Roman"/>
          <w:color w:val="auto"/>
          <w:sz w:val="32"/>
          <w:szCs w:val="32"/>
        </w:rPr>
        <w:t>千亿</w:t>
      </w:r>
      <w:r>
        <w:rPr>
          <w:rFonts w:hint="default" w:ascii="Times New Roman" w:hAnsi="Times New Roman" w:eastAsia="仿宋_GB2312" w:cs="Times New Roman"/>
          <w:color w:val="auto"/>
          <w:kern w:val="0"/>
          <w:sz w:val="32"/>
        </w:rPr>
        <w:t>，促投资、稳增长成效明显。如成都至自贡至宜宾高速铁路、渝昆高铁、成都至西宁铁路等建成后将增加省境内约617公里铁路网络，进一步完善国家中长期铁路网规划的</w:t>
      </w:r>
      <w:r>
        <w:rPr>
          <w:rFonts w:hint="default" w:ascii="Times New Roman" w:hAnsi="Times New Roman" w:cs="Times New Roman"/>
          <w:color w:val="auto"/>
          <w:kern w:val="0"/>
          <w:sz w:val="32"/>
        </w:rPr>
        <w:t>“</w:t>
      </w:r>
      <w:r>
        <w:rPr>
          <w:rFonts w:hint="default" w:ascii="Times New Roman" w:hAnsi="Times New Roman" w:eastAsia="仿宋_GB2312" w:cs="Times New Roman"/>
          <w:color w:val="auto"/>
          <w:kern w:val="0"/>
          <w:sz w:val="32"/>
        </w:rPr>
        <w:t>四纵四横</w:t>
      </w:r>
      <w:r>
        <w:rPr>
          <w:rFonts w:hint="default" w:ascii="Times New Roman" w:hAnsi="Times New Roman" w:cs="Times New Roman"/>
          <w:color w:val="auto"/>
          <w:kern w:val="0"/>
          <w:sz w:val="32"/>
        </w:rPr>
        <w:t>”</w:t>
      </w:r>
      <w:r>
        <w:rPr>
          <w:rFonts w:hint="default" w:ascii="Times New Roman" w:hAnsi="Times New Roman" w:eastAsia="仿宋_GB2312" w:cs="Times New Roman"/>
          <w:color w:val="auto"/>
          <w:kern w:val="0"/>
          <w:sz w:val="32"/>
        </w:rPr>
        <w:t>客运铁路专线的布局结构，</w:t>
      </w:r>
      <w:r>
        <w:rPr>
          <w:rFonts w:hint="default" w:ascii="Times New Roman" w:hAnsi="Times New Roman" w:eastAsia="仿宋_GB2312" w:cs="Times New Roman"/>
          <w:color w:val="auto"/>
          <w:sz w:val="32"/>
          <w:szCs w:val="32"/>
        </w:rPr>
        <w:t>带动西部地区的经济社会发展</w:t>
      </w:r>
      <w:r>
        <w:rPr>
          <w:rFonts w:hint="default" w:ascii="Times New Roman" w:hAnsi="Times New Roman" w:eastAsia="仿宋_GB2312" w:cs="Times New Roman"/>
          <w:color w:val="auto"/>
          <w:kern w:val="0"/>
          <w:sz w:val="32"/>
        </w:rPr>
        <w:t>；</w:t>
      </w:r>
      <w:r>
        <w:rPr>
          <w:rFonts w:hint="default" w:ascii="Times New Roman" w:hAnsi="Times New Roman" w:eastAsia="仿宋_GB2312" w:cs="Times New Roman"/>
          <w:color w:val="auto"/>
          <w:sz w:val="32"/>
          <w:lang w:val="zh-CN"/>
        </w:rPr>
        <w:t>四川省1</w:t>
      </w:r>
      <w:r>
        <w:rPr>
          <w:rFonts w:hint="default" w:ascii="Times New Roman" w:hAnsi="Times New Roman" w:cs="Times New Roman"/>
          <w:color w:val="auto"/>
          <w:sz w:val="32"/>
          <w:lang w:val="zh-CN"/>
        </w:rPr>
        <w:t>∶</w:t>
      </w:r>
      <w:r>
        <w:rPr>
          <w:rFonts w:hint="default" w:ascii="Times New Roman" w:hAnsi="Times New Roman" w:eastAsia="仿宋_GB2312" w:cs="Times New Roman"/>
          <w:color w:val="auto"/>
          <w:sz w:val="32"/>
          <w:lang w:val="zh-CN"/>
        </w:rPr>
        <w:t>1万无图区域测图工程</w:t>
      </w:r>
      <w:r>
        <w:rPr>
          <w:rFonts w:hint="default" w:ascii="Times New Roman" w:hAnsi="Times New Roman" w:eastAsia="仿宋_GB2312" w:cs="Times New Roman"/>
          <w:color w:val="auto"/>
          <w:sz w:val="32"/>
        </w:rPr>
        <w:t>可降低地理信息应用成本，扩大地理信息应用范围，避免各个行业重复测绘造成的资金和资源浪费，促进我省测绘地理信息产业发展，带动相关产业的快速发展；</w:t>
      </w:r>
      <w:r>
        <w:rPr>
          <w:rFonts w:hint="default" w:ascii="Times New Roman" w:hAnsi="Times New Roman" w:eastAsia="仿宋_GB2312" w:cs="Times New Roman"/>
          <w:bCs/>
          <w:color w:val="auto"/>
          <w:sz w:val="32"/>
        </w:rPr>
        <w:t>公共就业项目建成后将为失业妇女、下岗妇女和农村留守妇女提供技能培训，提供就业岗位，带动妇女就业同时促进产业发展；</w:t>
      </w:r>
      <w:r>
        <w:rPr>
          <w:rFonts w:hint="default" w:ascii="Times New Roman" w:hAnsi="Times New Roman" w:eastAsia="仿宋_GB2312" w:cs="Times New Roman"/>
          <w:color w:val="auto"/>
          <w:sz w:val="32"/>
          <w:szCs w:val="32"/>
        </w:rPr>
        <w:t>四川省气象灾害监测预警体系建设项目</w:t>
      </w:r>
      <w:r>
        <w:rPr>
          <w:rFonts w:hint="default" w:ascii="Times New Roman" w:hAnsi="Times New Roman" w:eastAsia="仿宋_GB2312" w:cs="Times New Roman"/>
          <w:color w:val="auto"/>
          <w:sz w:val="32"/>
          <w:lang w:val="zh-CN"/>
        </w:rPr>
        <w:t>建成后，将进一步提升气象保障地方经济发展的能力，有效降低气象灾害造成的经济损失，增雨防雹的直接经济效益每年共计增加4～6亿元，其中，增雨直接经济效益约2～3亿元，防雹直接经济效益可增加2～3亿元；</w:t>
      </w:r>
      <w:r>
        <w:rPr>
          <w:rFonts w:hint="default" w:ascii="Times New Roman" w:hAnsi="Times New Roman" w:eastAsia="仿宋_GB2312" w:cs="Times New Roman"/>
          <w:color w:val="auto"/>
          <w:sz w:val="32"/>
          <w:szCs w:val="32"/>
        </w:rPr>
        <w:t>水文基础设施工程的建设可以更加准确及时地提供水文情报和数据，大幅度地减少灾害损失、减少资源浪费，拓宽水文服务领域，提升水文服务综合效益，加强水资源的规划与管理，合理配置和协调生活、生产、生态用水；</w:t>
      </w:r>
      <w:r>
        <w:rPr>
          <w:rFonts w:hint="default" w:ascii="Times New Roman" w:hAnsi="Times New Roman" w:eastAsia="仿宋_GB2312" w:cs="Times New Roman"/>
          <w:color w:val="auto"/>
          <w:sz w:val="32"/>
        </w:rPr>
        <w:t>转化医学国家重大科技基础设施（四川）、多态耦合轨道交通动模试验平台等重大科技基础设施，</w:t>
      </w:r>
      <w:r>
        <w:rPr>
          <w:rFonts w:hint="default" w:ascii="Times New Roman" w:hAnsi="Times New Roman" w:eastAsia="仿宋_GB2312" w:cs="Times New Roman"/>
          <w:color w:val="auto"/>
          <w:sz w:val="32"/>
          <w:lang w:val="zh-CN"/>
        </w:rPr>
        <w:t>云操作系统研发与应用国家地方联合工程研究中心</w:t>
      </w:r>
      <w:r>
        <w:rPr>
          <w:rFonts w:hint="default" w:ascii="Times New Roman" w:hAnsi="Times New Roman" w:eastAsia="仿宋_GB2312" w:cs="Times New Roman"/>
          <w:color w:val="auto"/>
          <w:sz w:val="32"/>
        </w:rPr>
        <w:t>等</w:t>
      </w:r>
      <w:r>
        <w:rPr>
          <w:rFonts w:hint="default" w:ascii="Times New Roman" w:hAnsi="Times New Roman" w:eastAsia="仿宋_GB2312" w:cs="Times New Roman"/>
          <w:color w:val="auto"/>
          <w:sz w:val="32"/>
          <w:lang w:val="zh-CN"/>
        </w:rPr>
        <w:t>创新能力建设</w:t>
      </w:r>
      <w:r>
        <w:rPr>
          <w:rFonts w:hint="default" w:ascii="Times New Roman" w:hAnsi="Times New Roman" w:eastAsia="仿宋_GB2312" w:cs="Times New Roman"/>
          <w:color w:val="auto"/>
          <w:sz w:val="32"/>
        </w:rPr>
        <w:t>项目，为当地提供了劳务就业岗位，产生10余个创新技术产品或方案转让企业，项目建成后，可有效促进生物医药、轨道交通、光电技术、新型材料、智能制造等相关产业发展；</w:t>
      </w:r>
      <w:r>
        <w:rPr>
          <w:rFonts w:hint="default" w:ascii="Times New Roman" w:hAnsi="Times New Roman" w:eastAsia="仿宋_GB2312" w:cs="Times New Roman"/>
          <w:color w:val="auto"/>
          <w:sz w:val="32"/>
          <w:szCs w:val="32"/>
        </w:rPr>
        <w:t>县域经济强县培育进一步提升了项目所在特色产业园区的承载能力和服务能力，有力促进园区招商引资和产业发展，有效增加当地就业人数和就业收入；</w:t>
      </w:r>
      <w:r>
        <w:rPr>
          <w:rFonts w:hint="default" w:ascii="Times New Roman" w:hAnsi="Times New Roman" w:eastAsia="仿宋_GB2312" w:cs="Times New Roman"/>
          <w:color w:val="auto"/>
          <w:kern w:val="2"/>
          <w:sz w:val="32"/>
          <w:szCs w:val="32"/>
          <w:lang w:val="en-US" w:eastAsia="zh-CN" w:bidi="ar-SA"/>
        </w:rPr>
        <w:t>以工代赈项目建设组织群众务工，发放劳务报酬，增加群众特别是脱贫群众工资性收入，实现了绩效目标中“发放劳务报酬占省预算内投资15%即450万元以上”的要求</w:t>
      </w:r>
      <w:r>
        <w:rPr>
          <w:rFonts w:hint="default" w:ascii="Times New Roman" w:hAnsi="Times New Roman" w:eastAsia="仿宋_GB2312" w:cs="Times New Roman"/>
          <w:color w:val="auto"/>
          <w:sz w:val="32"/>
        </w:rPr>
        <w:t>。</w:t>
      </w:r>
    </w:p>
    <w:p>
      <w:pPr>
        <w:pageBreakBefore w:val="0"/>
        <w:kinsoku/>
        <w:wordWrap/>
        <w:overflowPunct/>
        <w:topLinePunct w:val="0"/>
        <w:bidi w:val="0"/>
        <w:adjustRightInd w:val="0"/>
        <w:spacing w:line="560" w:lineRule="exact"/>
        <w:ind w:firstLine="642" w:firstLineChars="200"/>
        <w:rPr>
          <w:rFonts w:hint="default" w:ascii="Times New Roman" w:hAnsi="Times New Roman" w:eastAsia="仿宋_GB2312" w:cs="Times New Roman"/>
          <w:bCs/>
          <w:color w:val="auto"/>
          <w:kern w:val="0"/>
          <w:sz w:val="32"/>
        </w:rPr>
      </w:pPr>
      <w:r>
        <w:rPr>
          <w:rFonts w:hint="default" w:ascii="Times New Roman" w:hAnsi="Times New Roman" w:eastAsia="仿宋_GB2312" w:cs="Times New Roman"/>
          <w:b/>
          <w:bCs/>
          <w:color w:val="auto"/>
          <w:kern w:val="0"/>
          <w:sz w:val="32"/>
          <w:lang w:val="zh-CN"/>
        </w:rPr>
        <w:t>——社会效益</w:t>
      </w:r>
      <w:r>
        <w:rPr>
          <w:rFonts w:hint="default" w:ascii="Times New Roman" w:hAnsi="Times New Roman" w:eastAsia="仿宋_GB2312" w:cs="Times New Roman"/>
          <w:b/>
          <w:bCs/>
          <w:color w:val="auto"/>
          <w:kern w:val="0"/>
          <w:sz w:val="32"/>
        </w:rPr>
        <w:t>方面</w:t>
      </w:r>
      <w:r>
        <w:rPr>
          <w:rFonts w:hint="default" w:ascii="Times New Roman" w:hAnsi="Times New Roman" w:eastAsia="仿宋_GB2312" w:cs="Times New Roman"/>
          <w:b/>
          <w:bCs/>
          <w:color w:val="auto"/>
          <w:kern w:val="0"/>
          <w:sz w:val="32"/>
          <w:lang w:val="zh-CN"/>
        </w:rPr>
        <w:t>。</w:t>
      </w:r>
      <w:r>
        <w:rPr>
          <w:rFonts w:hint="default" w:ascii="Times New Roman" w:hAnsi="Times New Roman" w:eastAsia="仿宋_GB2312" w:cs="Times New Roman"/>
          <w:b/>
          <w:color w:val="auto"/>
          <w:kern w:val="0"/>
          <w:sz w:val="32"/>
        </w:rPr>
        <w:t>一方面，</w:t>
      </w:r>
      <w:r>
        <w:rPr>
          <w:rFonts w:hint="default" w:ascii="Times New Roman" w:hAnsi="Times New Roman" w:eastAsia="仿宋_GB2312" w:cs="Times New Roman"/>
          <w:bCs/>
          <w:color w:val="auto"/>
          <w:kern w:val="0"/>
          <w:sz w:val="32"/>
        </w:rPr>
        <w:t>重大基础设施加快实施，补齐发展短板。作为稳增长的重要保障，交通基础设施的大力投入更加完善了我省交通网络，大大缩短了人员出行和货物流通的时间成本。乐西高速公路马边至昭觉段全长约170公里，对于巩固脱贫攻坚成果、改善群众交通出行条件发挥积极作用；森林航空消防项目切实增强了灭火时效性，提高了航空灭火效率，提升了火灾预防和扑救综合能力；农村公路36.4公里，对于改善沿线区域的社会经济环境现状，巩固拓展脱贫攻坚成果、维护民族团结具有十分重要的意义。农林水利基础设施提升城乡安全供水保障、水旱灾害防御能力，助推现代农业快速发展，如固军水库</w:t>
      </w:r>
      <w:r>
        <w:rPr>
          <w:rFonts w:hint="default" w:ascii="Times New Roman" w:hAnsi="Times New Roman" w:eastAsia="仿宋_GB2312" w:cs="Times New Roman"/>
          <w:color w:val="auto"/>
          <w:sz w:val="32"/>
          <w:szCs w:val="32"/>
        </w:rPr>
        <w:t>增强地方防洪功能，</w:t>
      </w:r>
      <w:r>
        <w:rPr>
          <w:rFonts w:hint="default" w:ascii="Times New Roman" w:hAnsi="Times New Roman" w:eastAsia="仿宋_GB2312" w:cs="Times New Roman"/>
          <w:bCs/>
          <w:color w:val="auto"/>
          <w:kern w:val="0"/>
          <w:sz w:val="32"/>
          <w:szCs w:val="32"/>
        </w:rPr>
        <w:t>永丰水库兼具南充市主城区应急备用水源、灌溉及乡村供水等综合效益，水库建成后可供城区应急用水173万立方米，向管道沿线乡村提供生活用水487万立方米，向周边沿线5.3万亩农田补充灌溉用水373万立方米；四川省气象灾害监测预警体系建设</w:t>
      </w:r>
      <w:r>
        <w:rPr>
          <w:rFonts w:hint="default" w:ascii="Times New Roman" w:hAnsi="Times New Roman" w:eastAsia="仿宋_GB2312" w:cs="Times New Roman"/>
          <w:bCs/>
          <w:color w:val="auto"/>
          <w:kern w:val="0"/>
          <w:sz w:val="32"/>
        </w:rPr>
        <w:t>项目</w:t>
      </w:r>
      <w:r>
        <w:rPr>
          <w:rFonts w:hint="default" w:ascii="Times New Roman" w:hAnsi="Times New Roman" w:eastAsia="仿宋_GB2312" w:cs="Times New Roman"/>
          <w:bCs/>
          <w:color w:val="auto"/>
          <w:kern w:val="0"/>
          <w:sz w:val="32"/>
          <w:lang w:val="zh-CN"/>
        </w:rPr>
        <w:t>建成后，将有效</w:t>
      </w:r>
      <w:r>
        <w:rPr>
          <w:rFonts w:hint="eastAsia" w:eastAsia="仿宋_GB2312" w:cs="Times New Roman"/>
          <w:bCs/>
          <w:color w:val="auto"/>
          <w:kern w:val="0"/>
          <w:sz w:val="32"/>
          <w:lang w:val="zh-CN"/>
        </w:rPr>
        <w:t>地</w:t>
      </w:r>
      <w:r>
        <w:rPr>
          <w:rFonts w:hint="default" w:ascii="Times New Roman" w:hAnsi="Times New Roman" w:eastAsia="仿宋_GB2312" w:cs="Times New Roman"/>
          <w:bCs/>
          <w:color w:val="auto"/>
          <w:kern w:val="0"/>
          <w:sz w:val="32"/>
          <w:lang w:val="zh-CN"/>
        </w:rPr>
        <w:t>提升我省适应全球气候变化，应对极端天气所造成的气象灾害及其次生灾害的能力，推动防灾减灾工作跃上新的台阶，并有效缓解我省水资源供需矛盾，保障工农业生产用水以及人民群众生活用水，进一步促进社会稳定发展；</w:t>
      </w:r>
      <w:r>
        <w:rPr>
          <w:rFonts w:hint="default" w:ascii="Times New Roman" w:hAnsi="Times New Roman" w:eastAsia="仿宋_GB2312" w:cs="Times New Roman"/>
          <w:bCs/>
          <w:color w:val="auto"/>
          <w:kern w:val="0"/>
          <w:sz w:val="32"/>
        </w:rPr>
        <w:t>水文基础设施工程为水安全保障和水生态环境保护提供准确的基础数据。</w:t>
      </w:r>
      <w:r>
        <w:rPr>
          <w:rFonts w:hint="default" w:ascii="Times New Roman" w:hAnsi="Times New Roman" w:eastAsia="仿宋_GB2312" w:cs="Times New Roman"/>
          <w:bCs/>
          <w:color w:val="auto"/>
          <w:kern w:val="0"/>
          <w:sz w:val="32"/>
          <w:lang w:val="zh-CN"/>
        </w:rPr>
        <w:t>能源基础设施中，两项改革“后半篇”文章农村电网改造升级项目合理优化了农村电网结构，逐步消除了设备过重载、供电“卡脖子”、低电压、安全隐患等问题，进一步提高农村电网的供电可靠性，满足了农村的供电增长需求，改善了农村生产生活用电环境，为区域农村经济发展提供强有力的电力支持；</w:t>
      </w:r>
      <w:r>
        <w:rPr>
          <w:rFonts w:hint="default" w:ascii="Times New Roman" w:hAnsi="Times New Roman" w:eastAsia="仿宋_GB2312" w:cs="Times New Roman"/>
          <w:bCs/>
          <w:color w:val="auto"/>
          <w:kern w:val="0"/>
          <w:sz w:val="32"/>
        </w:rPr>
        <w:t>煤矿安全改造项目使全省煤矿安全基础进一步夯实，防灾抗灾能力进一步增强，</w:t>
      </w:r>
      <w:r>
        <w:rPr>
          <w:rFonts w:hint="default" w:ascii="Times New Roman" w:hAnsi="Times New Roman" w:eastAsia="仿宋_GB2312" w:cs="Times New Roman"/>
          <w:bCs/>
          <w:color w:val="auto"/>
          <w:kern w:val="0"/>
          <w:sz w:val="32"/>
          <w:lang w:val="zh-CN"/>
        </w:rPr>
        <w:t>煤矿安全生产保障能力进一步提升</w:t>
      </w:r>
      <w:r>
        <w:rPr>
          <w:rFonts w:hint="default" w:ascii="Times New Roman" w:hAnsi="Times New Roman" w:eastAsia="仿宋_GB2312" w:cs="Times New Roman"/>
          <w:bCs/>
          <w:color w:val="auto"/>
          <w:kern w:val="0"/>
          <w:sz w:val="32"/>
        </w:rPr>
        <w:t>，全省煤矿百万吨死亡率比上年下降51%</w:t>
      </w:r>
      <w:r>
        <w:rPr>
          <w:rFonts w:hint="default" w:ascii="Times New Roman" w:hAnsi="Times New Roman" w:eastAsia="仿宋_GB2312" w:cs="Times New Roman"/>
          <w:bCs/>
          <w:color w:val="auto"/>
          <w:kern w:val="0"/>
          <w:sz w:val="32"/>
          <w:lang w:val="zh-CN"/>
        </w:rPr>
        <w:t>，项目单位（重点煤矿）煤炭生产工效持续提高，增强对全省能源兜底保障</w:t>
      </w:r>
      <w:r>
        <w:rPr>
          <w:rFonts w:hint="default" w:ascii="Times New Roman" w:hAnsi="Times New Roman" w:eastAsia="仿宋_GB2312" w:cs="Times New Roman"/>
          <w:bCs/>
          <w:color w:val="auto"/>
          <w:kern w:val="0"/>
          <w:sz w:val="32"/>
        </w:rPr>
        <w:t>。</w:t>
      </w:r>
    </w:p>
    <w:p>
      <w:pPr>
        <w:pageBreakBefore w:val="0"/>
        <w:kinsoku/>
        <w:wordWrap/>
        <w:overflowPunct/>
        <w:topLinePunct w:val="0"/>
        <w:autoSpaceDE w:val="0"/>
        <w:autoSpaceDN w:val="0"/>
        <w:bidi w:val="0"/>
        <w:adjustRightInd w:val="0"/>
        <w:spacing w:line="560" w:lineRule="exact"/>
        <w:ind w:firstLine="642" w:firstLineChars="200"/>
        <w:jc w:val="left"/>
        <w:rPr>
          <w:rFonts w:hint="default" w:ascii="Times New Roman" w:hAnsi="Times New Roman" w:eastAsia="仿宋_GB2312" w:cs="Times New Roman"/>
          <w:bCs/>
          <w:color w:val="auto"/>
          <w:kern w:val="0"/>
          <w:sz w:val="32"/>
          <w:lang w:val="zh-CN"/>
        </w:rPr>
      </w:pPr>
      <w:r>
        <w:rPr>
          <w:rFonts w:hint="default" w:ascii="Times New Roman" w:hAnsi="Times New Roman" w:eastAsia="仿宋_GB2312" w:cs="Times New Roman"/>
          <w:b/>
          <w:color w:val="auto"/>
          <w:kern w:val="0"/>
          <w:sz w:val="32"/>
        </w:rPr>
        <w:t>另一方面，</w:t>
      </w:r>
      <w:r>
        <w:rPr>
          <w:rFonts w:hint="default" w:ascii="Times New Roman" w:hAnsi="Times New Roman" w:eastAsia="仿宋_GB2312" w:cs="Times New Roman"/>
          <w:bCs/>
          <w:color w:val="auto"/>
          <w:kern w:val="0"/>
          <w:sz w:val="32"/>
        </w:rPr>
        <w:t>聚焦社会事业和民生工程，持续改善民生保障，促进社会和谐稳定。省妇女儿童中心项目</w:t>
      </w:r>
      <w:r>
        <w:rPr>
          <w:rFonts w:hint="default" w:ascii="Times New Roman" w:hAnsi="Times New Roman" w:eastAsia="仿宋_GB2312" w:cs="Times New Roman"/>
          <w:bCs/>
          <w:color w:val="auto"/>
          <w:kern w:val="0"/>
          <w:sz w:val="32"/>
          <w:lang w:val="zh-CN"/>
        </w:rPr>
        <w:t>有效整合我省妇女儿童公共服务优势资源，提高妇女儿童公共服务水平，改善妇女儿童公共服务环境，发挥其区域性指导和辐射作用，促进地方经济社会全面协调发展。医疗卫生项目的建设满足了人民群众日益增长的卫生健康需求。教育项目改善办学条件，增加优质教育资源供给，不断增强教育供给服务的可及性、普惠性、获得感。体育文化项目</w:t>
      </w:r>
      <w:r>
        <w:rPr>
          <w:rFonts w:hint="default" w:ascii="Times New Roman" w:hAnsi="Times New Roman" w:eastAsia="仿宋_GB2312" w:cs="Times New Roman"/>
          <w:bCs/>
          <w:color w:val="auto"/>
          <w:kern w:val="0"/>
          <w:sz w:val="32"/>
        </w:rPr>
        <w:t>丰富群众精神生活、推动全民健身、体育强国、推进文化保护传承</w:t>
      </w:r>
      <w:r>
        <w:rPr>
          <w:rFonts w:hint="default" w:ascii="Times New Roman" w:hAnsi="Times New Roman" w:eastAsia="仿宋_GB2312" w:cs="Times New Roman"/>
          <w:bCs/>
          <w:color w:val="auto"/>
          <w:kern w:val="0"/>
          <w:sz w:val="32"/>
          <w:lang w:val="zh-CN"/>
        </w:rPr>
        <w:t>。</w:t>
      </w:r>
      <w:r>
        <w:rPr>
          <w:rFonts w:hint="default" w:ascii="Times New Roman" w:hAnsi="Times New Roman" w:eastAsia="仿宋_GB2312" w:cs="Times New Roman"/>
          <w:bCs/>
          <w:color w:val="auto"/>
          <w:kern w:val="0"/>
          <w:sz w:val="32"/>
        </w:rPr>
        <w:t>县城新型城镇化建设示范县（市）暨小县优城创建试点专项</w:t>
      </w:r>
      <w:r>
        <w:rPr>
          <w:rFonts w:hint="default" w:ascii="Times New Roman" w:hAnsi="Times New Roman" w:eastAsia="仿宋_GB2312" w:cs="Times New Roman"/>
          <w:bCs/>
          <w:color w:val="auto"/>
          <w:kern w:val="0"/>
          <w:sz w:val="32"/>
          <w:lang w:val="zh-CN"/>
        </w:rPr>
        <w:t>有效缓解县城教育供给总量不足问题和医院门诊拥堵、“住院难”问题。四川省1</w:t>
      </w:r>
      <w:r>
        <w:rPr>
          <w:rFonts w:hint="default" w:ascii="Times New Roman" w:hAnsi="Times New Roman" w:cs="Times New Roman"/>
          <w:bCs/>
          <w:color w:val="auto"/>
          <w:kern w:val="0"/>
          <w:sz w:val="32"/>
          <w:lang w:val="zh-CN"/>
        </w:rPr>
        <w:t>∶</w:t>
      </w:r>
      <w:r>
        <w:rPr>
          <w:rFonts w:hint="default" w:ascii="Times New Roman" w:hAnsi="Times New Roman" w:eastAsia="仿宋_GB2312" w:cs="Times New Roman"/>
          <w:bCs/>
          <w:color w:val="auto"/>
          <w:kern w:val="0"/>
          <w:sz w:val="32"/>
          <w:lang w:val="zh-CN"/>
        </w:rPr>
        <w:t>1万无图区域测图工程对于提升我省测绘地理信息公共服务能力、推动防灾减灾、重大工程规划建设以及保障国防战略安全具有重要意义。完善空间定位基准现代化建设项目建成86个兼容北斗的多星多模基准站，进一步扩大我省北斗实时、动态、高精度位置服务覆盖范围。</w:t>
      </w:r>
      <w:r>
        <w:rPr>
          <w:rFonts w:hint="default" w:ascii="Times New Roman" w:hAnsi="Times New Roman" w:eastAsia="仿宋_GB2312" w:cs="Times New Roman"/>
          <w:bCs/>
          <w:color w:val="auto"/>
          <w:kern w:val="0"/>
          <w:sz w:val="32"/>
        </w:rPr>
        <w:t>转化医学国家重大科技基础设施（四川）、多态耦合轨道交通动模试验平台等重大科技基础设施，</w:t>
      </w:r>
      <w:r>
        <w:rPr>
          <w:rFonts w:hint="default" w:ascii="Times New Roman" w:hAnsi="Times New Roman" w:eastAsia="仿宋_GB2312" w:cs="Times New Roman"/>
          <w:bCs/>
          <w:color w:val="auto"/>
          <w:kern w:val="0"/>
          <w:sz w:val="32"/>
          <w:lang w:val="zh-CN"/>
        </w:rPr>
        <w:t>云操作系统研发与应用国家地方联合工程研究中心</w:t>
      </w:r>
      <w:r>
        <w:rPr>
          <w:rFonts w:hint="default" w:ascii="Times New Roman" w:hAnsi="Times New Roman" w:eastAsia="仿宋_GB2312" w:cs="Times New Roman"/>
          <w:bCs/>
          <w:color w:val="auto"/>
          <w:kern w:val="0"/>
          <w:sz w:val="32"/>
        </w:rPr>
        <w:t>等</w:t>
      </w:r>
      <w:r>
        <w:rPr>
          <w:rFonts w:hint="default" w:ascii="Times New Roman" w:hAnsi="Times New Roman" w:eastAsia="仿宋_GB2312" w:cs="Times New Roman"/>
          <w:bCs/>
          <w:color w:val="auto"/>
          <w:kern w:val="0"/>
          <w:sz w:val="32"/>
          <w:lang w:val="zh-CN"/>
        </w:rPr>
        <w:t>创新能力建设</w:t>
      </w:r>
      <w:r>
        <w:rPr>
          <w:rFonts w:hint="default" w:ascii="Times New Roman" w:hAnsi="Times New Roman" w:eastAsia="仿宋_GB2312" w:cs="Times New Roman"/>
          <w:bCs/>
          <w:color w:val="auto"/>
          <w:kern w:val="0"/>
          <w:sz w:val="32"/>
        </w:rPr>
        <w:t>项目，已产出多项专利，开展相关技术交流、学术会议百余次，培养和引进高端人才近百人。</w:t>
      </w:r>
    </w:p>
    <w:p>
      <w:pPr>
        <w:pageBreakBefore w:val="0"/>
        <w:kinsoku/>
        <w:wordWrap/>
        <w:overflowPunct/>
        <w:topLinePunct w:val="0"/>
        <w:bidi w:val="0"/>
        <w:adjustRightInd w:val="0"/>
        <w:snapToGrid w:val="0"/>
        <w:spacing w:line="560" w:lineRule="exact"/>
        <w:ind w:firstLine="642" w:firstLineChars="200"/>
        <w:rPr>
          <w:rFonts w:hint="default" w:ascii="Times New Roman" w:hAnsi="Times New Roman" w:eastAsia="仿宋_GB2312" w:cs="Times New Roman"/>
          <w:color w:val="auto"/>
          <w:sz w:val="32"/>
          <w:lang w:val="zh-CN"/>
        </w:rPr>
      </w:pPr>
      <w:r>
        <w:rPr>
          <w:rFonts w:hint="default" w:ascii="Times New Roman" w:hAnsi="Times New Roman" w:eastAsia="仿宋_GB2312" w:cs="Times New Roman"/>
          <w:b/>
          <w:bCs/>
          <w:color w:val="auto"/>
          <w:kern w:val="0"/>
          <w:sz w:val="32"/>
          <w:lang w:val="zh-CN"/>
        </w:rPr>
        <w:t>——生态效益</w:t>
      </w:r>
      <w:r>
        <w:rPr>
          <w:rFonts w:hint="default" w:ascii="Times New Roman" w:hAnsi="Times New Roman" w:eastAsia="仿宋_GB2312" w:cs="Times New Roman"/>
          <w:b/>
          <w:bCs/>
          <w:color w:val="auto"/>
          <w:kern w:val="0"/>
          <w:sz w:val="32"/>
        </w:rPr>
        <w:t>方面</w:t>
      </w:r>
      <w:r>
        <w:rPr>
          <w:rFonts w:hint="default" w:ascii="Times New Roman" w:hAnsi="Times New Roman" w:eastAsia="仿宋_GB2312" w:cs="Times New Roman"/>
          <w:b/>
          <w:bCs/>
          <w:color w:val="auto"/>
          <w:kern w:val="0"/>
          <w:sz w:val="32"/>
          <w:lang w:val="zh-CN"/>
        </w:rPr>
        <w:t>。</w:t>
      </w:r>
      <w:r>
        <w:rPr>
          <w:rFonts w:hint="default" w:ascii="Times New Roman" w:hAnsi="Times New Roman" w:eastAsia="仿宋_GB2312" w:cs="Times New Roman"/>
          <w:color w:val="auto"/>
          <w:kern w:val="0"/>
          <w:sz w:val="32"/>
        </w:rPr>
        <w:t>节能环保与生态建设项目实施</w:t>
      </w:r>
      <w:r>
        <w:rPr>
          <w:rFonts w:hint="default" w:ascii="Times New Roman" w:hAnsi="Times New Roman" w:eastAsia="仿宋_GB2312" w:cs="Times New Roman"/>
          <w:color w:val="auto"/>
          <w:sz w:val="32"/>
          <w:shd w:val="clear" w:color="auto" w:fill="FFFFFF"/>
        </w:rPr>
        <w:t>，有效减少COD等污染物排放量，资源循环利用量达到计划值，进一步完善碳达峰碳中和基础工作，改善周边环境质量，提高人民群众生活质量，</w:t>
      </w:r>
      <w:r>
        <w:rPr>
          <w:rFonts w:hint="default" w:ascii="Times New Roman" w:hAnsi="Times New Roman" w:eastAsia="仿宋_GB2312" w:cs="Times New Roman"/>
          <w:color w:val="auto"/>
          <w:kern w:val="0"/>
          <w:sz w:val="32"/>
        </w:rPr>
        <w:t>对我省生态文明建设、绿色低碳循环发展具有明显作用</w:t>
      </w:r>
      <w:r>
        <w:rPr>
          <w:rFonts w:hint="default" w:ascii="Times New Roman" w:hAnsi="Times New Roman" w:eastAsia="仿宋_GB2312" w:cs="Times New Roman"/>
          <w:color w:val="auto"/>
          <w:sz w:val="32"/>
          <w:shd w:val="clear" w:color="auto" w:fill="FFFFFF"/>
        </w:rPr>
        <w:t>。</w:t>
      </w:r>
      <w:r>
        <w:rPr>
          <w:rFonts w:hint="default" w:ascii="Times New Roman" w:hAnsi="Times New Roman" w:eastAsia="仿宋_GB2312" w:cs="Times New Roman"/>
          <w:color w:val="auto"/>
          <w:kern w:val="0"/>
          <w:sz w:val="32"/>
          <w:lang w:val="zh-CN"/>
        </w:rPr>
        <w:t>绿色建设理念要求贯穿项目施工建设全过程，</w:t>
      </w:r>
      <w:r>
        <w:rPr>
          <w:rFonts w:hint="default" w:ascii="Times New Roman" w:hAnsi="Times New Roman" w:eastAsia="仿宋_GB2312" w:cs="Times New Roman"/>
          <w:color w:val="auto"/>
          <w:kern w:val="0"/>
          <w:sz w:val="32"/>
        </w:rPr>
        <w:t>按照国家、地方法规和行业要求，采取措施控制施工现场的粉尘、废水、废气、固体废弃物以及噪声等对环境的污染和危害</w:t>
      </w:r>
      <w:r>
        <w:rPr>
          <w:rFonts w:hint="default" w:ascii="Times New Roman" w:hAnsi="Times New Roman" w:eastAsia="仿宋_GB2312" w:cs="Times New Roman"/>
          <w:color w:val="auto"/>
          <w:kern w:val="0"/>
          <w:sz w:val="32"/>
          <w:lang w:val="zh-CN"/>
        </w:rPr>
        <w:t>。</w:t>
      </w:r>
      <w:r>
        <w:rPr>
          <w:rFonts w:hint="default" w:ascii="Times New Roman" w:hAnsi="Times New Roman" w:eastAsia="仿宋_GB2312" w:cs="Times New Roman"/>
          <w:color w:val="auto"/>
          <w:kern w:val="0"/>
          <w:sz w:val="32"/>
        </w:rPr>
        <w:t>防止水土流失，保护和改善施工环境，保证项目建设人员身体健康。如</w:t>
      </w:r>
      <w:r>
        <w:rPr>
          <w:rFonts w:hint="default" w:ascii="Times New Roman" w:hAnsi="Times New Roman" w:eastAsia="仿宋_GB2312" w:cs="Times New Roman"/>
          <w:color w:val="auto"/>
          <w:sz w:val="32"/>
          <w:szCs w:val="32"/>
        </w:rPr>
        <w:t>公（专）用充电基础设施项目</w:t>
      </w:r>
      <w:r>
        <w:rPr>
          <w:rFonts w:hint="default" w:ascii="Times New Roman" w:hAnsi="Times New Roman" w:eastAsia="仿宋_GB2312" w:cs="Times New Roman"/>
          <w:color w:val="auto"/>
          <w:sz w:val="32"/>
          <w:szCs w:val="32"/>
          <w:lang w:val="zh-CN"/>
        </w:rPr>
        <w:t>的建成投运，有利于减少全市燃油汽车成品油消耗，为新能源汽车发展提供了坚强基础保障，助力完成“双碳”工作目标</w:t>
      </w:r>
      <w:r>
        <w:rPr>
          <w:rFonts w:hint="default" w:ascii="Times New Roman" w:hAnsi="Times New Roman" w:eastAsia="仿宋_GB2312" w:cs="Times New Roman"/>
          <w:color w:val="auto"/>
          <w:sz w:val="32"/>
          <w:lang w:val="zh-CN"/>
        </w:rPr>
        <w:t>；</w:t>
      </w:r>
      <w:r>
        <w:rPr>
          <w:rFonts w:hint="default" w:ascii="Times New Roman" w:hAnsi="Times New Roman" w:eastAsia="仿宋_GB2312" w:cs="Times New Roman"/>
          <w:color w:val="auto"/>
          <w:sz w:val="32"/>
          <w:szCs w:val="32"/>
        </w:rPr>
        <w:t>四川省气象灾害监测预警体系建设项目</w:t>
      </w:r>
      <w:r>
        <w:rPr>
          <w:rFonts w:hint="default" w:ascii="Times New Roman" w:hAnsi="Times New Roman" w:eastAsia="仿宋_GB2312" w:cs="Times New Roman"/>
          <w:color w:val="auto"/>
          <w:sz w:val="32"/>
          <w:lang w:val="zh-CN"/>
        </w:rPr>
        <w:t>建成后，提高人工增雨作业和开发空中云水资源的能力，可以进一步促进绿地增长和森林生长、保护植被、减少森林火灾，为我省走生态优先、绿色发展之路提供有力的气象科技支撑。</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color w:val="auto"/>
          <w:kern w:val="0"/>
          <w:sz w:val="32"/>
          <w:lang w:val="zh-CN"/>
        </w:rPr>
      </w:pPr>
      <w:r>
        <w:rPr>
          <w:rFonts w:hint="default" w:ascii="Times New Roman" w:hAnsi="Times New Roman" w:eastAsia="仿宋_GB2312" w:cs="Times New Roman"/>
          <w:b/>
          <w:bCs/>
          <w:color w:val="auto"/>
          <w:kern w:val="0"/>
          <w:sz w:val="32"/>
          <w:lang w:val="zh-CN"/>
        </w:rPr>
        <w:t>——可持续效益</w:t>
      </w:r>
      <w:r>
        <w:rPr>
          <w:rFonts w:hint="default" w:ascii="Times New Roman" w:hAnsi="Times New Roman" w:eastAsia="仿宋_GB2312" w:cs="Times New Roman"/>
          <w:b/>
          <w:bCs/>
          <w:color w:val="auto"/>
          <w:kern w:val="0"/>
          <w:sz w:val="32"/>
        </w:rPr>
        <w:t>方面</w:t>
      </w:r>
      <w:r>
        <w:rPr>
          <w:rFonts w:hint="default" w:ascii="Times New Roman" w:hAnsi="Times New Roman" w:eastAsia="仿宋_GB2312" w:cs="Times New Roman"/>
          <w:b/>
          <w:bCs/>
          <w:color w:val="auto"/>
          <w:kern w:val="0"/>
          <w:sz w:val="32"/>
          <w:lang w:val="zh-CN"/>
        </w:rPr>
        <w:t>。</w:t>
      </w:r>
      <w:r>
        <w:rPr>
          <w:rFonts w:hint="default" w:ascii="Times New Roman" w:hAnsi="Times New Roman" w:eastAsia="仿宋_GB2312" w:cs="Times New Roman"/>
          <w:color w:val="auto"/>
          <w:kern w:val="0"/>
          <w:sz w:val="32"/>
        </w:rPr>
        <w:t>省预算内基本建设投资项目所带来的经济效益、社会效益和生态效益都</w:t>
      </w:r>
      <w:r>
        <w:rPr>
          <w:rFonts w:hint="default" w:ascii="Times New Roman" w:hAnsi="Times New Roman" w:eastAsia="仿宋_GB2312" w:cs="Times New Roman"/>
          <w:color w:val="auto"/>
          <w:sz w:val="32"/>
          <w:szCs w:val="32"/>
        </w:rPr>
        <w:t>是长期的、可持续的，对经济社会发展的积极影响长久而深远的。</w:t>
      </w:r>
      <w:r>
        <w:rPr>
          <w:rFonts w:hint="default" w:ascii="Times New Roman" w:hAnsi="Times New Roman" w:eastAsia="仿宋_GB2312" w:cs="Times New Roman"/>
          <w:color w:val="auto"/>
          <w:sz w:val="32"/>
          <w:szCs w:val="32"/>
          <w:lang w:val="zh-CN"/>
        </w:rPr>
        <w:t>如</w:t>
      </w:r>
      <w:r>
        <w:rPr>
          <w:rFonts w:hint="default" w:ascii="Times New Roman" w:hAnsi="Times New Roman" w:eastAsia="仿宋_GB2312" w:cs="Times New Roman"/>
          <w:color w:val="auto"/>
          <w:sz w:val="32"/>
          <w:szCs w:val="32"/>
        </w:rPr>
        <w:t>种质资源中心库建设属于国家战略，是国家种质资源库的重要组成部分，对于收集保存四川及西南地区农业种质资源意义重大。</w:t>
      </w:r>
      <w:r>
        <w:rPr>
          <w:rFonts w:hint="default" w:ascii="Times New Roman" w:hAnsi="Times New Roman" w:eastAsia="仿宋_GB2312" w:cs="Times New Roman"/>
          <w:color w:val="auto"/>
          <w:kern w:val="0"/>
          <w:sz w:val="32"/>
          <w:lang w:val="zh-CN"/>
        </w:rPr>
        <w:t>天府农业博览园主展馆建设项目</w:t>
      </w:r>
      <w:r>
        <w:rPr>
          <w:rFonts w:hint="default" w:ascii="Times New Roman" w:hAnsi="Times New Roman" w:eastAsia="仿宋_GB2312" w:cs="Times New Roman"/>
          <w:color w:val="auto"/>
          <w:kern w:val="0"/>
          <w:sz w:val="32"/>
        </w:rPr>
        <w:t>引领乡村振兴的探索和实践，助</w:t>
      </w:r>
      <w:r>
        <w:rPr>
          <w:rFonts w:hint="default" w:ascii="Times New Roman" w:hAnsi="Times New Roman" w:eastAsia="仿宋_GB2312" w:cs="Times New Roman"/>
          <w:color w:val="auto"/>
          <w:sz w:val="32"/>
          <w:szCs w:val="32"/>
        </w:rPr>
        <w:t>推四川农业供给侧结构改革，保护传承和发展中华传统农耕文化。</w:t>
      </w:r>
      <w:r>
        <w:rPr>
          <w:rFonts w:hint="default" w:ascii="Times New Roman" w:hAnsi="Times New Roman" w:eastAsia="仿宋_GB2312" w:cs="Times New Roman"/>
          <w:color w:val="auto"/>
          <w:sz w:val="32"/>
          <w:szCs w:val="32"/>
          <w:lang w:val="zh-CN"/>
        </w:rPr>
        <w:t>省级新区的建设涉及</w:t>
      </w:r>
      <w:r>
        <w:rPr>
          <w:rFonts w:hint="default" w:ascii="Times New Roman" w:hAnsi="Times New Roman" w:eastAsia="仿宋_GB2312" w:cs="Times New Roman"/>
          <w:color w:val="auto"/>
          <w:sz w:val="32"/>
          <w:szCs w:val="32"/>
        </w:rPr>
        <w:t>基</w:t>
      </w:r>
      <w:r>
        <w:rPr>
          <w:rFonts w:hint="default" w:ascii="Times New Roman" w:hAnsi="Times New Roman" w:eastAsia="仿宋_GB2312" w:cs="Times New Roman"/>
          <w:color w:val="auto"/>
          <w:sz w:val="32"/>
          <w:szCs w:val="32"/>
          <w:lang w:val="zh-CN"/>
        </w:rPr>
        <w:t>础设施、公共服务、产业发展和科技创新平台、节能环保和生态建设等各个领域，建成后有利于省级新区集聚发展优势产业、提升科技创新能力、增强优质公共服务供给能力、保护和改善生态环境，有利于提升经济和人口承载能力，加快城镇化进程，实现高质量发展，加快形成新增长极和动力源。</w:t>
      </w:r>
      <w:r>
        <w:rPr>
          <w:rFonts w:hint="default" w:ascii="Times New Roman" w:hAnsi="Times New Roman" w:eastAsia="仿宋_GB2312" w:cs="Times New Roman"/>
          <w:color w:val="auto"/>
          <w:sz w:val="32"/>
          <w:szCs w:val="32"/>
        </w:rPr>
        <w:t>完善空间定位基准现代化建设项目可在较长时间周期（10年以上）持续为我省各部门、各行业与大众提供实时、高精度的空间定位基准服务，带动我省北斗产业及相关新兴产业持续发展，促进相关产业转型升级。</w:t>
      </w:r>
      <w:r>
        <w:rPr>
          <w:rFonts w:hint="default" w:ascii="Times New Roman" w:hAnsi="Times New Roman" w:eastAsia="仿宋_GB2312" w:cs="Times New Roman"/>
          <w:bCs/>
          <w:color w:val="auto"/>
          <w:kern w:val="0"/>
          <w:sz w:val="32"/>
        </w:rPr>
        <w:t>重大科技基础设施和创新能力建设项目</w:t>
      </w:r>
      <w:r>
        <w:rPr>
          <w:rFonts w:hint="default" w:ascii="Times New Roman" w:hAnsi="Times New Roman" w:eastAsia="仿宋_GB2312" w:cs="Times New Roman"/>
          <w:color w:val="auto"/>
          <w:kern w:val="0"/>
          <w:sz w:val="32"/>
          <w:lang w:val="zh-CN"/>
        </w:rPr>
        <w:t>可支撑国家新冠疫苗研发及病毒测序、超高速真空管道轨道交通基础科学问题、空间光学薄膜材料、航空航天材料等各项重点工作开展，有效促进生物医药等相关领域科学发展，提升我省在高新技术等领域的创新能力。</w:t>
      </w:r>
    </w:p>
    <w:p>
      <w:pPr>
        <w:pageBreakBefore w:val="0"/>
        <w:kinsoku/>
        <w:wordWrap/>
        <w:overflowPunct/>
        <w:topLinePunct w:val="0"/>
        <w:bidi w:val="0"/>
        <w:spacing w:line="560" w:lineRule="exact"/>
        <w:ind w:firstLine="642" w:firstLineChars="200"/>
        <w:rPr>
          <w:rFonts w:hint="default" w:ascii="Times New Roman" w:hAnsi="Times New Roman" w:eastAsia="仿宋_GB2312" w:cs="Times New Roman"/>
          <w:b/>
          <w:bCs/>
          <w:color w:val="auto"/>
          <w:kern w:val="0"/>
          <w:sz w:val="32"/>
          <w:lang w:val="zh-CN"/>
        </w:rPr>
      </w:pPr>
      <w:r>
        <w:rPr>
          <w:rFonts w:hint="default" w:ascii="Times New Roman" w:hAnsi="Times New Roman" w:eastAsia="仿宋_GB2312" w:cs="Times New Roman"/>
          <w:b/>
          <w:bCs/>
          <w:color w:val="auto"/>
          <w:kern w:val="0"/>
          <w:sz w:val="32"/>
          <w:lang w:val="zh-CN"/>
        </w:rPr>
        <w:t>——服务对象满意度。</w:t>
      </w:r>
      <w:r>
        <w:rPr>
          <w:rFonts w:hint="default" w:ascii="Times New Roman" w:hAnsi="Times New Roman" w:eastAsia="仿宋_GB2312" w:cs="Times New Roman"/>
          <w:color w:val="auto"/>
          <w:kern w:val="0"/>
          <w:sz w:val="32"/>
        </w:rPr>
        <w:t>省预算内基本建设投资项目安排依据充分、资金分配公正、过程管理规范、结果符合预期，充分发挥了政府投资效益，得到了广大服务对象的高度认可与评价。</w:t>
      </w:r>
      <w:r>
        <w:rPr>
          <w:rFonts w:hint="default" w:ascii="Times New Roman" w:hAnsi="Times New Roman" w:eastAsia="仿宋_GB2312" w:cs="Times New Roman"/>
          <w:bCs/>
          <w:color w:val="auto"/>
          <w:kern w:val="0"/>
          <w:sz w:val="32"/>
        </w:rPr>
        <w:t>如</w:t>
      </w:r>
      <w:r>
        <w:rPr>
          <w:rFonts w:hint="default" w:ascii="Times New Roman" w:hAnsi="Times New Roman" w:eastAsia="仿宋_GB2312" w:cs="Times New Roman"/>
          <w:bCs/>
          <w:color w:val="auto"/>
          <w:kern w:val="0"/>
          <w:sz w:val="32"/>
          <w:lang w:val="zh-CN"/>
        </w:rPr>
        <w:t>支持公共就业专项，提供技能培训和就业岗位，带动妇女就业同时有效缓解产业空村、空心家庭、留守儿童等社会问题，显著增强</w:t>
      </w:r>
      <w:r>
        <w:rPr>
          <w:rFonts w:hint="default" w:ascii="Times New Roman" w:hAnsi="Times New Roman" w:cs="Times New Roman"/>
          <w:bCs/>
          <w:color w:val="auto"/>
          <w:kern w:val="0"/>
          <w:sz w:val="32"/>
          <w:lang w:val="zh-CN"/>
        </w:rPr>
        <w:t>了</w:t>
      </w:r>
      <w:r>
        <w:rPr>
          <w:rFonts w:hint="default" w:ascii="Times New Roman" w:hAnsi="Times New Roman" w:eastAsia="仿宋_GB2312" w:cs="Times New Roman"/>
          <w:bCs/>
          <w:color w:val="auto"/>
          <w:kern w:val="0"/>
          <w:sz w:val="32"/>
          <w:lang w:val="zh-CN"/>
        </w:rPr>
        <w:t>群众的幸福感和满意度。</w:t>
      </w:r>
      <w:r>
        <w:rPr>
          <w:rFonts w:hint="default" w:ascii="Times New Roman" w:hAnsi="Times New Roman" w:eastAsia="仿宋_GB2312" w:cs="Times New Roman"/>
          <w:bCs/>
          <w:color w:val="auto"/>
          <w:kern w:val="0"/>
          <w:sz w:val="32"/>
        </w:rPr>
        <w:t>灾后恢复重建项目恢复灾区道路、供水、桥梁等基础设施以及学校、医院等公共服务设施，</w:t>
      </w:r>
      <w:r>
        <w:rPr>
          <w:rFonts w:hint="default" w:ascii="Times New Roman" w:hAnsi="Times New Roman" w:eastAsia="仿宋_GB2312" w:cs="Times New Roman"/>
          <w:color w:val="auto"/>
          <w:sz w:val="32"/>
          <w:szCs w:val="32"/>
        </w:rPr>
        <w:t>排除安全隐患，构筑起保护人民群众健康和生命安全的有力屏障，</w:t>
      </w:r>
      <w:r>
        <w:rPr>
          <w:rFonts w:hint="default" w:ascii="Times New Roman" w:hAnsi="Times New Roman" w:eastAsia="仿宋_GB2312" w:cs="Times New Roman"/>
          <w:bCs/>
          <w:color w:val="auto"/>
          <w:kern w:val="0"/>
          <w:sz w:val="32"/>
        </w:rPr>
        <w:t>保证了灾区正常生产生活秩序</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2"/>
          <w:sz w:val="32"/>
          <w:szCs w:val="32"/>
          <w:lang w:val="zh-CN" w:eastAsia="zh-CN" w:bidi="ar-SA"/>
        </w:rPr>
        <w:t>以工代赈项目解决了项目区行路难、饮水难等问题，疏通了与脱贫群众密切相关的生产生活设施“最后一公里”障碍，进一步改善了发展环境</w:t>
      </w:r>
      <w:r>
        <w:rPr>
          <w:rFonts w:hint="default" w:ascii="Times New Roman" w:hAnsi="Times New Roman" w:eastAsia="仿宋_GB2312" w:cs="Times New Roman"/>
          <w:bCs/>
          <w:color w:val="auto"/>
          <w:kern w:val="0"/>
          <w:sz w:val="32"/>
          <w:lang w:val="zh-CN"/>
        </w:rPr>
        <w:t>。</w:t>
      </w:r>
    </w:p>
    <w:p>
      <w:pPr>
        <w:pageBreakBefore w:val="0"/>
        <w:kinsoku/>
        <w:wordWrap/>
        <w:overflowPunct/>
        <w:topLinePunct w:val="0"/>
        <w:bidi w:val="0"/>
        <w:adjustRightInd w:val="0"/>
        <w:snapToGrid w:val="0"/>
        <w:spacing w:line="560" w:lineRule="exact"/>
        <w:ind w:firstLine="720"/>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t>四、评价结论</w:t>
      </w:r>
    </w:p>
    <w:p>
      <w:pPr>
        <w:pageBreakBefore w:val="0"/>
        <w:kinsoku/>
        <w:wordWrap/>
        <w:overflowPunct/>
        <w:topLinePunct w:val="0"/>
        <w:bidi w:val="0"/>
        <w:adjustRightInd w:val="0"/>
        <w:snapToGrid w:val="0"/>
        <w:spacing w:line="560" w:lineRule="exact"/>
        <w:ind w:firstLine="642"/>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lang w:eastAsia="zh-CN"/>
        </w:rPr>
        <w:t>（</w:t>
      </w:r>
      <w:r>
        <w:rPr>
          <w:rFonts w:hint="default" w:ascii="Times New Roman" w:hAnsi="Times New Roman" w:eastAsia="楷体_GB2312" w:cs="Times New Roman"/>
          <w:b/>
          <w:bCs/>
          <w:color w:val="auto"/>
          <w:sz w:val="32"/>
          <w:lang w:val="en-US" w:eastAsia="zh-CN"/>
        </w:rPr>
        <w:t>一</w:t>
      </w:r>
      <w:r>
        <w:rPr>
          <w:rFonts w:hint="default" w:ascii="Times New Roman" w:hAnsi="Times New Roman" w:eastAsia="楷体_GB2312" w:cs="Times New Roman"/>
          <w:b/>
          <w:bCs/>
          <w:color w:val="auto"/>
          <w:sz w:val="32"/>
          <w:lang w:eastAsia="zh-CN"/>
        </w:rPr>
        <w:t>）</w:t>
      </w:r>
      <w:r>
        <w:rPr>
          <w:rFonts w:hint="default" w:ascii="Times New Roman" w:hAnsi="Times New Roman" w:eastAsia="楷体_GB2312" w:cs="Times New Roman"/>
          <w:b/>
          <w:bCs/>
          <w:color w:val="auto"/>
          <w:sz w:val="32"/>
        </w:rPr>
        <w:t>程序规范严密。</w:t>
      </w:r>
      <w:r>
        <w:rPr>
          <w:rFonts w:hint="default" w:ascii="Times New Roman" w:hAnsi="Times New Roman" w:eastAsia="仿宋_GB2312" w:cs="Times New Roman"/>
          <w:color w:val="auto"/>
          <w:sz w:val="32"/>
        </w:rPr>
        <w:t>早启动早部署，</w:t>
      </w:r>
      <w:r>
        <w:rPr>
          <w:rFonts w:hint="default" w:ascii="Times New Roman" w:hAnsi="Times New Roman" w:eastAsia="仿宋_GB2312" w:cs="Times New Roman"/>
          <w:color w:val="auto"/>
          <w:sz w:val="32"/>
          <w:szCs w:val="32"/>
        </w:rPr>
        <w:t>为</w:t>
      </w:r>
      <w:r>
        <w:rPr>
          <w:rFonts w:hint="default" w:ascii="Times New Roman" w:hAnsi="Times New Roman" w:eastAsia="仿宋_GB2312" w:cs="Times New Roman"/>
          <w:color w:val="auto"/>
          <w:sz w:val="32"/>
        </w:rPr>
        <w:t>充分发挥</w:t>
      </w:r>
      <w:r>
        <w:rPr>
          <w:rFonts w:hint="default" w:ascii="Times New Roman" w:hAnsi="Times New Roman" w:eastAsia="仿宋_GB2312" w:cs="Times New Roman"/>
          <w:color w:val="auto"/>
          <w:sz w:val="32"/>
          <w:szCs w:val="32"/>
        </w:rPr>
        <w:t>省预算内基本建设投资</w:t>
      </w:r>
      <w:r>
        <w:rPr>
          <w:rFonts w:hint="default" w:ascii="Times New Roman" w:hAnsi="Times New Roman" w:eastAsia="仿宋_GB2312" w:cs="Times New Roman"/>
          <w:color w:val="auto"/>
          <w:sz w:val="32"/>
        </w:rPr>
        <w:t>对全省经济社会发展的引导带动作用，积极扩大有效投资，加快推动重大工程项目建设</w:t>
      </w:r>
      <w:r>
        <w:rPr>
          <w:rFonts w:hint="default" w:ascii="Times New Roman" w:hAnsi="Times New Roman" w:eastAsia="仿宋_GB2312" w:cs="Times New Roman"/>
          <w:color w:val="auto"/>
          <w:sz w:val="32"/>
          <w:szCs w:val="32"/>
        </w:rPr>
        <w:t>，我委2020年9月就启动了2021年省预算内基本建设投资安排研究工作，会同各地、各相关部门研究省预算内投资安排重点领域</w:t>
      </w:r>
      <w:r>
        <w:rPr>
          <w:rFonts w:hint="default" w:ascii="Times New Roman" w:hAnsi="Times New Roman" w:eastAsia="仿宋_GB2312" w:cs="Times New Roman"/>
          <w:color w:val="auto"/>
          <w:sz w:val="32"/>
        </w:rPr>
        <w:t>方向，</w:t>
      </w:r>
      <w:r>
        <w:rPr>
          <w:rFonts w:hint="default" w:ascii="Times New Roman" w:hAnsi="Times New Roman" w:eastAsia="仿宋_GB2312" w:cs="Times New Roman"/>
          <w:color w:val="auto"/>
          <w:sz w:val="32"/>
          <w:szCs w:val="32"/>
        </w:rPr>
        <w:t>形成安排建议方案。同时，严格遵照《四川省省级财政性资金管理决策程序规定（试行）》，认真履行集体决策程序，省预算内投资安排建议方案经委党组会研究后上报省政府，按照省政府常务会议审定同意的方案按程序抓紧下达投资计划，其中涉及二次分配的资金，具体安排建议经委党组会研究后再报省政府常务会议审议通过后及时下达。</w:t>
      </w:r>
    </w:p>
    <w:p>
      <w:pPr>
        <w:pageBreakBefore w:val="0"/>
        <w:kinsoku/>
        <w:wordWrap/>
        <w:overflowPunct/>
        <w:topLinePunct w:val="0"/>
        <w:bidi w:val="0"/>
        <w:adjustRightInd w:val="0"/>
        <w:snapToGrid w:val="0"/>
        <w:spacing w:line="560" w:lineRule="exact"/>
        <w:ind w:firstLine="642"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lang w:eastAsia="zh-CN"/>
        </w:rPr>
        <w:t>（</w:t>
      </w:r>
      <w:r>
        <w:rPr>
          <w:rFonts w:hint="default" w:ascii="Times New Roman" w:hAnsi="Times New Roman" w:eastAsia="楷体_GB2312" w:cs="Times New Roman"/>
          <w:b/>
          <w:bCs/>
          <w:color w:val="auto"/>
          <w:sz w:val="32"/>
          <w:lang w:val="en-US" w:eastAsia="zh-CN"/>
        </w:rPr>
        <w:t>二</w:t>
      </w:r>
      <w:r>
        <w:rPr>
          <w:rFonts w:hint="default" w:ascii="Times New Roman" w:hAnsi="Times New Roman" w:eastAsia="楷体_GB2312" w:cs="Times New Roman"/>
          <w:b/>
          <w:bCs/>
          <w:color w:val="auto"/>
          <w:sz w:val="32"/>
          <w:lang w:eastAsia="zh-CN"/>
        </w:rPr>
        <w:t>）</w:t>
      </w:r>
      <w:r>
        <w:rPr>
          <w:rFonts w:hint="default" w:ascii="Times New Roman" w:hAnsi="Times New Roman" w:eastAsia="楷体_GB2312" w:cs="Times New Roman"/>
          <w:b/>
          <w:bCs/>
          <w:color w:val="auto"/>
          <w:sz w:val="32"/>
        </w:rPr>
        <w:t>安排依据充分。</w:t>
      </w:r>
      <w:r>
        <w:rPr>
          <w:rFonts w:hint="default" w:ascii="Times New Roman" w:hAnsi="Times New Roman" w:eastAsia="仿宋_GB2312" w:cs="Times New Roman"/>
          <w:color w:val="auto"/>
          <w:sz w:val="32"/>
          <w:szCs w:val="32"/>
        </w:rPr>
        <w:t>省预算内基本建设投资紧紧围绕省委、省政府中心工作，根据中央和省上印发出台的相关规划、实施方案和政策文件，围绕重大基础设施、重大社会事业和民生工程、重点园区和创新平台、节能环保与生态建设、其他方面等五大领域，主要安排关乎社会民生福祉的，需政府投资建设的项目等，安排事项依据充分，包括</w:t>
      </w:r>
      <w:r>
        <w:rPr>
          <w:rFonts w:hint="default" w:ascii="Times New Roman" w:hAnsi="Times New Roman" w:eastAsia="仿宋_GB2312" w:cs="Times New Roman"/>
          <w:color w:val="auto"/>
          <w:sz w:val="32"/>
        </w:rPr>
        <w:t>《四川省高速公路网规划（2019-2035年）》《国家公路网规划（2013年—2030年）》</w:t>
      </w:r>
      <w:r>
        <w:rPr>
          <w:rFonts w:hint="default" w:ascii="Times New Roman" w:hAnsi="Times New Roman" w:eastAsia="仿宋_GB2312" w:cs="Times New Roman"/>
          <w:color w:val="auto"/>
          <w:sz w:val="32"/>
          <w:szCs w:val="32"/>
        </w:rPr>
        <w:t>《国家口岸发展“十三五”规划》</w:t>
      </w:r>
      <w:r>
        <w:rPr>
          <w:rFonts w:hint="default" w:ascii="Times New Roman" w:hAnsi="Times New Roman" w:eastAsia="仿宋_GB2312" w:cs="Times New Roman"/>
          <w:color w:val="auto"/>
          <w:sz w:val="32"/>
        </w:rPr>
        <w:t>《四川省人民政府办公厅关于印发四川省应急救援能力提升行动计划（2019—2021年）的通知》《四川省人民政府办公厅关于印发四川省森林草原防灭火标本兼治总体方案（2020—2025）的通知》《国家重大科技基础设施建设中长期规划（2012—2030年）》《“十四五”推动黄河流域生态保护和高质量发展规划》</w:t>
      </w:r>
      <w:r>
        <w:rPr>
          <w:rFonts w:hint="default" w:ascii="Times New Roman" w:hAnsi="Times New Roman" w:eastAsia="仿宋_GB2312" w:cs="Times New Roman"/>
          <w:color w:val="auto"/>
          <w:sz w:val="32"/>
          <w:szCs w:val="32"/>
          <w:lang w:val="zh-CN"/>
        </w:rPr>
        <w:t>《</w:t>
      </w:r>
      <w:r>
        <w:rPr>
          <w:rFonts w:hint="default" w:ascii="Times New Roman" w:hAnsi="Times New Roman" w:eastAsia="仿宋_GB2312" w:cs="Times New Roman"/>
          <w:color w:val="auto"/>
          <w:sz w:val="32"/>
          <w:szCs w:val="32"/>
        </w:rPr>
        <w:t>水利部 国家发展改革委关于印发全国水文基础设施建设“十四五”规划的通知》《四川省渠江流域防洪规划》</w:t>
      </w:r>
      <w:r>
        <w:rPr>
          <w:rFonts w:hint="default" w:ascii="Times New Roman" w:hAnsi="Times New Roman" w:eastAsia="仿宋_GB2312" w:cs="Times New Roman"/>
          <w:color w:val="auto"/>
          <w:kern w:val="0"/>
          <w:sz w:val="32"/>
        </w:rPr>
        <w:t>《四川省气象事业发展“十三五”规划》</w:t>
      </w:r>
      <w:r>
        <w:rPr>
          <w:rFonts w:hint="default" w:ascii="Times New Roman" w:hAnsi="Times New Roman" w:eastAsia="仿宋_GB2312" w:cs="Times New Roman"/>
          <w:color w:val="auto"/>
          <w:sz w:val="32"/>
        </w:rPr>
        <w:t>《推动农村电网改造升级工作方案》《四川省园区循环化改造</w:t>
      </w:r>
      <w:r>
        <w:rPr>
          <w:rFonts w:hint="default" w:ascii="Times New Roman" w:hAnsi="Times New Roman" w:eastAsia="仿宋_GB2312" w:cs="Times New Roman"/>
          <w:color w:val="auto"/>
          <w:sz w:val="32"/>
          <w:lang w:eastAsia="zh-CN"/>
        </w:rPr>
        <w:t>推进方案</w:t>
      </w: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sz w:val="32"/>
          <w:lang w:val="zh-CN"/>
        </w:rPr>
        <w:t>《</w:t>
      </w:r>
      <w:r>
        <w:rPr>
          <w:rFonts w:hint="default" w:ascii="Times New Roman" w:hAnsi="Times New Roman" w:eastAsia="仿宋_GB2312" w:cs="Times New Roman"/>
          <w:color w:val="auto"/>
          <w:sz w:val="32"/>
        </w:rPr>
        <w:t>四川</w:t>
      </w:r>
      <w:r>
        <w:rPr>
          <w:rFonts w:hint="default" w:ascii="Times New Roman" w:hAnsi="Times New Roman" w:eastAsia="仿宋_GB2312" w:cs="Times New Roman"/>
          <w:color w:val="auto"/>
          <w:sz w:val="32"/>
          <w:lang w:val="zh-CN"/>
        </w:rPr>
        <w:t>省</w:t>
      </w:r>
      <w:r>
        <w:rPr>
          <w:rFonts w:hint="default" w:ascii="Times New Roman" w:hAnsi="Times New Roman" w:eastAsia="仿宋_GB2312" w:cs="Times New Roman"/>
          <w:color w:val="auto"/>
          <w:sz w:val="32"/>
        </w:rPr>
        <w:t>人民</w:t>
      </w:r>
      <w:r>
        <w:rPr>
          <w:rFonts w:hint="default" w:ascii="Times New Roman" w:hAnsi="Times New Roman" w:eastAsia="仿宋_GB2312" w:cs="Times New Roman"/>
          <w:color w:val="auto"/>
          <w:sz w:val="32"/>
          <w:lang w:val="zh-CN"/>
        </w:rPr>
        <w:t>政府办公厅关于印发支持省级新区发展政策措施的通知》</w:t>
      </w:r>
      <w:r>
        <w:rPr>
          <w:rFonts w:hint="default" w:ascii="Times New Roman" w:hAnsi="Times New Roman" w:eastAsia="仿宋_GB2312" w:cs="Times New Roman"/>
          <w:color w:val="auto"/>
          <w:sz w:val="32"/>
        </w:rPr>
        <w:t>《关于加快开展县城城镇</w:t>
      </w:r>
      <w:r>
        <w:rPr>
          <w:rFonts w:hint="default" w:ascii="Times New Roman" w:hAnsi="Times New Roman" w:eastAsia="仿宋_GB2312" w:cs="Times New Roman"/>
          <w:color w:val="auto"/>
          <w:sz w:val="32"/>
          <w:szCs w:val="32"/>
        </w:rPr>
        <w:t>化补短板强弱项工作的通知》《关于印发〈加强农村留守妇女关爱服务工作三十条措施〉的通知》《关于印发〈四川省争创全国百强县百强区百强镇支持奖励办法〉和〈全国百强县百强区百强镇培育工作方案〉的通知》《四川省“十四五”以工代赈实施方案》等。</w:t>
      </w:r>
    </w:p>
    <w:p>
      <w:pPr>
        <w:pageBreakBefore w:val="0"/>
        <w:kinsoku/>
        <w:wordWrap/>
        <w:overflowPunct/>
        <w:topLinePunct w:val="0"/>
        <w:bidi w:val="0"/>
        <w:spacing w:line="560" w:lineRule="exact"/>
        <w:ind w:firstLine="640"/>
        <w:rPr>
          <w:rFonts w:hint="default" w:ascii="Times New Roman" w:hAnsi="Times New Roman" w:eastAsia="仿宋_GB2312" w:cs="Times New Roman"/>
          <w:color w:val="auto"/>
          <w:kern w:val="0"/>
          <w:sz w:val="32"/>
          <w:szCs w:val="32"/>
        </w:rPr>
      </w:pPr>
      <w:r>
        <w:rPr>
          <w:rFonts w:hint="default" w:ascii="Times New Roman" w:hAnsi="Times New Roman" w:eastAsia="楷体_GB2312" w:cs="Times New Roman"/>
          <w:b/>
          <w:bCs/>
          <w:color w:val="auto"/>
          <w:sz w:val="32"/>
          <w:szCs w:val="22"/>
          <w:lang w:eastAsia="zh-CN"/>
        </w:rPr>
        <w:t>（</w:t>
      </w:r>
      <w:r>
        <w:rPr>
          <w:rFonts w:hint="default" w:ascii="Times New Roman" w:hAnsi="Times New Roman" w:eastAsia="楷体_GB2312" w:cs="Times New Roman"/>
          <w:b/>
          <w:bCs/>
          <w:color w:val="auto"/>
          <w:sz w:val="32"/>
          <w:szCs w:val="22"/>
          <w:lang w:val="en-US" w:eastAsia="zh-CN"/>
        </w:rPr>
        <w:t>三</w:t>
      </w:r>
      <w:r>
        <w:rPr>
          <w:rFonts w:hint="default" w:ascii="Times New Roman" w:hAnsi="Times New Roman" w:eastAsia="楷体_GB2312" w:cs="Times New Roman"/>
          <w:b/>
          <w:bCs/>
          <w:color w:val="auto"/>
          <w:sz w:val="32"/>
          <w:szCs w:val="22"/>
          <w:lang w:eastAsia="zh-CN"/>
        </w:rPr>
        <w:t>）</w:t>
      </w:r>
      <w:r>
        <w:rPr>
          <w:rFonts w:hint="default" w:ascii="Times New Roman" w:hAnsi="Times New Roman" w:eastAsia="楷体_GB2312" w:cs="Times New Roman"/>
          <w:b/>
          <w:bCs/>
          <w:color w:val="auto"/>
          <w:sz w:val="32"/>
          <w:szCs w:val="22"/>
        </w:rPr>
        <w:t>安排重点突出。</w:t>
      </w:r>
      <w:r>
        <w:rPr>
          <w:rFonts w:hint="default" w:ascii="Times New Roman" w:hAnsi="Times New Roman" w:eastAsia="仿宋_GB2312" w:cs="Times New Roman"/>
          <w:color w:val="auto"/>
          <w:sz w:val="32"/>
          <w:szCs w:val="32"/>
        </w:rPr>
        <w:t>2021年省预算内投资安排进一步优化结构突出重点，集中力量办大事，重点安排省委、省政府确定支持的重大项目，以及中央预算内投资项目配套</w:t>
      </w:r>
      <w:r>
        <w:rPr>
          <w:rFonts w:hint="default" w:ascii="Times New Roman" w:hAnsi="Times New Roman" w:eastAsia="仿宋_GB2312" w:cs="Times New Roman"/>
          <w:color w:val="auto"/>
          <w:kern w:val="0"/>
          <w:sz w:val="32"/>
          <w:szCs w:val="32"/>
        </w:rPr>
        <w:t>。安排省委、省政府明确支持重大事项60亿元，占总盘子的85.7%；中央预算内投资项目配套6亿元，占总盘子的8.6%；围绕省委、省政府中心工作支持事项安排4亿元，占总盘子的5.7%。</w:t>
      </w:r>
    </w:p>
    <w:p>
      <w:pPr>
        <w:pageBreakBefore w:val="0"/>
        <w:kinsoku/>
        <w:wordWrap/>
        <w:overflowPunct/>
        <w:topLinePunct w:val="0"/>
        <w:bidi w:val="0"/>
        <w:spacing w:line="560" w:lineRule="exact"/>
        <w:ind w:firstLine="640"/>
        <w:rPr>
          <w:rFonts w:hint="default" w:ascii="Times New Roman" w:hAnsi="Times New Roman" w:eastAsia="黑体" w:cs="Times New Roman"/>
          <w:color w:val="auto"/>
          <w:sz w:val="32"/>
          <w:szCs w:val="32"/>
        </w:rPr>
      </w:pPr>
      <w:r>
        <w:rPr>
          <w:rFonts w:hint="default" w:ascii="Times New Roman" w:hAnsi="Times New Roman" w:eastAsia="楷体_GB2312" w:cs="Times New Roman"/>
          <w:b/>
          <w:bCs/>
          <w:color w:val="auto"/>
          <w:sz w:val="32"/>
          <w:lang w:eastAsia="zh-CN"/>
        </w:rPr>
        <w:t>（</w:t>
      </w:r>
      <w:r>
        <w:rPr>
          <w:rFonts w:hint="default" w:ascii="Times New Roman" w:hAnsi="Times New Roman" w:eastAsia="楷体_GB2312" w:cs="Times New Roman"/>
          <w:b/>
          <w:bCs/>
          <w:color w:val="auto"/>
          <w:sz w:val="32"/>
          <w:lang w:val="en-US" w:eastAsia="zh-CN"/>
        </w:rPr>
        <w:t>四</w:t>
      </w:r>
      <w:r>
        <w:rPr>
          <w:rFonts w:hint="default" w:ascii="Times New Roman" w:hAnsi="Times New Roman" w:eastAsia="楷体_GB2312" w:cs="Times New Roman"/>
          <w:b/>
          <w:bCs/>
          <w:color w:val="auto"/>
          <w:sz w:val="32"/>
          <w:lang w:eastAsia="zh-CN"/>
        </w:rPr>
        <w:t>）</w:t>
      </w:r>
      <w:r>
        <w:rPr>
          <w:rFonts w:hint="default" w:ascii="Times New Roman" w:hAnsi="Times New Roman" w:eastAsia="楷体_GB2312" w:cs="Times New Roman"/>
          <w:b/>
          <w:bCs/>
          <w:color w:val="auto"/>
          <w:sz w:val="32"/>
        </w:rPr>
        <w:t>结果符合预期。</w:t>
      </w:r>
      <w:r>
        <w:rPr>
          <w:rFonts w:hint="default" w:ascii="Times New Roman" w:hAnsi="Times New Roman" w:eastAsia="仿宋_GB2312" w:cs="Times New Roman"/>
          <w:color w:val="auto"/>
          <w:sz w:val="32"/>
          <w:szCs w:val="32"/>
        </w:rPr>
        <w:t>省预算内基本建设投资突出全省中心工作，集中力量支持一批对稳增长、调结构、惠民生、补短板有重要作用的重点工程。发挥了对全省经济社会发展“四两拨千斤”的导向作用。与中央预算内投资形成合力，有力保障了中央投资项目的顺利实施，对地方经济社会发展起到重要支撑。</w:t>
      </w:r>
    </w:p>
    <w:p>
      <w:pPr>
        <w:pageBreakBefore w:val="0"/>
        <w:kinsoku/>
        <w:wordWrap/>
        <w:overflowPunct/>
        <w:topLinePunct w:val="0"/>
        <w:bidi w:val="0"/>
        <w:spacing w:line="560" w:lineRule="exact"/>
        <w:jc w:val="left"/>
        <w:outlineLvl w:val="0"/>
        <w:rPr>
          <w:rFonts w:hint="default" w:ascii="Times New Roman" w:hAnsi="Times New Roman" w:eastAsia="黑体" w:cs="Times New Roman"/>
          <w:color w:val="auto"/>
          <w:sz w:val="32"/>
          <w:szCs w:val="32"/>
        </w:rPr>
      </w:pPr>
    </w:p>
    <w:p>
      <w:pPr>
        <w:pageBreakBefore w:val="0"/>
        <w:kinsoku/>
        <w:wordWrap/>
        <w:overflowPunct/>
        <w:topLinePunct w:val="0"/>
        <w:bidi w:val="0"/>
        <w:spacing w:line="560" w:lineRule="exact"/>
        <w:jc w:val="left"/>
        <w:outlineLvl w:val="0"/>
        <w:rPr>
          <w:rFonts w:hint="default" w:ascii="Times New Roman" w:hAnsi="Times New Roman" w:eastAsia="黑体" w:cs="Times New Roman"/>
          <w:color w:val="auto"/>
          <w:sz w:val="32"/>
          <w:szCs w:val="32"/>
        </w:rPr>
      </w:pPr>
    </w:p>
    <w:p>
      <w:pPr>
        <w:pageBreakBefore w:val="0"/>
        <w:kinsoku/>
        <w:wordWrap/>
        <w:overflowPunct/>
        <w:topLinePunct w:val="0"/>
        <w:bidi w:val="0"/>
        <w:spacing w:line="560" w:lineRule="exact"/>
        <w:jc w:val="left"/>
        <w:outlineLvl w:val="0"/>
        <w:rPr>
          <w:rFonts w:hint="default" w:ascii="Times New Roman" w:hAnsi="Times New Roman" w:eastAsia="黑体" w:cs="Times New Roman"/>
          <w:color w:val="auto"/>
          <w:sz w:val="32"/>
          <w:szCs w:val="32"/>
        </w:rPr>
      </w:pPr>
    </w:p>
    <w:p>
      <w:pPr>
        <w:pageBreakBefore w:val="0"/>
        <w:kinsoku/>
        <w:wordWrap/>
        <w:overflowPunct/>
        <w:topLinePunct w:val="0"/>
        <w:bidi w:val="0"/>
        <w:spacing w:line="560" w:lineRule="exact"/>
        <w:jc w:val="left"/>
        <w:outlineLvl w:val="0"/>
        <w:rPr>
          <w:rFonts w:hint="default" w:ascii="Times New Roman" w:hAnsi="Times New Roman" w:eastAsia="黑体" w:cs="Times New Roman"/>
          <w:color w:val="auto"/>
          <w:sz w:val="32"/>
          <w:szCs w:val="32"/>
        </w:rPr>
      </w:pPr>
    </w:p>
    <w:p>
      <w:pPr>
        <w:pageBreakBefore w:val="0"/>
        <w:kinsoku/>
        <w:wordWrap/>
        <w:overflowPunct/>
        <w:topLinePunct w:val="0"/>
        <w:bidi w:val="0"/>
        <w:spacing w:line="560" w:lineRule="exact"/>
        <w:jc w:val="left"/>
        <w:outlineLvl w:val="0"/>
        <w:rPr>
          <w:rFonts w:hint="default" w:ascii="Times New Roman" w:hAnsi="Times New Roman" w:eastAsia="黑体" w:cs="Times New Roman"/>
          <w:color w:val="auto"/>
          <w:sz w:val="32"/>
          <w:szCs w:val="32"/>
        </w:rPr>
      </w:pPr>
    </w:p>
    <w:p>
      <w:pPr>
        <w:pageBreakBefore w:val="0"/>
        <w:kinsoku/>
        <w:wordWrap/>
        <w:overflowPunct/>
        <w:topLinePunct w:val="0"/>
        <w:bidi w:val="0"/>
        <w:spacing w:line="560" w:lineRule="exact"/>
        <w:jc w:val="left"/>
        <w:outlineLvl w:val="0"/>
        <w:rPr>
          <w:rFonts w:hint="default" w:ascii="Times New Roman" w:hAnsi="Times New Roman" w:eastAsia="黑体" w:cs="Times New Roman"/>
          <w:color w:val="auto"/>
          <w:sz w:val="32"/>
          <w:szCs w:val="32"/>
        </w:rPr>
      </w:pPr>
    </w:p>
    <w:p>
      <w:pPr>
        <w:pageBreakBefore w:val="0"/>
        <w:kinsoku/>
        <w:wordWrap/>
        <w:overflowPunct/>
        <w:topLinePunct w:val="0"/>
        <w:bidi w:val="0"/>
        <w:spacing w:line="560" w:lineRule="exact"/>
        <w:jc w:val="left"/>
        <w:outlineLvl w:val="0"/>
        <w:rPr>
          <w:rFonts w:hint="default" w:ascii="Times New Roman" w:hAnsi="Times New Roman" w:eastAsia="黑体" w:cs="Times New Roman"/>
          <w:color w:val="auto"/>
          <w:sz w:val="32"/>
          <w:szCs w:val="32"/>
        </w:rPr>
      </w:pPr>
    </w:p>
    <w:p>
      <w:pPr>
        <w:pageBreakBefore w:val="0"/>
        <w:kinsoku/>
        <w:wordWrap/>
        <w:overflowPunct/>
        <w:topLinePunct w:val="0"/>
        <w:bidi w:val="0"/>
        <w:spacing w:line="560" w:lineRule="exact"/>
        <w:jc w:val="left"/>
        <w:outlineLvl w:val="0"/>
        <w:rPr>
          <w:rFonts w:hint="default" w:ascii="Times New Roman" w:hAnsi="Times New Roman" w:eastAsia="黑体" w:cs="Times New Roman"/>
          <w:color w:val="auto"/>
          <w:sz w:val="32"/>
          <w:szCs w:val="32"/>
        </w:rPr>
      </w:pPr>
    </w:p>
    <w:p>
      <w:pPr>
        <w:pageBreakBefore w:val="0"/>
        <w:kinsoku/>
        <w:wordWrap/>
        <w:overflowPunct/>
        <w:topLinePunct w:val="0"/>
        <w:bidi w:val="0"/>
        <w:spacing w:line="560" w:lineRule="exact"/>
        <w:jc w:val="left"/>
        <w:outlineLvl w:val="0"/>
        <w:rPr>
          <w:rFonts w:hint="default" w:ascii="Times New Roman" w:hAnsi="Times New Roman" w:eastAsia="黑体" w:cs="Times New Roman"/>
          <w:color w:val="auto"/>
          <w:sz w:val="32"/>
          <w:szCs w:val="32"/>
        </w:rPr>
      </w:pPr>
    </w:p>
    <w:p>
      <w:pPr>
        <w:pageBreakBefore w:val="0"/>
        <w:kinsoku/>
        <w:wordWrap/>
        <w:overflowPunct/>
        <w:topLinePunct w:val="0"/>
        <w:bidi w:val="0"/>
        <w:spacing w:line="560" w:lineRule="exact"/>
        <w:jc w:val="left"/>
        <w:outlineLvl w:val="0"/>
        <w:rPr>
          <w:rFonts w:hint="default" w:ascii="Times New Roman" w:hAnsi="Times New Roman" w:eastAsia="黑体" w:cs="Times New Roman"/>
          <w:color w:val="auto"/>
          <w:sz w:val="32"/>
          <w:szCs w:val="32"/>
        </w:rPr>
      </w:pPr>
    </w:p>
    <w:p>
      <w:pPr>
        <w:pageBreakBefore w:val="0"/>
        <w:kinsoku/>
        <w:wordWrap/>
        <w:overflowPunct/>
        <w:topLinePunct w:val="0"/>
        <w:bidi w:val="0"/>
        <w:spacing w:line="560" w:lineRule="exact"/>
        <w:jc w:val="left"/>
        <w:outlineLvl w:val="0"/>
        <w:rPr>
          <w:rFonts w:hint="default" w:ascii="Times New Roman" w:hAnsi="Times New Roman" w:eastAsia="黑体" w:cs="Times New Roman"/>
          <w:color w:val="auto"/>
          <w:sz w:val="44"/>
          <w:szCs w:val="44"/>
          <w:lang w:eastAsia="zh-CN"/>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3</w:t>
      </w:r>
    </w:p>
    <w:p>
      <w:pPr>
        <w:pStyle w:val="3"/>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小标宋简体" w:cs="Times New Roman"/>
          <w:b w:val="0"/>
          <w:bCs w:val="0"/>
          <w:color w:val="auto"/>
          <w:kern w:val="2"/>
          <w:sz w:val="44"/>
          <w:szCs w:val="44"/>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小标宋简体" w:cs="Times New Roman"/>
          <w:b w:val="0"/>
          <w:bCs w:val="0"/>
          <w:color w:val="auto"/>
          <w:sz w:val="44"/>
          <w:szCs w:val="44"/>
          <w:lang w:eastAsia="zh-CN"/>
        </w:rPr>
      </w:pPr>
      <w:r>
        <w:rPr>
          <w:rFonts w:hint="default" w:ascii="Times New Roman" w:hAnsi="Times New Roman" w:eastAsia="方正小标宋简体" w:cs="Times New Roman"/>
          <w:b w:val="0"/>
          <w:bCs w:val="0"/>
          <w:color w:val="auto"/>
          <w:kern w:val="2"/>
          <w:sz w:val="44"/>
          <w:szCs w:val="44"/>
          <w:lang w:val="en-US" w:eastAsia="zh-CN"/>
        </w:rPr>
        <w:t>2021年</w:t>
      </w:r>
      <w:r>
        <w:rPr>
          <w:rFonts w:hint="default" w:ascii="Times New Roman" w:hAnsi="Times New Roman" w:eastAsia="方正小标宋简体" w:cs="Times New Roman"/>
          <w:b w:val="0"/>
          <w:bCs w:val="0"/>
          <w:color w:val="auto"/>
          <w:sz w:val="44"/>
          <w:szCs w:val="44"/>
          <w:lang w:eastAsia="zh-CN"/>
        </w:rPr>
        <w:t>攀西战略资源创新开发专项资金</w:t>
      </w:r>
    </w:p>
    <w:p>
      <w:pPr>
        <w:pStyle w:val="42"/>
        <w:pageBreakBefore w:val="0"/>
        <w:kinsoku/>
        <w:wordWrap/>
        <w:overflowPunct/>
        <w:topLinePunct w:val="0"/>
        <w:bidi w:val="0"/>
        <w:spacing w:line="560" w:lineRule="exact"/>
        <w:jc w:val="center"/>
        <w:rPr>
          <w:rFonts w:hint="default" w:ascii="Times New Roman" w:hAnsi="Times New Roman" w:eastAsia="方正小标宋简体" w:cs="Times New Roman"/>
          <w:color w:val="auto"/>
          <w:kern w:val="2"/>
          <w:sz w:val="44"/>
          <w:szCs w:val="44"/>
          <w:lang w:val="en-US"/>
        </w:rPr>
      </w:pPr>
      <w:r>
        <w:rPr>
          <w:rFonts w:hint="default" w:ascii="Times New Roman" w:hAnsi="Times New Roman" w:eastAsia="方正小标宋简体" w:cs="Times New Roman"/>
          <w:b w:val="0"/>
          <w:bCs w:val="0"/>
          <w:color w:val="auto"/>
          <w:kern w:val="2"/>
          <w:sz w:val="44"/>
          <w:szCs w:val="44"/>
          <w:lang w:eastAsia="zh-CN"/>
        </w:rPr>
        <w:t>支出</w:t>
      </w:r>
      <w:r>
        <w:rPr>
          <w:rFonts w:hint="default" w:ascii="Times New Roman" w:hAnsi="Times New Roman" w:eastAsia="方正小标宋简体" w:cs="Times New Roman"/>
          <w:b w:val="0"/>
          <w:bCs w:val="0"/>
          <w:color w:val="auto"/>
          <w:kern w:val="2"/>
          <w:sz w:val="44"/>
          <w:szCs w:val="44"/>
        </w:rPr>
        <w:t>绩效</w:t>
      </w:r>
      <w:r>
        <w:rPr>
          <w:rFonts w:hint="default" w:ascii="Times New Roman" w:hAnsi="Times New Roman" w:eastAsia="方正小标宋简体" w:cs="Times New Roman"/>
          <w:color w:val="auto"/>
          <w:kern w:val="2"/>
          <w:sz w:val="44"/>
          <w:szCs w:val="44"/>
          <w:lang w:val="en-US"/>
        </w:rPr>
        <w:t>自评报告</w:t>
      </w:r>
    </w:p>
    <w:p>
      <w:pPr>
        <w:pStyle w:val="42"/>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cs="Times New Roman"/>
          <w:color w:val="auto"/>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黑体" w:cs="Times New Roman"/>
          <w:color w:val="auto"/>
          <w:sz w:val="32"/>
          <w:szCs w:val="32"/>
          <w:lang w:val="zh-CN"/>
        </w:rPr>
      </w:pPr>
      <w:r>
        <w:rPr>
          <w:rFonts w:hint="default" w:ascii="Times New Roman" w:hAnsi="Times New Roman" w:eastAsia="黑体" w:cs="Times New Roman"/>
          <w:color w:val="auto"/>
          <w:sz w:val="32"/>
          <w:szCs w:val="32"/>
        </w:rPr>
        <w:t>一、</w:t>
      </w:r>
      <w:r>
        <w:rPr>
          <w:rFonts w:hint="default" w:ascii="Times New Roman" w:hAnsi="Times New Roman" w:eastAsia="黑体" w:cs="Times New Roman"/>
          <w:color w:val="auto"/>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楷体_GB2312" w:cs="Times New Roman"/>
          <w:b/>
          <w:bCs w:val="0"/>
          <w:color w:val="auto"/>
          <w:sz w:val="32"/>
          <w:szCs w:val="32"/>
          <w:lang w:val="zh-CN"/>
        </w:rPr>
      </w:pPr>
      <w:r>
        <w:rPr>
          <w:rFonts w:hint="default" w:ascii="Times New Roman" w:hAnsi="Times New Roman" w:eastAsia="楷体_GB2312" w:cs="Times New Roman"/>
          <w:b/>
          <w:bCs w:val="0"/>
          <w:color w:val="auto"/>
          <w:sz w:val="32"/>
          <w:szCs w:val="32"/>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b/>
          <w:bCs/>
          <w:i w:val="0"/>
          <w:iCs w:val="0"/>
          <w:caps w:val="0"/>
          <w:color w:val="auto"/>
          <w:spacing w:val="0"/>
          <w:sz w:val="32"/>
          <w:szCs w:val="32"/>
          <w:lang w:val="en-US" w:eastAsia="zh-CN"/>
        </w:rPr>
        <w:t>1.</w:t>
      </w:r>
      <w:r>
        <w:rPr>
          <w:rFonts w:hint="default" w:ascii="Times New Roman" w:hAnsi="Times New Roman" w:eastAsia="仿宋_GB2312" w:cs="Times New Roman"/>
          <w:b/>
          <w:bCs/>
          <w:i w:val="0"/>
          <w:iCs w:val="0"/>
          <w:caps w:val="0"/>
          <w:color w:val="auto"/>
          <w:spacing w:val="0"/>
          <w:sz w:val="32"/>
          <w:szCs w:val="32"/>
          <w:lang w:val="zh-CN" w:eastAsia="zh-CN"/>
        </w:rPr>
        <w:t>主管部门职能。</w:t>
      </w:r>
      <w:r>
        <w:rPr>
          <w:rFonts w:hint="default" w:ascii="Times New Roman" w:hAnsi="Times New Roman" w:eastAsia="仿宋_GB2312" w:cs="Times New Roman"/>
          <w:color w:val="auto"/>
          <w:sz w:val="32"/>
          <w:szCs w:val="32"/>
          <w:lang w:val="zh-CN" w:eastAsia="zh-CN"/>
        </w:rPr>
        <w:t>攀西战略资源创新开发专项资金由省发展改革委、科技厅、财政厅共同管理。</w:t>
      </w:r>
      <w:r>
        <w:rPr>
          <w:rFonts w:hint="default" w:ascii="Times New Roman" w:hAnsi="Times New Roman" w:eastAsia="仿宋_GB2312" w:cs="Times New Roman"/>
          <w:color w:val="auto"/>
          <w:kern w:val="0"/>
          <w:sz w:val="32"/>
          <w:szCs w:val="32"/>
        </w:rPr>
        <w:t>省发展改革委</w:t>
      </w:r>
      <w:r>
        <w:rPr>
          <w:rFonts w:hint="default" w:ascii="Times New Roman" w:hAnsi="Times New Roman" w:eastAsia="仿宋_GB2312" w:cs="Times New Roman"/>
          <w:color w:val="auto"/>
          <w:kern w:val="0"/>
          <w:sz w:val="32"/>
          <w:szCs w:val="32"/>
          <w:lang w:eastAsia="zh-CN"/>
        </w:rPr>
        <w:t>牵头研究</w:t>
      </w:r>
      <w:r>
        <w:rPr>
          <w:rFonts w:hint="default" w:ascii="Times New Roman" w:hAnsi="Times New Roman" w:eastAsia="仿宋_GB2312" w:cs="Times New Roman"/>
          <w:color w:val="auto"/>
          <w:kern w:val="0"/>
          <w:sz w:val="32"/>
          <w:szCs w:val="32"/>
        </w:rPr>
        <w:t>提出专项资金重点投向</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组织申报项目的论证审查，提出年度专项资金安排建议，</w:t>
      </w:r>
      <w:r>
        <w:rPr>
          <w:rFonts w:hint="default" w:ascii="Times New Roman" w:hAnsi="Times New Roman" w:eastAsia="仿宋_GB2312" w:cs="Times New Roman"/>
          <w:color w:val="auto"/>
          <w:kern w:val="0"/>
          <w:sz w:val="32"/>
          <w:szCs w:val="32"/>
          <w:lang w:eastAsia="zh-CN"/>
        </w:rPr>
        <w:t>根据省政府审定意见下达专项资金投资计划</w:t>
      </w:r>
      <w:r>
        <w:rPr>
          <w:rFonts w:hint="default" w:ascii="Times New Roman" w:hAnsi="Times New Roman" w:eastAsia="仿宋_GB2312" w:cs="Times New Roman"/>
          <w:color w:val="auto"/>
          <w:kern w:val="0"/>
          <w:sz w:val="32"/>
          <w:szCs w:val="32"/>
        </w:rPr>
        <w:t>，做好项目的</w:t>
      </w:r>
      <w:r>
        <w:rPr>
          <w:rFonts w:hint="default" w:ascii="Times New Roman" w:hAnsi="Times New Roman" w:eastAsia="仿宋_GB2312" w:cs="Times New Roman"/>
          <w:color w:val="auto"/>
          <w:kern w:val="0"/>
          <w:sz w:val="32"/>
          <w:szCs w:val="32"/>
          <w:lang w:eastAsia="zh-CN"/>
        </w:rPr>
        <w:t>督导</w:t>
      </w:r>
      <w:r>
        <w:rPr>
          <w:rFonts w:hint="default" w:ascii="Times New Roman" w:hAnsi="Times New Roman" w:eastAsia="仿宋_GB2312" w:cs="Times New Roman"/>
          <w:color w:val="auto"/>
          <w:kern w:val="0"/>
          <w:sz w:val="32"/>
          <w:szCs w:val="32"/>
        </w:rPr>
        <w:t>、验收</w:t>
      </w:r>
      <w:r>
        <w:rPr>
          <w:rFonts w:hint="default" w:ascii="Times New Roman" w:hAnsi="Times New Roman" w:eastAsia="仿宋_GB2312" w:cs="Times New Roman"/>
          <w:color w:val="auto"/>
          <w:kern w:val="0"/>
          <w:sz w:val="32"/>
          <w:szCs w:val="32"/>
          <w:lang w:eastAsia="zh-CN"/>
        </w:rPr>
        <w:t>和组织项目绩效评价等工作；科技厅牵头组织科技攻关项目遴选、论证审查，提出年度科技攻关项目建议，做好项目督导、鉴定验收和绩效自评等工作；财政厅负责提出专项资金年度规模，按年度专项资金安排建议报省政府常务会议审定，根据专项资金投资计划审核拨付项目资金，监督管理专项资金使用。</w:t>
      </w:r>
      <w:r>
        <w:rPr>
          <w:rFonts w:hint="default" w:ascii="Times New Roman" w:hAnsi="Times New Roman" w:eastAsia="仿宋_GB2312" w:cs="Times New Roman"/>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Times New Roman"/>
          <w:color w:val="auto"/>
          <w:kern w:val="0"/>
          <w:sz w:val="32"/>
          <w:szCs w:val="32"/>
          <w:lang w:val="en" w:eastAsia="zh-CN"/>
        </w:rPr>
      </w:pPr>
      <w:r>
        <w:rPr>
          <w:rFonts w:hint="default" w:ascii="Times New Roman" w:hAnsi="Times New Roman" w:eastAsia="仿宋_GB2312" w:cs="Times New Roman"/>
          <w:b/>
          <w:bCs/>
          <w:i w:val="0"/>
          <w:iCs w:val="0"/>
          <w:caps w:val="0"/>
          <w:color w:val="auto"/>
          <w:spacing w:val="0"/>
          <w:sz w:val="32"/>
          <w:szCs w:val="32"/>
          <w:lang w:val="en-US" w:eastAsia="zh-CN"/>
        </w:rPr>
        <w:t>2</w:t>
      </w:r>
      <w:r>
        <w:rPr>
          <w:rFonts w:hint="default" w:ascii="Times New Roman" w:hAnsi="Times New Roman" w:eastAsia="仿宋_GB2312" w:cs="Times New Roman"/>
          <w:b/>
          <w:bCs/>
          <w:i w:val="0"/>
          <w:iCs w:val="0"/>
          <w:caps w:val="0"/>
          <w:color w:val="auto"/>
          <w:spacing w:val="0"/>
          <w:sz w:val="32"/>
          <w:szCs w:val="32"/>
          <w:lang w:val="en" w:eastAsia="zh-CN"/>
        </w:rPr>
        <w:t>.项目立项、资金申报依据。</w:t>
      </w:r>
      <w:r>
        <w:rPr>
          <w:rFonts w:hint="default" w:ascii="Times New Roman" w:hAnsi="Times New Roman" w:eastAsia="仿宋_GB2312" w:cs="Times New Roman"/>
          <w:color w:val="auto"/>
          <w:kern w:val="0"/>
          <w:sz w:val="32"/>
          <w:szCs w:val="32"/>
          <w:lang w:val="en" w:eastAsia="zh-CN"/>
        </w:rPr>
        <w:t>按照省政府《关于支持攀西国家级战略资源创新开发试验区建设的</w:t>
      </w:r>
      <w:r>
        <w:rPr>
          <w:rFonts w:hint="default" w:ascii="Times New Roman" w:hAnsi="Times New Roman" w:eastAsia="仿宋_GB2312" w:cs="Times New Roman"/>
          <w:color w:val="auto"/>
          <w:kern w:val="0"/>
          <w:sz w:val="32"/>
          <w:szCs w:val="32"/>
          <w:lang w:val="en-US" w:eastAsia="zh-CN"/>
        </w:rPr>
        <w:t>政策意见</w:t>
      </w:r>
      <w:r>
        <w:rPr>
          <w:rFonts w:hint="default" w:ascii="Times New Roman" w:hAnsi="Times New Roman" w:eastAsia="仿宋_GB2312" w:cs="Times New Roman"/>
          <w:color w:val="auto"/>
          <w:kern w:val="0"/>
          <w:sz w:val="32"/>
          <w:szCs w:val="32"/>
          <w:lang w:val="en" w:eastAsia="zh-CN"/>
        </w:rPr>
        <w:t>》（</w:t>
      </w:r>
      <w:r>
        <w:rPr>
          <w:rFonts w:hint="default" w:ascii="Times New Roman" w:hAnsi="Times New Roman" w:eastAsia="仿宋_GB2312" w:cs="Times New Roman"/>
          <w:color w:val="auto"/>
          <w:kern w:val="0"/>
          <w:sz w:val="32"/>
          <w:szCs w:val="32"/>
          <w:lang w:val="en-US" w:eastAsia="zh-CN"/>
        </w:rPr>
        <w:t>川府发〔2013〕45号</w:t>
      </w:r>
      <w:r>
        <w:rPr>
          <w:rFonts w:hint="default" w:ascii="Times New Roman" w:hAnsi="Times New Roman" w:eastAsia="仿宋_GB2312" w:cs="Times New Roman"/>
          <w:color w:val="auto"/>
          <w:kern w:val="0"/>
          <w:sz w:val="32"/>
          <w:szCs w:val="32"/>
          <w:lang w:val="en" w:eastAsia="zh-CN"/>
        </w:rPr>
        <w:t>）</w:t>
      </w:r>
      <w:r>
        <w:rPr>
          <w:rFonts w:hint="default" w:ascii="Times New Roman" w:hAnsi="Times New Roman" w:eastAsia="仿宋_GB2312" w:cs="Times New Roman"/>
          <w:color w:val="auto"/>
          <w:kern w:val="0"/>
          <w:sz w:val="32"/>
          <w:szCs w:val="32"/>
          <w:lang w:val="en-US" w:eastAsia="zh-CN"/>
        </w:rPr>
        <w:t>，我委在2021年攀西战略资源创新开发专项资金中安排15000万元，用于支持攀西战略资源综合利用项目。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i w:val="0"/>
          <w:iCs w:val="0"/>
          <w:caps w:val="0"/>
          <w:color w:val="auto"/>
          <w:spacing w:val="0"/>
          <w:sz w:val="32"/>
          <w:szCs w:val="32"/>
          <w:lang w:val="zh-CN" w:eastAsia="zh-CN"/>
        </w:rPr>
        <w:t>资金管理办法制定情况，资金支持具体项目的条件、范围与支持方式概况。</w:t>
      </w:r>
      <w:r>
        <w:rPr>
          <w:rFonts w:hint="default" w:ascii="Times New Roman" w:hAnsi="Times New Roman" w:eastAsia="仿宋_GB2312" w:cs="Times New Roman"/>
          <w:color w:val="auto"/>
          <w:kern w:val="0"/>
          <w:sz w:val="32"/>
          <w:szCs w:val="32"/>
          <w:lang w:val="zh-CN" w:eastAsia="zh-CN"/>
        </w:rPr>
        <w:t>按照省政府十三届第</w:t>
      </w:r>
      <w:r>
        <w:rPr>
          <w:rFonts w:hint="default" w:ascii="Times New Roman" w:hAnsi="Times New Roman" w:eastAsia="仿宋_GB2312" w:cs="Times New Roman"/>
          <w:color w:val="auto"/>
          <w:kern w:val="0"/>
          <w:sz w:val="32"/>
          <w:szCs w:val="32"/>
          <w:lang w:val="en-US" w:eastAsia="zh-CN"/>
        </w:rPr>
        <w:t>88次</w:t>
      </w:r>
      <w:r>
        <w:rPr>
          <w:rFonts w:hint="default" w:ascii="Times New Roman" w:hAnsi="Times New Roman" w:eastAsia="仿宋_GB2312" w:cs="Times New Roman"/>
          <w:color w:val="auto"/>
          <w:kern w:val="0"/>
          <w:sz w:val="32"/>
          <w:szCs w:val="32"/>
          <w:lang w:val="zh-CN" w:eastAsia="zh-CN"/>
        </w:rPr>
        <w:t>常务会议审定要求，根据《</w:t>
      </w:r>
      <w:r>
        <w:rPr>
          <w:rFonts w:hint="default" w:ascii="Times New Roman" w:hAnsi="Times New Roman" w:eastAsia="仿宋_GB2312" w:cs="Times New Roman"/>
          <w:color w:val="auto"/>
          <w:kern w:val="0"/>
          <w:sz w:val="32"/>
          <w:szCs w:val="32"/>
          <w:lang w:val="en-US" w:eastAsia="zh-CN"/>
        </w:rPr>
        <w:t>攀西战略资源创新开发专项资金管理办法</w:t>
      </w:r>
      <w:r>
        <w:rPr>
          <w:rFonts w:hint="default" w:ascii="Times New Roman" w:hAnsi="Times New Roman" w:eastAsia="仿宋_GB2312" w:cs="Times New Roman"/>
          <w:color w:val="auto"/>
          <w:kern w:val="0"/>
          <w:sz w:val="32"/>
          <w:szCs w:val="32"/>
          <w:lang w:val="en" w:eastAsia="zh-CN"/>
        </w:rPr>
        <w:t>》（</w:t>
      </w:r>
      <w:r>
        <w:rPr>
          <w:rFonts w:hint="default" w:ascii="Times New Roman" w:hAnsi="Times New Roman" w:eastAsia="仿宋_GB2312" w:cs="Times New Roman"/>
          <w:color w:val="auto"/>
          <w:kern w:val="0"/>
          <w:sz w:val="32"/>
          <w:szCs w:val="32"/>
          <w:lang w:val="en-US" w:eastAsia="zh-CN"/>
        </w:rPr>
        <w:t>川发改产业〔2014〕773号</w:t>
      </w:r>
      <w:r>
        <w:rPr>
          <w:rFonts w:hint="default" w:ascii="Times New Roman" w:hAnsi="Times New Roman" w:eastAsia="仿宋_GB2312" w:cs="Times New Roman"/>
          <w:color w:val="auto"/>
          <w:kern w:val="0"/>
          <w:sz w:val="32"/>
          <w:szCs w:val="32"/>
          <w:lang w:val="en" w:eastAsia="zh-CN"/>
        </w:rPr>
        <w:t>）相关规定</w:t>
      </w:r>
      <w:r>
        <w:rPr>
          <w:rFonts w:hint="default" w:ascii="Times New Roman" w:hAnsi="Times New Roman" w:eastAsia="仿宋_GB2312" w:cs="Times New Roman"/>
          <w:color w:val="auto"/>
          <w:kern w:val="0"/>
          <w:sz w:val="32"/>
          <w:szCs w:val="32"/>
          <w:lang w:val="en-US" w:eastAsia="zh-CN"/>
        </w:rPr>
        <w:t>，2021年省发展改革委向攀枝花、凉山等6市（州）发展改革部门下达专项资金投资计划，涉及科技攻关、产业化、创新平台建设项目，采取投资补助方式安排。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i w:val="0"/>
          <w:iCs w:val="0"/>
          <w:caps w:val="0"/>
          <w:color w:val="auto"/>
          <w:spacing w:val="0"/>
          <w:sz w:val="32"/>
          <w:szCs w:val="32"/>
          <w:lang w:val="zh-CN" w:eastAsia="zh-CN"/>
        </w:rPr>
        <w:t>资金分配的原则及考虑因素。</w:t>
      </w:r>
      <w:r>
        <w:rPr>
          <w:rFonts w:hint="default" w:ascii="Times New Roman" w:hAnsi="Times New Roman" w:eastAsia="仿宋_GB2312" w:cs="Times New Roman"/>
          <w:color w:val="auto"/>
          <w:kern w:val="0"/>
          <w:sz w:val="32"/>
          <w:szCs w:val="32"/>
          <w:lang w:val="zh-CN" w:eastAsia="zh-CN"/>
        </w:rPr>
        <w:t>按照《</w:t>
      </w:r>
      <w:r>
        <w:rPr>
          <w:rFonts w:hint="default" w:ascii="Times New Roman" w:hAnsi="Times New Roman" w:eastAsia="仿宋_GB2312" w:cs="Times New Roman"/>
          <w:color w:val="auto"/>
          <w:kern w:val="0"/>
          <w:sz w:val="32"/>
          <w:szCs w:val="32"/>
          <w:lang w:val="en-US" w:eastAsia="zh-CN"/>
        </w:rPr>
        <w:t>攀西战略资源创新开发专项资金管理办法</w:t>
      </w:r>
      <w:r>
        <w:rPr>
          <w:rFonts w:hint="default" w:ascii="Times New Roman" w:hAnsi="Times New Roman" w:eastAsia="仿宋_GB2312" w:cs="Times New Roman"/>
          <w:color w:val="auto"/>
          <w:kern w:val="0"/>
          <w:sz w:val="32"/>
          <w:szCs w:val="32"/>
          <w:lang w:val="en" w:eastAsia="zh-CN"/>
        </w:rPr>
        <w:t>》关于科技攻关及产业化项目专项资金分三次安排的规定</w:t>
      </w:r>
      <w:r>
        <w:rPr>
          <w:rFonts w:hint="default" w:ascii="Times New Roman" w:hAnsi="Times New Roman" w:eastAsia="仿宋_GB2312" w:cs="Times New Roman"/>
          <w:color w:val="auto"/>
          <w:sz w:val="32"/>
          <w:szCs w:val="32"/>
          <w:lang w:val="en-US" w:eastAsia="zh-CN"/>
        </w:rPr>
        <w:t>，根据年度完成鉴定验收项目情况，2021年续安排完成验收的产业化项目4048万元，新安排科技攻关项目3983万元、产业化项目6719万元、创新平台项目250万元。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楷体_GB2312" w:cs="Times New Roman"/>
          <w:b/>
          <w:bCs w:val="0"/>
          <w:color w:val="auto"/>
          <w:sz w:val="32"/>
          <w:szCs w:val="32"/>
          <w:lang w:val="zh-CN"/>
        </w:rPr>
      </w:pPr>
      <w:r>
        <w:rPr>
          <w:rFonts w:hint="default" w:ascii="Times New Roman" w:hAnsi="Times New Roman" w:eastAsia="楷体_GB2312" w:cs="Times New Roman"/>
          <w:b/>
          <w:bCs w:val="0"/>
          <w:color w:val="auto"/>
          <w:sz w:val="32"/>
          <w:szCs w:val="32"/>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i w:val="0"/>
          <w:iCs w:val="0"/>
          <w:caps w:val="0"/>
          <w:color w:val="auto"/>
          <w:spacing w:val="0"/>
          <w:sz w:val="32"/>
          <w:szCs w:val="32"/>
          <w:lang w:val="zh-CN" w:eastAsia="zh-CN"/>
        </w:rPr>
        <w:t>1</w:t>
      </w:r>
      <w:r>
        <w:rPr>
          <w:rFonts w:hint="default" w:ascii="Times New Roman" w:hAnsi="Times New Roman" w:eastAsia="仿宋_GB2312" w:cs="Times New Roman"/>
          <w:b/>
          <w:bCs/>
          <w:i w:val="0"/>
          <w:iCs w:val="0"/>
          <w:caps w:val="0"/>
          <w:color w:val="auto"/>
          <w:spacing w:val="0"/>
          <w:sz w:val="32"/>
          <w:szCs w:val="32"/>
          <w:lang w:val="en" w:eastAsia="zh-CN"/>
        </w:rPr>
        <w:t>.</w:t>
      </w:r>
      <w:r>
        <w:rPr>
          <w:rFonts w:hint="default" w:ascii="Times New Roman" w:hAnsi="Times New Roman" w:eastAsia="仿宋_GB2312" w:cs="Times New Roman"/>
          <w:b/>
          <w:bCs/>
          <w:i w:val="0"/>
          <w:iCs w:val="0"/>
          <w:caps w:val="0"/>
          <w:color w:val="auto"/>
          <w:spacing w:val="0"/>
          <w:sz w:val="32"/>
          <w:szCs w:val="32"/>
          <w:lang w:val="zh-CN" w:eastAsia="zh-CN"/>
        </w:rPr>
        <w:t>项目主要内容。</w:t>
      </w:r>
      <w:r>
        <w:rPr>
          <w:rFonts w:hint="default" w:ascii="Times New Roman" w:hAnsi="Times New Roman" w:eastAsia="仿宋_GB2312" w:cs="Times New Roman"/>
          <w:color w:val="auto"/>
          <w:sz w:val="32"/>
          <w:szCs w:val="32"/>
          <w:lang w:val="en-US" w:eastAsia="zh-CN"/>
        </w:rPr>
        <w:t>2021年专项资金项目共24个。其中：科技攻关项目13个，包括钒钛领域大规格钛钢复合板技术、氯化钛白工艺技术、钒电池电堆产业化技术、共伴生钴镍铜资源高效分离提取技术等；稀土领域催化材料技术、磁性材料技术、硬质化数控刀具合金技术等；碲铋领域5N碲化镉低成本合成技术。产业化项目10个（含续安排项目4个），包括海绵钛结构优化技改、钛及钛合金材料产业化、稀土金属等。创新平台项目1个，为钒钛磁铁矿综合利用检验检测能力提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i w:val="0"/>
          <w:iCs w:val="0"/>
          <w:caps w:val="0"/>
          <w:color w:val="auto"/>
          <w:spacing w:val="0"/>
          <w:sz w:val="32"/>
          <w:szCs w:val="32"/>
          <w:lang w:val="en-US" w:eastAsia="zh-CN"/>
        </w:rPr>
        <w:t>2.</w:t>
      </w:r>
      <w:r>
        <w:rPr>
          <w:rFonts w:hint="default" w:ascii="Times New Roman" w:hAnsi="Times New Roman" w:eastAsia="仿宋_GB2312" w:cs="Times New Roman"/>
          <w:b/>
          <w:bCs/>
          <w:i w:val="0"/>
          <w:iCs w:val="0"/>
          <w:caps w:val="0"/>
          <w:color w:val="auto"/>
          <w:spacing w:val="0"/>
          <w:sz w:val="32"/>
          <w:szCs w:val="32"/>
          <w:lang w:val="zh-CN" w:eastAsia="zh-CN"/>
        </w:rPr>
        <w:t>项目应实现的具体绩效目标。</w:t>
      </w:r>
      <w:r>
        <w:rPr>
          <w:rFonts w:hint="default" w:ascii="Times New Roman" w:hAnsi="Times New Roman" w:eastAsia="仿宋_GB2312" w:cs="Times New Roman"/>
          <w:b w:val="0"/>
          <w:bCs w:val="0"/>
          <w:color w:val="auto"/>
          <w:sz w:val="32"/>
          <w:szCs w:val="32"/>
          <w:lang w:val="zh-CN"/>
        </w:rPr>
        <w:t>专项资金补助项目的开工率达到</w:t>
      </w:r>
      <w:r>
        <w:rPr>
          <w:rFonts w:hint="default" w:ascii="Times New Roman" w:hAnsi="Times New Roman" w:eastAsia="仿宋_GB2312" w:cs="Times New Roman"/>
          <w:b w:val="0"/>
          <w:bCs w:val="0"/>
          <w:color w:val="auto"/>
          <w:sz w:val="32"/>
          <w:szCs w:val="32"/>
          <w:lang w:val="en-US" w:eastAsia="zh-CN"/>
        </w:rPr>
        <w:t>100%，完成年度建设目标任务（其中，续安排项目完成鉴定验收），通过项目实施促进攀西战略资源关键技术取得重大突破、资源综合利用产业转型升级，相关企业产值利税提升、社会和生态效益良好，推动攀西试验区可持续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Times New Roman"/>
          <w:b/>
          <w:bCs/>
          <w:color w:val="auto"/>
          <w:sz w:val="32"/>
          <w:szCs w:val="32"/>
          <w:lang w:val="zh-CN"/>
        </w:rPr>
      </w:pPr>
      <w:r>
        <w:rPr>
          <w:rFonts w:hint="default" w:ascii="Times New Roman" w:hAnsi="Times New Roman" w:eastAsia="仿宋_GB2312" w:cs="Times New Roman"/>
          <w:b/>
          <w:bCs/>
          <w:color w:val="auto"/>
          <w:sz w:val="32"/>
          <w:szCs w:val="32"/>
          <w:lang w:val="zh-CN"/>
        </w:rPr>
        <w:t>3</w:t>
      </w:r>
      <w:r>
        <w:rPr>
          <w:rFonts w:hint="default" w:ascii="Times New Roman" w:hAnsi="Times New Roman" w:eastAsia="仿宋_GB2312" w:cs="Times New Roman"/>
          <w:b/>
          <w:bCs/>
          <w:color w:val="auto"/>
          <w:sz w:val="32"/>
          <w:szCs w:val="32"/>
          <w:lang w:val="en"/>
        </w:rPr>
        <w:t>.</w:t>
      </w:r>
      <w:r>
        <w:rPr>
          <w:rFonts w:hint="default" w:ascii="Times New Roman" w:hAnsi="Times New Roman" w:eastAsia="仿宋_GB2312" w:cs="Times New Roman"/>
          <w:b/>
          <w:bCs/>
          <w:color w:val="auto"/>
          <w:sz w:val="32"/>
          <w:szCs w:val="32"/>
          <w:lang w:val="zh-CN"/>
        </w:rPr>
        <w:t>申报内容与实际相符，申报目标合理可行。</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楷体_GB2312" w:cs="Times New Roman"/>
          <w:b/>
          <w:bCs w:val="0"/>
          <w:color w:val="auto"/>
          <w:sz w:val="32"/>
          <w:szCs w:val="32"/>
          <w:lang w:val="zh-CN"/>
        </w:rPr>
      </w:pPr>
      <w:r>
        <w:rPr>
          <w:rFonts w:hint="default" w:ascii="Times New Roman" w:hAnsi="Times New Roman" w:eastAsia="楷体_GB2312" w:cs="Times New Roman"/>
          <w:b/>
          <w:bCs w:val="0"/>
          <w:color w:val="auto"/>
          <w:sz w:val="32"/>
          <w:szCs w:val="32"/>
          <w:lang w:val="zh-CN"/>
        </w:rPr>
        <w:t>（三）项目自评步骤及方法。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en-US" w:eastAsia="zh-CN"/>
        </w:rPr>
        <w:t>根据</w:t>
      </w:r>
      <w:r>
        <w:rPr>
          <w:rFonts w:hint="default" w:ascii="Times New Roman" w:hAnsi="Times New Roman" w:eastAsia="仿宋_GB2312" w:cs="Times New Roman"/>
          <w:bCs/>
          <w:color w:val="auto"/>
          <w:sz w:val="32"/>
          <w:szCs w:val="32"/>
          <w:lang w:val="en-US" w:eastAsia="zh-CN"/>
        </w:rPr>
        <w:t>2022年省预算内投资项目绩效自评工作内容</w:t>
      </w:r>
      <w:r>
        <w:rPr>
          <w:rFonts w:hint="default" w:ascii="Times New Roman" w:hAnsi="Times New Roman" w:eastAsia="仿宋_GB2312" w:cs="Times New Roman"/>
          <w:color w:val="auto"/>
          <w:sz w:val="32"/>
          <w:szCs w:val="32"/>
          <w:lang w:val="zh-CN"/>
        </w:rPr>
        <w:t>，及时通知相关市（州）发展改革部门牵头梳理</w:t>
      </w:r>
      <w:r>
        <w:rPr>
          <w:rFonts w:hint="default" w:ascii="Times New Roman" w:hAnsi="Times New Roman" w:eastAsia="仿宋_GB2312" w:cs="Times New Roman"/>
          <w:bCs/>
          <w:color w:val="auto"/>
          <w:sz w:val="32"/>
          <w:szCs w:val="32"/>
          <w:lang w:val="en-US" w:eastAsia="zh-CN"/>
        </w:rPr>
        <w:t>2021年专项资金补助项目实施情况，并采取电话交流、网上调度等方式开展指导培训</w:t>
      </w:r>
      <w:r>
        <w:rPr>
          <w:rFonts w:hint="default" w:ascii="Times New Roman" w:hAnsi="Times New Roman" w:eastAsia="仿宋_GB2312" w:cs="Times New Roman"/>
          <w:bCs/>
          <w:color w:val="auto"/>
          <w:sz w:val="32"/>
          <w:szCs w:val="32"/>
          <w:lang w:eastAsia="zh-CN"/>
        </w:rPr>
        <w:t>。经商科技厅，拟据疫情形势适时开展实地项目督导核查工作。</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楷体_GB2312" w:cs="Times New Roman"/>
          <w:b/>
          <w:bCs w:val="0"/>
          <w:color w:val="auto"/>
          <w:sz w:val="32"/>
          <w:szCs w:val="32"/>
          <w:lang w:val="zh-CN"/>
        </w:rPr>
      </w:pPr>
      <w:r>
        <w:rPr>
          <w:rFonts w:hint="default" w:ascii="Times New Roman" w:hAnsi="Times New Roman" w:eastAsia="楷体_GB2312" w:cs="Times New Roman"/>
          <w:b/>
          <w:bCs w:val="0"/>
          <w:color w:val="auto"/>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zh-CN"/>
        </w:rPr>
        <w:t>省发展改革委会同科技厅、财政厅研究明确</w:t>
      </w:r>
      <w:r>
        <w:rPr>
          <w:rFonts w:hint="default" w:ascii="Times New Roman" w:hAnsi="Times New Roman" w:eastAsia="仿宋_GB2312" w:cs="Times New Roman"/>
          <w:color w:val="auto"/>
          <w:sz w:val="32"/>
          <w:szCs w:val="32"/>
          <w:lang w:val="en-US" w:eastAsia="zh-CN"/>
        </w:rPr>
        <w:t>2021年攀西战略资源创新开发专项资金重点投向后，通知各市（州）发展改革部门牵头组织项目申报，委托第三方机构组织项目咨询评估，形成专项资金安排建议方案，经委党组会议审定后报省政府第88次常务会议审议通过，分项目正式下达投资计划。</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楷体_GB2312" w:cs="Times New Roman"/>
          <w:b/>
          <w:bCs w:val="0"/>
          <w:color w:val="auto"/>
          <w:sz w:val="32"/>
          <w:szCs w:val="32"/>
          <w:lang w:val="zh-CN"/>
        </w:rPr>
      </w:pPr>
      <w:r>
        <w:rPr>
          <w:rFonts w:hint="default" w:ascii="Times New Roman" w:hAnsi="Times New Roman" w:eastAsia="楷体_GB2312" w:cs="Times New Roman"/>
          <w:b/>
          <w:bCs w:val="0"/>
          <w:color w:val="auto"/>
          <w:sz w:val="32"/>
          <w:szCs w:val="32"/>
          <w:lang w:val="zh-CN"/>
        </w:rPr>
        <w:t>（二）资金计划、到位及使用情况。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b/>
          <w:bCs/>
          <w:i w:val="0"/>
          <w:iCs w:val="0"/>
          <w:caps w:val="0"/>
          <w:color w:val="auto"/>
          <w:spacing w:val="0"/>
          <w:sz w:val="32"/>
          <w:szCs w:val="32"/>
          <w:lang w:val="en-US" w:eastAsia="zh-CN"/>
        </w:rPr>
        <w:t>1.</w:t>
      </w:r>
      <w:r>
        <w:rPr>
          <w:rFonts w:hint="default" w:ascii="Times New Roman" w:hAnsi="Times New Roman" w:eastAsia="仿宋_GB2312" w:cs="Times New Roman"/>
          <w:b/>
          <w:bCs/>
          <w:i w:val="0"/>
          <w:iCs w:val="0"/>
          <w:caps w:val="0"/>
          <w:color w:val="auto"/>
          <w:spacing w:val="0"/>
          <w:sz w:val="32"/>
          <w:szCs w:val="32"/>
          <w:lang w:val="zh-CN" w:eastAsia="zh-CN"/>
        </w:rPr>
        <w:t>资金计划。</w:t>
      </w:r>
      <w:r>
        <w:rPr>
          <w:rFonts w:hint="default" w:ascii="Times New Roman" w:hAnsi="Times New Roman" w:eastAsia="仿宋_GB2312" w:cs="Times New Roman"/>
          <w:color w:val="auto"/>
          <w:sz w:val="32"/>
          <w:szCs w:val="32"/>
          <w:lang w:val="en-US" w:eastAsia="zh-CN"/>
        </w:rPr>
        <w:t>2021年专项资金项目24个，总投资531924.57万元，其中，专项资金36652.3万元、企业自筹资金495272.27万元。年度实际安排专项资金15000万元，其中，成都市1305万元、自贡市90万元、攀枝花市9959万元、绵阳市157万元、乐山市727万元、凉山州2762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b/>
          <w:bCs/>
          <w:i w:val="0"/>
          <w:iCs w:val="0"/>
          <w:caps w:val="0"/>
          <w:color w:val="auto"/>
          <w:spacing w:val="0"/>
          <w:sz w:val="32"/>
          <w:szCs w:val="32"/>
          <w:lang w:val="zh-CN" w:eastAsia="zh-CN"/>
        </w:rPr>
        <w:t>2</w:t>
      </w:r>
      <w:r>
        <w:rPr>
          <w:rFonts w:hint="default" w:ascii="Times New Roman" w:hAnsi="Times New Roman" w:eastAsia="仿宋_GB2312" w:cs="Times New Roman"/>
          <w:b/>
          <w:bCs/>
          <w:i w:val="0"/>
          <w:iCs w:val="0"/>
          <w:caps w:val="0"/>
          <w:color w:val="auto"/>
          <w:spacing w:val="0"/>
          <w:sz w:val="32"/>
          <w:szCs w:val="32"/>
          <w:lang w:val="en-US" w:eastAsia="zh-CN"/>
        </w:rPr>
        <w:t>.</w:t>
      </w:r>
      <w:r>
        <w:rPr>
          <w:rFonts w:hint="default" w:ascii="Times New Roman" w:hAnsi="Times New Roman" w:eastAsia="仿宋_GB2312" w:cs="Times New Roman"/>
          <w:b/>
          <w:bCs/>
          <w:i w:val="0"/>
          <w:iCs w:val="0"/>
          <w:caps w:val="0"/>
          <w:color w:val="auto"/>
          <w:spacing w:val="0"/>
          <w:sz w:val="32"/>
          <w:szCs w:val="32"/>
          <w:lang w:val="zh-CN" w:eastAsia="zh-CN"/>
        </w:rPr>
        <w:t>资金到位及使用情况。</w:t>
      </w:r>
      <w:r>
        <w:rPr>
          <w:rFonts w:hint="default" w:ascii="Times New Roman" w:hAnsi="Times New Roman" w:eastAsia="仿宋_GB2312" w:cs="Times New Roman"/>
          <w:color w:val="auto"/>
          <w:sz w:val="32"/>
          <w:szCs w:val="32"/>
          <w:lang w:val="zh-CN"/>
        </w:rPr>
        <w:t>截至目前，全部项目均实现开工建设，专项资金</w:t>
      </w:r>
      <w:r>
        <w:rPr>
          <w:rFonts w:hint="default" w:ascii="Times New Roman" w:hAnsi="Times New Roman" w:eastAsia="仿宋_GB2312" w:cs="Times New Roman"/>
          <w:color w:val="auto"/>
          <w:sz w:val="32"/>
          <w:szCs w:val="32"/>
          <w:lang w:val="en-US" w:eastAsia="zh-CN"/>
        </w:rPr>
        <w:t>15000万元到位，企业自筹资金落实，到位率100%。相关市（州）对专项资金实行专户管理，根据项目进度拨付使用。</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三、项目实施及管理情况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楷体_GB2312" w:cs="Times New Roman"/>
          <w:b/>
          <w:bCs w:val="0"/>
          <w:color w:val="auto"/>
          <w:sz w:val="32"/>
          <w:szCs w:val="32"/>
          <w:lang w:val="zh-CN"/>
        </w:rPr>
      </w:pPr>
      <w:r>
        <w:rPr>
          <w:rFonts w:hint="default" w:ascii="Times New Roman" w:hAnsi="Times New Roman" w:eastAsia="楷体_GB2312" w:cs="Times New Roman"/>
          <w:b/>
          <w:bCs w:val="0"/>
          <w:color w:val="auto"/>
          <w:sz w:val="32"/>
          <w:szCs w:val="32"/>
          <w:lang w:val="zh-CN"/>
        </w:rPr>
        <w:t>（一）项目组织架构及实施流程。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省发展改革委分项目向市（州）发展改革部门下达投资计划。市（州）发展改革部门分解下达至项目单位，会同相关部门开展项目实施情况督导检查。项目单位负责项目实施。</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楷体_GB2312" w:cs="Times New Roman"/>
          <w:b/>
          <w:bCs w:val="0"/>
          <w:color w:val="auto"/>
          <w:sz w:val="32"/>
          <w:szCs w:val="32"/>
          <w:lang w:val="zh-CN"/>
        </w:rPr>
      </w:pPr>
      <w:r>
        <w:rPr>
          <w:rFonts w:hint="default" w:ascii="Times New Roman" w:hAnsi="Times New Roman" w:eastAsia="楷体_GB2312" w:cs="Times New Roman"/>
          <w:b/>
          <w:bCs w:val="0"/>
          <w:color w:val="auto"/>
          <w:sz w:val="32"/>
          <w:szCs w:val="32"/>
          <w:lang w:val="zh-CN"/>
        </w:rPr>
        <w:t>（二）项目管理情况。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各项目实施单位依据相关法律法规及项目管理制度，按照年度投资计划下达的建设任务组织实施，并在省投资项目管理服务平台录入项目信息、填报项目进度数据，按照财政部门有关财务管理规定开展财务管理工作。</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楷体_GB2312" w:cs="Times New Roman"/>
          <w:b/>
          <w:bCs w:val="0"/>
          <w:color w:val="auto"/>
          <w:sz w:val="32"/>
          <w:szCs w:val="32"/>
          <w:lang w:val="zh-CN"/>
        </w:rPr>
      </w:pPr>
      <w:r>
        <w:rPr>
          <w:rFonts w:hint="default" w:ascii="Times New Roman" w:hAnsi="Times New Roman" w:eastAsia="楷体_GB2312" w:cs="Times New Roman"/>
          <w:b/>
          <w:bCs w:val="0"/>
          <w:color w:val="auto"/>
          <w:sz w:val="32"/>
          <w:szCs w:val="32"/>
          <w:lang w:val="zh-CN"/>
        </w:rPr>
        <w:t>（三）项目监管情况。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zh-CN"/>
        </w:rPr>
        <w:t>省、市（州）发展改革部门会同科技、财政部门按照《攀西战略资源创新开发专项资金管理办法》规定执行项目监管职责。</w:t>
      </w:r>
      <w:r>
        <w:rPr>
          <w:rFonts w:hint="default" w:ascii="Times New Roman" w:hAnsi="Times New Roman" w:eastAsia="仿宋_GB2312" w:cs="Times New Roman"/>
          <w:color w:val="auto"/>
          <w:sz w:val="32"/>
          <w:szCs w:val="32"/>
          <w:lang w:val="en-US" w:eastAsia="zh-CN"/>
        </w:rPr>
        <w:t>6市（州）发展改革部门已牵头组织</w:t>
      </w:r>
      <w:r>
        <w:rPr>
          <w:rFonts w:hint="default" w:ascii="Times New Roman" w:hAnsi="Times New Roman" w:eastAsia="仿宋_GB2312" w:cs="Times New Roman"/>
          <w:color w:val="auto"/>
          <w:sz w:val="32"/>
          <w:szCs w:val="32"/>
          <w:lang w:val="zh-CN"/>
        </w:rPr>
        <w:t>项目单位自查，实地查看项目实施情况。省发展改革委</w:t>
      </w:r>
      <w:r>
        <w:rPr>
          <w:rFonts w:hint="default" w:ascii="Times New Roman" w:hAnsi="Times New Roman" w:eastAsia="仿宋_GB2312" w:cs="Times New Roman"/>
          <w:bCs/>
          <w:color w:val="auto"/>
          <w:sz w:val="32"/>
          <w:szCs w:val="32"/>
          <w:lang w:eastAsia="zh-CN"/>
        </w:rPr>
        <w:t>商科技厅，将视疫情形势适时开展实地督导核查</w:t>
      </w:r>
      <w:r>
        <w:rPr>
          <w:rFonts w:hint="default" w:ascii="Times New Roman" w:hAnsi="Times New Roman" w:eastAsia="仿宋_GB2312" w:cs="Times New Roman"/>
          <w:color w:val="auto"/>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黑体" w:cs="Times New Roman"/>
          <w:color w:val="auto"/>
          <w:sz w:val="32"/>
          <w:szCs w:val="32"/>
          <w:lang w:val="zh-CN"/>
        </w:rPr>
      </w:pPr>
      <w:r>
        <w:rPr>
          <w:rFonts w:hint="default" w:ascii="Times New Roman" w:hAnsi="Times New Roman" w:eastAsia="黑体" w:cs="Times New Roman"/>
          <w:color w:val="auto"/>
          <w:sz w:val="32"/>
          <w:szCs w:val="32"/>
        </w:rPr>
        <w:t>四、项目绩效情况</w:t>
      </w:r>
      <w:r>
        <w:rPr>
          <w:rFonts w:hint="default" w:ascii="Times New Roman" w:hAnsi="Times New Roman" w:eastAsia="黑体" w:cs="Times New Roman"/>
          <w:color w:val="auto"/>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楷体_GB2312" w:cs="Times New Roman"/>
          <w:b/>
          <w:bCs w:val="0"/>
          <w:color w:val="auto"/>
          <w:sz w:val="32"/>
          <w:szCs w:val="32"/>
          <w:lang w:val="zh-CN"/>
        </w:rPr>
      </w:pPr>
      <w:r>
        <w:rPr>
          <w:rFonts w:hint="default" w:ascii="Times New Roman" w:hAnsi="Times New Roman" w:eastAsia="楷体_GB2312" w:cs="Times New Roman"/>
          <w:b/>
          <w:bCs w:val="0"/>
          <w:color w:val="auto"/>
          <w:sz w:val="32"/>
          <w:szCs w:val="32"/>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在项目效果方面，此次投资计划项目实施范围、标准、程序公平合理。在产出指标方面，</w:t>
      </w:r>
      <w:r>
        <w:rPr>
          <w:rFonts w:hint="default" w:ascii="Times New Roman" w:hAnsi="Times New Roman" w:eastAsia="仿宋_GB2312" w:cs="Times New Roman"/>
          <w:color w:val="auto"/>
          <w:sz w:val="32"/>
          <w:szCs w:val="32"/>
          <w:lang w:val="en-US" w:eastAsia="zh-CN"/>
        </w:rPr>
        <w:t>24个</w:t>
      </w:r>
      <w:r>
        <w:rPr>
          <w:rFonts w:hint="default" w:ascii="Times New Roman" w:hAnsi="Times New Roman" w:eastAsia="仿宋_GB2312" w:cs="Times New Roman"/>
          <w:color w:val="auto"/>
          <w:sz w:val="32"/>
          <w:szCs w:val="32"/>
          <w:lang w:val="zh-CN"/>
        </w:rPr>
        <w:t>项目全部开工建设（其中，</w:t>
      </w:r>
      <w:r>
        <w:rPr>
          <w:rFonts w:hint="default" w:ascii="Times New Roman" w:hAnsi="Times New Roman" w:eastAsia="仿宋_GB2312" w:cs="Times New Roman"/>
          <w:color w:val="auto"/>
          <w:sz w:val="32"/>
          <w:szCs w:val="32"/>
          <w:lang w:val="en-US" w:eastAsia="zh-CN"/>
        </w:rPr>
        <w:t>4个续安排项目完成验收</w:t>
      </w:r>
      <w:r>
        <w:rPr>
          <w:rFonts w:hint="default" w:ascii="Times New Roman" w:hAnsi="Times New Roman" w:eastAsia="仿宋_GB2312" w:cs="Times New Roman"/>
          <w:color w:val="auto"/>
          <w:sz w:val="32"/>
          <w:szCs w:val="32"/>
          <w:lang w:val="zh-CN"/>
        </w:rPr>
        <w:t>），科技攻关及产业化项目、创新平台建设项目正在建设，其中</w:t>
      </w:r>
      <w:r>
        <w:rPr>
          <w:rFonts w:hint="default" w:ascii="Times New Roman" w:hAnsi="Times New Roman" w:eastAsia="仿宋_GB2312" w:cs="Times New Roman"/>
          <w:color w:val="auto"/>
          <w:sz w:val="32"/>
          <w:szCs w:val="32"/>
          <w:lang w:val="en-US" w:eastAsia="zh-CN"/>
        </w:rPr>
        <w:t>3个项目已进入竣工收尾阶段</w:t>
      </w:r>
      <w:r>
        <w:rPr>
          <w:rFonts w:hint="default" w:ascii="Times New Roman" w:hAnsi="Times New Roman" w:eastAsia="仿宋_GB2312" w:cs="Times New Roman"/>
          <w:color w:val="auto"/>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楷体_GB2312" w:cs="Times New Roman"/>
          <w:b/>
          <w:bCs w:val="0"/>
          <w:color w:val="auto"/>
          <w:sz w:val="32"/>
          <w:szCs w:val="32"/>
          <w:lang w:val="zh-CN"/>
        </w:rPr>
      </w:pPr>
      <w:r>
        <w:rPr>
          <w:rFonts w:hint="default" w:ascii="Times New Roman" w:hAnsi="Times New Roman" w:eastAsia="楷体_GB2312" w:cs="Times New Roman"/>
          <w:b/>
          <w:bCs w:val="0"/>
          <w:color w:val="auto"/>
          <w:sz w:val="32"/>
          <w:szCs w:val="32"/>
          <w:lang w:val="zh-CN"/>
        </w:rPr>
        <w:t>（二）项目效益情况。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项目涉及科技攻关、创新能力提升、产业发展等方面，建成后将有利于战略资源关键核心技术尽快突破、检验检测等创新服务能力提升、应用产业集聚发展，有利于促进区域经济社会发展提速，为重点领域产业链供应安全稳定提供支撑。</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五、评价结论及建议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项目符合相关制度要求，按期完成</w:t>
      </w:r>
      <w:r>
        <w:rPr>
          <w:rFonts w:hint="default" w:ascii="Times New Roman" w:hAnsi="Times New Roman" w:eastAsia="仿宋_GB2312" w:cs="Times New Roman"/>
          <w:color w:val="auto"/>
          <w:sz w:val="32"/>
          <w:szCs w:val="32"/>
          <w:lang w:eastAsia="zh-CN"/>
        </w:rPr>
        <w:t>年度</w:t>
      </w:r>
      <w:r>
        <w:rPr>
          <w:rFonts w:hint="default" w:ascii="Times New Roman" w:hAnsi="Times New Roman" w:eastAsia="仿宋_GB2312" w:cs="Times New Roman"/>
          <w:color w:val="auto"/>
          <w:sz w:val="32"/>
          <w:szCs w:val="32"/>
        </w:rPr>
        <w:t>建设</w:t>
      </w:r>
      <w:r>
        <w:rPr>
          <w:rFonts w:hint="default" w:ascii="Times New Roman" w:hAnsi="Times New Roman" w:eastAsia="仿宋_GB2312" w:cs="Times New Roman"/>
          <w:color w:val="auto"/>
          <w:sz w:val="32"/>
          <w:szCs w:val="32"/>
          <w:lang w:eastAsia="zh-CN"/>
        </w:rPr>
        <w:t>任务</w:t>
      </w:r>
      <w:r>
        <w:rPr>
          <w:rFonts w:hint="default" w:ascii="Times New Roman" w:hAnsi="Times New Roman" w:eastAsia="仿宋_GB2312" w:cs="Times New Roman"/>
          <w:color w:val="auto"/>
          <w:sz w:val="32"/>
          <w:szCs w:val="32"/>
        </w:rPr>
        <w:t>，项目支出控制合理，可持续影响指标和满意度指标向好发展，申报内容与实施内容均符合有关规定，项目绩效基本达到设定目标。</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仿宋_GB2312" w:cs="Times New Roman"/>
          <w:color w:val="auto"/>
          <w:kern w:val="0"/>
          <w:sz w:val="32"/>
          <w:szCs w:val="32"/>
          <w:shd w:val="clear" w:color="auto" w:fill="FFFFFF"/>
          <w:lang w:val="zh-CN"/>
        </w:rPr>
      </w:pPr>
    </w:p>
    <w:p>
      <w:pPr>
        <w:pStyle w:val="2"/>
        <w:rPr>
          <w:rFonts w:hint="default" w:ascii="Times New Roman" w:hAnsi="Times New Roman" w:cs="Times New Roman"/>
          <w:color w:val="auto"/>
          <w:lang w:val="zh-CN"/>
        </w:rPr>
      </w:pPr>
    </w:p>
    <w:p>
      <w:pPr>
        <w:pStyle w:val="2"/>
        <w:rPr>
          <w:rFonts w:hint="default" w:ascii="Times New Roman" w:hAnsi="Times New Roman" w:cs="Times New Roman"/>
          <w:color w:val="auto"/>
          <w:lang w:val="zh-CN"/>
        </w:rPr>
      </w:pPr>
    </w:p>
    <w:p>
      <w:pPr>
        <w:pStyle w:val="2"/>
        <w:rPr>
          <w:rFonts w:hint="default" w:ascii="Times New Roman" w:hAnsi="Times New Roman" w:cs="Times New Roman"/>
          <w:color w:val="auto"/>
          <w:lang w:val="zh-CN"/>
        </w:rPr>
      </w:pPr>
    </w:p>
    <w:p>
      <w:pPr>
        <w:pStyle w:val="2"/>
        <w:rPr>
          <w:rFonts w:hint="default" w:ascii="Times New Roman" w:hAnsi="Times New Roman" w:cs="Times New Roman"/>
          <w:color w:val="auto"/>
          <w:lang w:val="zh-CN"/>
        </w:rPr>
      </w:pPr>
    </w:p>
    <w:p>
      <w:pPr>
        <w:pStyle w:val="2"/>
        <w:rPr>
          <w:rFonts w:hint="default" w:ascii="Times New Roman" w:hAnsi="Times New Roman" w:cs="Times New Roman"/>
          <w:color w:val="auto"/>
          <w:lang w:val="zh-CN"/>
        </w:rPr>
      </w:pPr>
    </w:p>
    <w:p>
      <w:pPr>
        <w:pStyle w:val="2"/>
        <w:rPr>
          <w:rFonts w:hint="default" w:ascii="Times New Roman" w:hAnsi="Times New Roman" w:eastAsia="仿宋_GB2312" w:cs="Times New Roman"/>
          <w:color w:val="auto"/>
          <w:kern w:val="0"/>
          <w:sz w:val="32"/>
          <w:szCs w:val="32"/>
          <w:shd w:val="clear" w:color="auto" w:fill="FFFFFF"/>
          <w:lang w:val="zh-CN"/>
        </w:rPr>
      </w:pPr>
    </w:p>
    <w:p>
      <w:pPr>
        <w:pStyle w:val="2"/>
        <w:rPr>
          <w:rFonts w:hint="default" w:ascii="Times New Roman" w:hAnsi="Times New Roman" w:eastAsia="仿宋_GB2312" w:cs="Times New Roman"/>
          <w:color w:val="auto"/>
          <w:kern w:val="0"/>
          <w:sz w:val="32"/>
          <w:szCs w:val="32"/>
          <w:shd w:val="clear" w:color="auto" w:fill="FFFFFF"/>
          <w:lang w:val="zh-CN"/>
        </w:rPr>
      </w:pPr>
    </w:p>
    <w:p>
      <w:pPr>
        <w:pStyle w:val="2"/>
        <w:rPr>
          <w:rFonts w:hint="default" w:ascii="Times New Roman" w:hAnsi="Times New Roman" w:eastAsia="仿宋_GB2312" w:cs="Times New Roman"/>
          <w:color w:val="auto"/>
          <w:kern w:val="0"/>
          <w:sz w:val="32"/>
          <w:szCs w:val="32"/>
          <w:shd w:val="clear" w:color="auto" w:fill="FFFFFF"/>
          <w:lang w:val="zh-CN"/>
        </w:rPr>
      </w:pPr>
    </w:p>
    <w:p>
      <w:pPr>
        <w:pStyle w:val="2"/>
        <w:rPr>
          <w:rFonts w:hint="default" w:ascii="Times New Roman" w:hAnsi="Times New Roman" w:eastAsia="仿宋_GB2312" w:cs="Times New Roman"/>
          <w:color w:val="auto"/>
          <w:kern w:val="0"/>
          <w:sz w:val="32"/>
          <w:szCs w:val="32"/>
          <w:shd w:val="clear" w:color="auto" w:fill="FFFFFF"/>
          <w:lang w:val="zh-CN"/>
        </w:rPr>
      </w:pPr>
    </w:p>
    <w:p>
      <w:pPr>
        <w:pStyle w:val="2"/>
        <w:rPr>
          <w:rFonts w:hint="default" w:ascii="Times New Roman" w:hAnsi="Times New Roman" w:eastAsia="仿宋_GB2312" w:cs="Times New Roman"/>
          <w:color w:val="auto"/>
          <w:kern w:val="0"/>
          <w:sz w:val="32"/>
          <w:szCs w:val="32"/>
          <w:shd w:val="clear" w:color="auto" w:fill="FFFFFF"/>
          <w:lang w:val="zh-CN"/>
        </w:rPr>
      </w:pPr>
    </w:p>
    <w:p>
      <w:pPr>
        <w:pageBreakBefore w:val="0"/>
        <w:widowControl/>
        <w:kinsoku/>
        <w:wordWrap/>
        <w:overflowPunct/>
        <w:topLinePunct w:val="0"/>
        <w:bidi w:val="0"/>
        <w:adjustRightInd w:val="0"/>
        <w:snapToGrid w:val="0"/>
        <w:spacing w:line="560" w:lineRule="exact"/>
        <w:ind w:firstLine="640" w:firstLineChars="200"/>
        <w:contextualSpacing/>
        <w:jc w:val="left"/>
        <w:rPr>
          <w:rFonts w:hint="default" w:ascii="Times New Roman" w:hAnsi="Times New Roman" w:eastAsia="黑体" w:cs="Times New Roman"/>
          <w:color w:val="auto"/>
          <w:kern w:val="0"/>
          <w:sz w:val="32"/>
          <w:szCs w:val="32"/>
          <w:shd w:val="clear" w:color="auto" w:fill="FFFFFF"/>
          <w:lang w:val="zh-CN"/>
        </w:rPr>
      </w:pPr>
      <w:r>
        <w:rPr>
          <w:rFonts w:hint="default" w:ascii="Times New Roman" w:hAnsi="Times New Roman" w:eastAsia="黑体" w:cs="Times New Roman"/>
          <w:color w:val="auto"/>
          <w:kern w:val="0"/>
          <w:sz w:val="32"/>
          <w:szCs w:val="32"/>
          <w:shd w:val="clear" w:color="auto" w:fill="FFFFFF"/>
          <w:lang w:val="zh-CN"/>
        </w:rPr>
        <w:t>附表：</w:t>
      </w:r>
    </w:p>
    <w:tbl>
      <w:tblPr>
        <w:tblStyle w:val="21"/>
        <w:tblpPr w:leftFromText="180" w:rightFromText="180" w:vertAnchor="text" w:horzAnchor="page" w:tblpXSpec="center" w:tblpY="221"/>
        <w:tblOverlap w:val="never"/>
        <w:tblW w:w="5000" w:type="pct"/>
        <w:jc w:val="center"/>
        <w:tblLayout w:type="fixed"/>
        <w:tblCellMar>
          <w:top w:w="0" w:type="dxa"/>
          <w:left w:w="108" w:type="dxa"/>
          <w:bottom w:w="0" w:type="dxa"/>
          <w:right w:w="108" w:type="dxa"/>
        </w:tblCellMar>
      </w:tblPr>
      <w:tblGrid>
        <w:gridCol w:w="639"/>
        <w:gridCol w:w="960"/>
        <w:gridCol w:w="1200"/>
        <w:gridCol w:w="2120"/>
        <w:gridCol w:w="1540"/>
        <w:gridCol w:w="2602"/>
      </w:tblGrid>
      <w:tr>
        <w:tblPrEx>
          <w:tblCellMar>
            <w:top w:w="0" w:type="dxa"/>
            <w:left w:w="108" w:type="dxa"/>
            <w:bottom w:w="0" w:type="dxa"/>
            <w:right w:w="108" w:type="dxa"/>
          </w:tblCellMar>
        </w:tblPrEx>
        <w:trPr>
          <w:trHeight w:val="675" w:hRule="atLeast"/>
          <w:jc w:val="center"/>
        </w:trPr>
        <w:tc>
          <w:tcPr>
            <w:tcW w:w="5000" w:type="pct"/>
            <w:gridSpan w:val="6"/>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小标宋简体" w:cs="Times New Roman"/>
                <w:bCs/>
                <w:color w:val="auto"/>
                <w:sz w:val="28"/>
                <w:szCs w:val="28"/>
              </w:rPr>
            </w:pPr>
            <w:r>
              <w:rPr>
                <w:rFonts w:hint="default" w:ascii="Times New Roman" w:hAnsi="Times New Roman" w:eastAsia="方正小标宋简体" w:cs="Times New Roman"/>
                <w:bCs/>
                <w:color w:val="auto"/>
                <w:sz w:val="28"/>
                <w:szCs w:val="28"/>
              </w:rPr>
              <w:t>2021年100万以上（含）特定目标类部门预算项目绩效目标自评</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cs="Times New Roman"/>
                <w:b/>
                <w:color w:val="auto"/>
              </w:rPr>
            </w:pPr>
            <w:r>
              <w:rPr>
                <w:rFonts w:hint="default" w:ascii="Times New Roman" w:hAnsi="Times New Roman" w:eastAsia="方正小标宋简体" w:cs="Times New Roman"/>
                <w:bCs/>
                <w:color w:val="auto"/>
                <w:sz w:val="28"/>
                <w:szCs w:val="28"/>
              </w:rPr>
              <w:t>（推动成渝地区双城经济圈建设办公室工作经费项目）</w:t>
            </w:r>
          </w:p>
        </w:tc>
      </w:tr>
      <w:tr>
        <w:tblPrEx>
          <w:tblCellMar>
            <w:top w:w="0" w:type="dxa"/>
            <w:left w:w="108" w:type="dxa"/>
            <w:bottom w:w="0" w:type="dxa"/>
            <w:right w:w="108" w:type="dxa"/>
          </w:tblCellMar>
        </w:tblPrEx>
        <w:trPr>
          <w:trHeight w:val="254" w:hRule="atLeast"/>
          <w:jc w:val="center"/>
        </w:trPr>
        <w:tc>
          <w:tcPr>
            <w:tcW w:w="882"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主管部门及代码</w:t>
            </w:r>
          </w:p>
        </w:tc>
        <w:tc>
          <w:tcPr>
            <w:tcW w:w="1832"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303-四川省发展和改革委员会</w:t>
            </w:r>
          </w:p>
        </w:tc>
        <w:tc>
          <w:tcPr>
            <w:tcW w:w="84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实施单位</w:t>
            </w:r>
          </w:p>
        </w:tc>
        <w:tc>
          <w:tcPr>
            <w:tcW w:w="143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四川省发展和改革委员会机关</w:t>
            </w:r>
          </w:p>
        </w:tc>
      </w:tr>
      <w:tr>
        <w:tblPrEx>
          <w:tblCellMar>
            <w:top w:w="0" w:type="dxa"/>
            <w:left w:w="108" w:type="dxa"/>
            <w:bottom w:w="0" w:type="dxa"/>
            <w:right w:w="108" w:type="dxa"/>
          </w:tblCellMar>
        </w:tblPrEx>
        <w:trPr>
          <w:trHeight w:val="341" w:hRule="atLeast"/>
          <w:jc w:val="center"/>
        </w:trPr>
        <w:tc>
          <w:tcPr>
            <w:tcW w:w="882"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项目预算</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执行情况</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（万元）</w:t>
            </w:r>
          </w:p>
        </w:tc>
        <w:tc>
          <w:tcPr>
            <w:tcW w:w="66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预算数：</w:t>
            </w:r>
          </w:p>
        </w:tc>
        <w:tc>
          <w:tcPr>
            <w:tcW w:w="116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303.8</w:t>
            </w:r>
          </w:p>
        </w:tc>
        <w:tc>
          <w:tcPr>
            <w:tcW w:w="84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执行数：</w:t>
            </w:r>
          </w:p>
        </w:tc>
        <w:tc>
          <w:tcPr>
            <w:tcW w:w="143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199.28</w:t>
            </w:r>
          </w:p>
        </w:tc>
      </w:tr>
      <w:tr>
        <w:tblPrEx>
          <w:tblCellMar>
            <w:top w:w="0" w:type="dxa"/>
            <w:left w:w="108" w:type="dxa"/>
            <w:bottom w:w="0" w:type="dxa"/>
            <w:right w:w="108" w:type="dxa"/>
          </w:tblCellMar>
        </w:tblPrEx>
        <w:trPr>
          <w:trHeight w:val="577" w:hRule="atLeast"/>
          <w:jc w:val="center"/>
        </w:trPr>
        <w:tc>
          <w:tcPr>
            <w:tcW w:w="882"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6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116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303.8</w:t>
            </w:r>
          </w:p>
        </w:tc>
        <w:tc>
          <w:tcPr>
            <w:tcW w:w="84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143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199.28</w:t>
            </w:r>
          </w:p>
        </w:tc>
      </w:tr>
      <w:tr>
        <w:tblPrEx>
          <w:tblCellMar>
            <w:top w:w="0" w:type="dxa"/>
            <w:left w:w="108" w:type="dxa"/>
            <w:bottom w:w="0" w:type="dxa"/>
            <w:right w:w="108" w:type="dxa"/>
          </w:tblCellMar>
        </w:tblPrEx>
        <w:trPr>
          <w:trHeight w:val="341" w:hRule="atLeast"/>
          <w:jc w:val="center"/>
        </w:trPr>
        <w:tc>
          <w:tcPr>
            <w:tcW w:w="882"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6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116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p>
        </w:tc>
        <w:tc>
          <w:tcPr>
            <w:tcW w:w="84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143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p>
        </w:tc>
      </w:tr>
      <w:tr>
        <w:tblPrEx>
          <w:tblCellMar>
            <w:top w:w="0" w:type="dxa"/>
            <w:left w:w="108" w:type="dxa"/>
            <w:bottom w:w="0" w:type="dxa"/>
            <w:right w:w="108" w:type="dxa"/>
          </w:tblCellMar>
        </w:tblPrEx>
        <w:trPr>
          <w:trHeight w:val="482" w:hRule="atLeast"/>
          <w:jc w:val="center"/>
        </w:trPr>
        <w:tc>
          <w:tcPr>
            <w:tcW w:w="352" w:type="pct"/>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年度总体目标完成情况</w:t>
            </w:r>
          </w:p>
        </w:tc>
        <w:tc>
          <w:tcPr>
            <w:tcW w:w="2361" w:type="pct"/>
            <w:gridSpan w:val="3"/>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预期目标</w:t>
            </w:r>
          </w:p>
        </w:tc>
        <w:tc>
          <w:tcPr>
            <w:tcW w:w="2285"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目标实际完成情况</w:t>
            </w:r>
          </w:p>
        </w:tc>
      </w:tr>
      <w:tr>
        <w:tblPrEx>
          <w:tblCellMar>
            <w:top w:w="0" w:type="dxa"/>
            <w:left w:w="108" w:type="dxa"/>
            <w:bottom w:w="0" w:type="dxa"/>
            <w:right w:w="108" w:type="dxa"/>
          </w:tblCellMar>
        </w:tblPrEx>
        <w:trPr>
          <w:trHeight w:val="2224" w:hRule="atLeast"/>
          <w:jc w:val="center"/>
        </w:trPr>
        <w:tc>
          <w:tcPr>
            <w:tcW w:w="352" w:type="pct"/>
            <w:vMerge w:val="continue"/>
            <w:tcBorders>
              <w:top w:val="single" w:color="000000" w:sz="4" w:space="0"/>
              <w:left w:val="single" w:color="000000" w:sz="4" w:space="0"/>
              <w:bottom w:val="single" w:color="auto" w:sz="4" w:space="0"/>
              <w:right w:val="single" w:color="000000"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2361" w:type="pct"/>
            <w:gridSpan w:val="3"/>
            <w:tcBorders>
              <w:top w:val="single" w:color="000000" w:sz="4" w:space="0"/>
              <w:left w:val="single" w:color="000000" w:sz="4" w:space="0"/>
              <w:bottom w:val="single" w:color="auto" w:sz="4" w:space="0"/>
              <w:right w:val="single" w:color="000000" w:sz="4" w:space="0"/>
            </w:tcBorders>
            <w:noWrap/>
            <w:vAlign w:val="center"/>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贯彻落实习近平总书记在中央财经委员会第六次会议上重要讲话精神和党中央、国务院决策部署，认真落实省委十一届七次全会决定要求，深化四川重庆合作，大力推动成渝地区双城经济圈建设，把战略共识转化为机制、规划、政策、项目、事项，促进两地产业、人口及各类要素合理流动和高效聚集。</w:t>
            </w:r>
          </w:p>
        </w:tc>
        <w:tc>
          <w:tcPr>
            <w:tcW w:w="2285" w:type="pct"/>
            <w:gridSpan w:val="2"/>
            <w:tcBorders>
              <w:top w:val="single" w:color="000000" w:sz="4" w:space="0"/>
              <w:left w:val="single" w:color="000000" w:sz="4" w:space="0"/>
              <w:bottom w:val="single" w:color="auto" w:sz="4" w:space="0"/>
              <w:right w:val="single" w:color="000000" w:sz="4" w:space="0"/>
            </w:tcBorders>
            <w:noWrap/>
            <w:vAlign w:val="center"/>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落实推动成渝地区双城经济圈建设重庆四川党政联席会议、常务副省市长协调会议、联合办公室主任调度会三级工作机制，推动设立泸永江融合发展示范区等毗邻地区合作平台，实施成渝中线高铁等67个合作共建重大项目，制定出台双城经济圈便捷生活行动方案、支持川渝高竹新区改革创新发展的若干政策措施。</w:t>
            </w:r>
          </w:p>
        </w:tc>
      </w:tr>
      <w:tr>
        <w:tblPrEx>
          <w:tblCellMar>
            <w:top w:w="0" w:type="dxa"/>
            <w:left w:w="108" w:type="dxa"/>
            <w:bottom w:w="0" w:type="dxa"/>
            <w:right w:w="108" w:type="dxa"/>
          </w:tblCellMar>
        </w:tblPrEx>
        <w:trPr>
          <w:trHeight w:val="645" w:hRule="atLeast"/>
          <w:jc w:val="center"/>
        </w:trPr>
        <w:tc>
          <w:tcPr>
            <w:tcW w:w="352" w:type="pct"/>
            <w:vMerge w:val="restar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年度绩效指标完成情况</w:t>
            </w:r>
          </w:p>
        </w:tc>
        <w:tc>
          <w:tcPr>
            <w:tcW w:w="52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一级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62"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二级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16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三级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84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预期指</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标值</w:t>
            </w:r>
          </w:p>
        </w:tc>
        <w:tc>
          <w:tcPr>
            <w:tcW w:w="143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实际完成指标值</w:t>
            </w:r>
          </w:p>
        </w:tc>
      </w:tr>
      <w:tr>
        <w:tblPrEx>
          <w:tblCellMar>
            <w:top w:w="0" w:type="dxa"/>
            <w:left w:w="108" w:type="dxa"/>
            <w:bottom w:w="0" w:type="dxa"/>
            <w:right w:w="108" w:type="dxa"/>
          </w:tblCellMar>
        </w:tblPrEx>
        <w:trPr>
          <w:trHeight w:val="570"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29" w:type="pct"/>
            <w:vMerge w:val="restar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完成</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62" w:type="pct"/>
            <w:vMerge w:val="restar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数量指标</w:t>
            </w:r>
          </w:p>
        </w:tc>
        <w:tc>
          <w:tcPr>
            <w:tcW w:w="116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召开党政联席会议次数</w:t>
            </w:r>
          </w:p>
        </w:tc>
        <w:tc>
          <w:tcPr>
            <w:tcW w:w="84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1次</w:t>
            </w:r>
          </w:p>
        </w:tc>
        <w:tc>
          <w:tcPr>
            <w:tcW w:w="143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1次</w:t>
            </w:r>
          </w:p>
        </w:tc>
      </w:tr>
      <w:tr>
        <w:tblPrEx>
          <w:tblCellMar>
            <w:top w:w="0" w:type="dxa"/>
            <w:left w:w="108" w:type="dxa"/>
            <w:bottom w:w="0" w:type="dxa"/>
            <w:right w:w="108" w:type="dxa"/>
          </w:tblCellMar>
        </w:tblPrEx>
        <w:trPr>
          <w:trHeight w:val="585"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29"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62"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p>
        </w:tc>
        <w:tc>
          <w:tcPr>
            <w:tcW w:w="116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召开联合办公室主任调度会次数</w:t>
            </w:r>
          </w:p>
        </w:tc>
        <w:tc>
          <w:tcPr>
            <w:tcW w:w="84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3次</w:t>
            </w:r>
          </w:p>
        </w:tc>
        <w:tc>
          <w:tcPr>
            <w:tcW w:w="143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3次</w:t>
            </w:r>
          </w:p>
        </w:tc>
      </w:tr>
      <w:tr>
        <w:tblPrEx>
          <w:tblCellMar>
            <w:top w:w="0" w:type="dxa"/>
            <w:left w:w="108" w:type="dxa"/>
            <w:bottom w:w="0" w:type="dxa"/>
            <w:right w:w="108" w:type="dxa"/>
          </w:tblCellMar>
        </w:tblPrEx>
        <w:trPr>
          <w:trHeight w:val="480"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29"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62"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p>
        </w:tc>
        <w:tc>
          <w:tcPr>
            <w:tcW w:w="116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完成重大课题数量</w:t>
            </w:r>
          </w:p>
        </w:tc>
        <w:tc>
          <w:tcPr>
            <w:tcW w:w="84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4个</w:t>
            </w:r>
          </w:p>
        </w:tc>
        <w:tc>
          <w:tcPr>
            <w:tcW w:w="143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4个</w:t>
            </w:r>
          </w:p>
        </w:tc>
      </w:tr>
      <w:tr>
        <w:tblPrEx>
          <w:tblCellMar>
            <w:top w:w="0" w:type="dxa"/>
            <w:left w:w="108" w:type="dxa"/>
            <w:bottom w:w="0" w:type="dxa"/>
            <w:right w:w="108" w:type="dxa"/>
          </w:tblCellMar>
        </w:tblPrEx>
        <w:trPr>
          <w:trHeight w:val="541"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29"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62"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p>
        </w:tc>
        <w:tc>
          <w:tcPr>
            <w:tcW w:w="116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重大政策文件汇编白皮书印刷数量</w:t>
            </w:r>
          </w:p>
        </w:tc>
        <w:tc>
          <w:tcPr>
            <w:tcW w:w="84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5000册</w:t>
            </w:r>
          </w:p>
        </w:tc>
        <w:tc>
          <w:tcPr>
            <w:tcW w:w="143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5000册</w:t>
            </w:r>
          </w:p>
        </w:tc>
      </w:tr>
      <w:tr>
        <w:tblPrEx>
          <w:tblCellMar>
            <w:top w:w="0" w:type="dxa"/>
            <w:left w:w="108" w:type="dxa"/>
            <w:bottom w:w="0" w:type="dxa"/>
            <w:right w:w="108" w:type="dxa"/>
          </w:tblCellMar>
        </w:tblPrEx>
        <w:trPr>
          <w:trHeight w:val="646"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29"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62"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质量指标</w:t>
            </w:r>
          </w:p>
        </w:tc>
        <w:tc>
          <w:tcPr>
            <w:tcW w:w="116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重大课题评审合格率</w:t>
            </w:r>
          </w:p>
        </w:tc>
        <w:tc>
          <w:tcPr>
            <w:tcW w:w="84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100%</w:t>
            </w:r>
          </w:p>
        </w:tc>
        <w:tc>
          <w:tcPr>
            <w:tcW w:w="143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100%</w:t>
            </w:r>
          </w:p>
        </w:tc>
      </w:tr>
      <w:tr>
        <w:tblPrEx>
          <w:tblCellMar>
            <w:top w:w="0" w:type="dxa"/>
            <w:left w:w="108" w:type="dxa"/>
            <w:bottom w:w="0" w:type="dxa"/>
            <w:right w:w="108" w:type="dxa"/>
          </w:tblCellMar>
        </w:tblPrEx>
        <w:trPr>
          <w:trHeight w:val="585"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29"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62"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时效指标</w:t>
            </w:r>
          </w:p>
        </w:tc>
        <w:tc>
          <w:tcPr>
            <w:tcW w:w="116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szCs w:val="21"/>
              </w:rPr>
              <w:t>重大课题完成时限</w:t>
            </w:r>
          </w:p>
        </w:tc>
        <w:tc>
          <w:tcPr>
            <w:tcW w:w="84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szCs w:val="21"/>
              </w:rPr>
              <w:t>2021年底完成</w:t>
            </w:r>
          </w:p>
        </w:tc>
        <w:tc>
          <w:tcPr>
            <w:tcW w:w="143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szCs w:val="21"/>
              </w:rPr>
              <w:t>按时完成</w:t>
            </w:r>
          </w:p>
        </w:tc>
      </w:tr>
      <w:tr>
        <w:tblPrEx>
          <w:tblCellMar>
            <w:top w:w="0" w:type="dxa"/>
            <w:left w:w="108" w:type="dxa"/>
            <w:bottom w:w="0" w:type="dxa"/>
            <w:right w:w="108" w:type="dxa"/>
          </w:tblCellMar>
        </w:tblPrEx>
        <w:trPr>
          <w:trHeight w:val="480"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29"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62" w:type="pct"/>
            <w:vMerge w:val="restar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成本指标</w:t>
            </w:r>
          </w:p>
        </w:tc>
        <w:tc>
          <w:tcPr>
            <w:tcW w:w="116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会议成本</w:t>
            </w:r>
          </w:p>
        </w:tc>
        <w:tc>
          <w:tcPr>
            <w:tcW w:w="84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不超过预算</w:t>
            </w:r>
          </w:p>
        </w:tc>
        <w:tc>
          <w:tcPr>
            <w:tcW w:w="143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未超过预算</w:t>
            </w:r>
          </w:p>
        </w:tc>
      </w:tr>
      <w:tr>
        <w:tblPrEx>
          <w:tblCellMar>
            <w:top w:w="0" w:type="dxa"/>
            <w:left w:w="108" w:type="dxa"/>
            <w:bottom w:w="0" w:type="dxa"/>
            <w:right w:w="108" w:type="dxa"/>
          </w:tblCellMar>
        </w:tblPrEx>
        <w:trPr>
          <w:trHeight w:val="437"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29"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62"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p>
        </w:tc>
        <w:tc>
          <w:tcPr>
            <w:tcW w:w="116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印刷成本</w:t>
            </w:r>
          </w:p>
        </w:tc>
        <w:tc>
          <w:tcPr>
            <w:tcW w:w="84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不超过预算</w:t>
            </w:r>
          </w:p>
        </w:tc>
        <w:tc>
          <w:tcPr>
            <w:tcW w:w="143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未超过预算</w:t>
            </w:r>
          </w:p>
        </w:tc>
      </w:tr>
      <w:tr>
        <w:tblPrEx>
          <w:tblCellMar>
            <w:top w:w="0" w:type="dxa"/>
            <w:left w:w="108" w:type="dxa"/>
            <w:bottom w:w="0" w:type="dxa"/>
            <w:right w:w="108" w:type="dxa"/>
          </w:tblCellMar>
        </w:tblPrEx>
        <w:trPr>
          <w:trHeight w:val="480"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2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效益</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62"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社会效</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益指标</w:t>
            </w:r>
          </w:p>
        </w:tc>
        <w:tc>
          <w:tcPr>
            <w:tcW w:w="116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对成渝地区双城经济圈建设工作的促进作用</w:t>
            </w:r>
          </w:p>
        </w:tc>
        <w:tc>
          <w:tcPr>
            <w:tcW w:w="84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促进成渝地区经济社会加快发展，提升两地群众获得感、幸福感</w:t>
            </w:r>
          </w:p>
        </w:tc>
        <w:tc>
          <w:tcPr>
            <w:tcW w:w="143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成渝地区经济社会加快发展，两地群众获得感、幸福感不断提升。</w:t>
            </w:r>
          </w:p>
        </w:tc>
      </w:tr>
      <w:tr>
        <w:tblPrEx>
          <w:tblCellMar>
            <w:top w:w="0" w:type="dxa"/>
            <w:left w:w="108" w:type="dxa"/>
            <w:bottom w:w="0" w:type="dxa"/>
            <w:right w:w="108" w:type="dxa"/>
          </w:tblCellMar>
        </w:tblPrEx>
        <w:trPr>
          <w:trHeight w:val="590"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2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62"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16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服务对象</w:t>
            </w:r>
          </w:p>
        </w:tc>
        <w:tc>
          <w:tcPr>
            <w:tcW w:w="84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≥90%</w:t>
            </w:r>
          </w:p>
        </w:tc>
        <w:tc>
          <w:tcPr>
            <w:tcW w:w="143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≥90%</w:t>
            </w:r>
          </w:p>
        </w:tc>
      </w:tr>
    </w:tbl>
    <w:p>
      <w:pPr>
        <w:pageBreakBefore w:val="0"/>
        <w:kinsoku/>
        <w:wordWrap/>
        <w:overflowPunct/>
        <w:topLinePunct w:val="0"/>
        <w:bidi w:val="0"/>
        <w:spacing w:line="560" w:lineRule="exact"/>
        <w:rPr>
          <w:rFonts w:hint="default" w:ascii="Times New Roman" w:hAnsi="Times New Roman" w:cs="Times New Roman"/>
          <w:color w:val="auto"/>
        </w:rPr>
      </w:pPr>
    </w:p>
    <w:tbl>
      <w:tblPr>
        <w:tblStyle w:val="21"/>
        <w:tblpPr w:leftFromText="180" w:rightFromText="180" w:vertAnchor="text" w:horzAnchor="page" w:tblpXSpec="center" w:tblpY="221"/>
        <w:tblOverlap w:val="never"/>
        <w:tblW w:w="5000" w:type="pct"/>
        <w:jc w:val="center"/>
        <w:tblLayout w:type="fixed"/>
        <w:tblCellMar>
          <w:top w:w="0" w:type="dxa"/>
          <w:left w:w="108" w:type="dxa"/>
          <w:bottom w:w="0" w:type="dxa"/>
          <w:right w:w="108" w:type="dxa"/>
        </w:tblCellMar>
      </w:tblPr>
      <w:tblGrid>
        <w:gridCol w:w="789"/>
        <w:gridCol w:w="1193"/>
        <w:gridCol w:w="1158"/>
        <w:gridCol w:w="2552"/>
        <w:gridCol w:w="1270"/>
        <w:gridCol w:w="2099"/>
      </w:tblGrid>
      <w:tr>
        <w:tblPrEx>
          <w:tblCellMar>
            <w:top w:w="0" w:type="dxa"/>
            <w:left w:w="108" w:type="dxa"/>
            <w:bottom w:w="0" w:type="dxa"/>
            <w:right w:w="108" w:type="dxa"/>
          </w:tblCellMar>
        </w:tblPrEx>
        <w:trPr>
          <w:trHeight w:val="800" w:hRule="atLeast"/>
          <w:jc w:val="center"/>
        </w:trPr>
        <w:tc>
          <w:tcPr>
            <w:tcW w:w="5000" w:type="pct"/>
            <w:gridSpan w:val="6"/>
            <w:tcBorders>
              <w:top w:val="nil"/>
              <w:left w:val="nil"/>
              <w:bottom w:val="nil"/>
              <w:right w:val="nil"/>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方正小标宋简体" w:cs="Times New Roman"/>
                <w:bCs/>
                <w:color w:val="auto"/>
                <w:sz w:val="28"/>
                <w:szCs w:val="28"/>
              </w:rPr>
            </w:pPr>
            <w:r>
              <w:rPr>
                <w:rFonts w:hint="default" w:ascii="Times New Roman" w:hAnsi="Times New Roman" w:eastAsia="方正小标宋简体" w:cs="Times New Roman"/>
                <w:bCs/>
                <w:color w:val="auto"/>
                <w:sz w:val="28"/>
                <w:szCs w:val="28"/>
              </w:rPr>
              <w:t>2021年100万以上（含）特定目标类部门预算项目绩效目标自评</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b/>
                <w:color w:val="auto"/>
              </w:rPr>
            </w:pPr>
            <w:r>
              <w:rPr>
                <w:rFonts w:hint="default" w:ascii="Times New Roman" w:hAnsi="Times New Roman" w:eastAsia="方正小标宋简体" w:cs="Times New Roman"/>
                <w:bCs/>
                <w:color w:val="auto"/>
                <w:sz w:val="28"/>
                <w:szCs w:val="28"/>
              </w:rPr>
              <w:t>（易地扶贫搬迁购买服务费项目）</w:t>
            </w:r>
          </w:p>
        </w:tc>
      </w:tr>
      <w:tr>
        <w:tblPrEx>
          <w:tblCellMar>
            <w:top w:w="0" w:type="dxa"/>
            <w:left w:w="108" w:type="dxa"/>
            <w:bottom w:w="0" w:type="dxa"/>
            <w:right w:w="108" w:type="dxa"/>
          </w:tblCellMar>
        </w:tblPrEx>
        <w:trPr>
          <w:trHeight w:val="254" w:hRule="atLeast"/>
          <w:jc w:val="center"/>
        </w:trPr>
        <w:tc>
          <w:tcPr>
            <w:tcW w:w="1093"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主管部门及代码</w:t>
            </w:r>
          </w:p>
        </w:tc>
        <w:tc>
          <w:tcPr>
            <w:tcW w:w="2047"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303-四川省发展和改革委员会</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实施单位</w:t>
            </w:r>
          </w:p>
        </w:tc>
        <w:tc>
          <w:tcPr>
            <w:tcW w:w="115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四川省发展和改革委员会机关</w:t>
            </w:r>
          </w:p>
        </w:tc>
      </w:tr>
      <w:tr>
        <w:tblPrEx>
          <w:tblCellMar>
            <w:top w:w="0" w:type="dxa"/>
            <w:left w:w="108" w:type="dxa"/>
            <w:bottom w:w="0" w:type="dxa"/>
            <w:right w:w="108" w:type="dxa"/>
          </w:tblCellMar>
        </w:tblPrEx>
        <w:trPr>
          <w:trHeight w:val="341" w:hRule="atLeast"/>
          <w:jc w:val="center"/>
        </w:trPr>
        <w:tc>
          <w:tcPr>
            <w:tcW w:w="1093"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项目预算</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执行情况</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（万元）</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预算数：</w:t>
            </w:r>
          </w:p>
        </w:tc>
        <w:tc>
          <w:tcPr>
            <w:tcW w:w="140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496</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执行数：</w:t>
            </w:r>
          </w:p>
        </w:tc>
        <w:tc>
          <w:tcPr>
            <w:tcW w:w="115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496</w:t>
            </w:r>
          </w:p>
        </w:tc>
      </w:tr>
      <w:tr>
        <w:tblPrEx>
          <w:tblCellMar>
            <w:top w:w="0" w:type="dxa"/>
            <w:left w:w="108" w:type="dxa"/>
            <w:bottom w:w="0" w:type="dxa"/>
            <w:right w:w="108" w:type="dxa"/>
          </w:tblCellMar>
        </w:tblPrEx>
        <w:trPr>
          <w:trHeight w:val="577" w:hRule="atLeast"/>
          <w:jc w:val="center"/>
        </w:trPr>
        <w:tc>
          <w:tcPr>
            <w:tcW w:w="1093"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140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496</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115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496</w:t>
            </w:r>
          </w:p>
        </w:tc>
      </w:tr>
      <w:tr>
        <w:tblPrEx>
          <w:tblCellMar>
            <w:top w:w="0" w:type="dxa"/>
            <w:left w:w="108" w:type="dxa"/>
            <w:bottom w:w="0" w:type="dxa"/>
            <w:right w:w="108" w:type="dxa"/>
          </w:tblCellMar>
        </w:tblPrEx>
        <w:trPr>
          <w:trHeight w:val="341" w:hRule="atLeast"/>
          <w:jc w:val="center"/>
        </w:trPr>
        <w:tc>
          <w:tcPr>
            <w:tcW w:w="1093"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140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p>
        </w:tc>
        <w:tc>
          <w:tcPr>
            <w:tcW w:w="70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115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p>
        </w:tc>
      </w:tr>
      <w:tr>
        <w:tblPrEx>
          <w:tblCellMar>
            <w:top w:w="0" w:type="dxa"/>
            <w:left w:w="108" w:type="dxa"/>
            <w:bottom w:w="0" w:type="dxa"/>
            <w:right w:w="108" w:type="dxa"/>
          </w:tblCellMar>
        </w:tblPrEx>
        <w:trPr>
          <w:trHeight w:val="441" w:hRule="atLeast"/>
          <w:jc w:val="center"/>
        </w:trPr>
        <w:tc>
          <w:tcPr>
            <w:tcW w:w="435" w:type="pct"/>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年度总体目标完成情况</w:t>
            </w:r>
          </w:p>
        </w:tc>
        <w:tc>
          <w:tcPr>
            <w:tcW w:w="2705" w:type="pct"/>
            <w:gridSpan w:val="3"/>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预期目标</w:t>
            </w:r>
          </w:p>
        </w:tc>
        <w:tc>
          <w:tcPr>
            <w:tcW w:w="1859"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目标实际完成情况</w:t>
            </w:r>
          </w:p>
        </w:tc>
      </w:tr>
      <w:tr>
        <w:tblPrEx>
          <w:tblCellMar>
            <w:top w:w="0" w:type="dxa"/>
            <w:left w:w="108" w:type="dxa"/>
            <w:bottom w:w="0" w:type="dxa"/>
            <w:right w:w="108" w:type="dxa"/>
          </w:tblCellMar>
        </w:tblPrEx>
        <w:trPr>
          <w:trHeight w:val="1158" w:hRule="atLeast"/>
          <w:jc w:val="center"/>
        </w:trPr>
        <w:tc>
          <w:tcPr>
            <w:tcW w:w="435" w:type="pct"/>
            <w:vMerge w:val="continue"/>
            <w:tcBorders>
              <w:top w:val="single" w:color="000000" w:sz="4" w:space="0"/>
              <w:left w:val="single" w:color="000000" w:sz="4" w:space="0"/>
              <w:bottom w:val="single" w:color="auto" w:sz="4" w:space="0"/>
              <w:right w:val="single" w:color="000000"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2705" w:type="pct"/>
            <w:gridSpan w:val="3"/>
            <w:tcBorders>
              <w:top w:val="single" w:color="000000" w:sz="4" w:space="0"/>
              <w:left w:val="single" w:color="000000" w:sz="4" w:space="0"/>
              <w:bottom w:val="single" w:color="auto" w:sz="4" w:space="0"/>
              <w:right w:val="single" w:color="000000" w:sz="4" w:space="0"/>
            </w:tcBorders>
            <w:noWrap/>
            <w:vAlign w:val="center"/>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向省国农公司支付易地扶贫搬迁购买服务费用，要求省国农公司按期完成2021年易地扶贫搬迁项目资金本息归集偿还服务。</w:t>
            </w:r>
          </w:p>
        </w:tc>
        <w:tc>
          <w:tcPr>
            <w:tcW w:w="1859" w:type="pct"/>
            <w:gridSpan w:val="2"/>
            <w:tcBorders>
              <w:top w:val="single" w:color="000000" w:sz="4" w:space="0"/>
              <w:left w:val="single" w:color="000000" w:sz="4" w:space="0"/>
              <w:bottom w:val="single" w:color="auto" w:sz="4" w:space="0"/>
              <w:right w:val="single" w:color="000000" w:sz="4" w:space="0"/>
            </w:tcBorders>
            <w:noWrap/>
            <w:vAlign w:val="center"/>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有序开展2021年度易地扶贫搬迁项目资金本息归集偿还工作，圆满完成年度本息归集偿还任务。</w:t>
            </w:r>
          </w:p>
        </w:tc>
      </w:tr>
      <w:tr>
        <w:tblPrEx>
          <w:tblCellMar>
            <w:top w:w="0" w:type="dxa"/>
            <w:left w:w="108" w:type="dxa"/>
            <w:bottom w:w="0" w:type="dxa"/>
            <w:right w:w="108" w:type="dxa"/>
          </w:tblCellMar>
        </w:tblPrEx>
        <w:trPr>
          <w:trHeight w:val="738" w:hRule="atLeast"/>
          <w:jc w:val="center"/>
        </w:trPr>
        <w:tc>
          <w:tcPr>
            <w:tcW w:w="435" w:type="pct"/>
            <w:vMerge w:val="restar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年度绩效指标完成情况</w:t>
            </w:r>
          </w:p>
        </w:tc>
        <w:tc>
          <w:tcPr>
            <w:tcW w:w="65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一级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3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二级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40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三级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70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预期指</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标值</w:t>
            </w:r>
          </w:p>
        </w:tc>
        <w:tc>
          <w:tcPr>
            <w:tcW w:w="115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实际完成指标值</w:t>
            </w:r>
          </w:p>
        </w:tc>
      </w:tr>
      <w:tr>
        <w:tblPrEx>
          <w:tblCellMar>
            <w:top w:w="0" w:type="dxa"/>
            <w:left w:w="108" w:type="dxa"/>
            <w:bottom w:w="0" w:type="dxa"/>
            <w:right w:w="108" w:type="dxa"/>
          </w:tblCellMar>
        </w:tblPrEx>
        <w:trPr>
          <w:trHeight w:val="1193" w:hRule="atLeast"/>
          <w:jc w:val="center"/>
        </w:trPr>
        <w:tc>
          <w:tcPr>
            <w:tcW w:w="435"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58" w:type="pct"/>
            <w:vMerge w:val="restar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完成</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3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数量指标</w:t>
            </w:r>
          </w:p>
        </w:tc>
        <w:tc>
          <w:tcPr>
            <w:tcW w:w="140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省国农公司按期完成2021年易地扶贫搬迁项目资金本息归集偿还任务</w:t>
            </w:r>
          </w:p>
        </w:tc>
        <w:tc>
          <w:tcPr>
            <w:tcW w:w="70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16.86亿元</w:t>
            </w:r>
          </w:p>
        </w:tc>
        <w:tc>
          <w:tcPr>
            <w:tcW w:w="115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圆满完成</w:t>
            </w:r>
          </w:p>
        </w:tc>
      </w:tr>
      <w:tr>
        <w:tblPrEx>
          <w:tblCellMar>
            <w:top w:w="0" w:type="dxa"/>
            <w:left w:w="108" w:type="dxa"/>
            <w:bottom w:w="0" w:type="dxa"/>
            <w:right w:w="108" w:type="dxa"/>
          </w:tblCellMar>
        </w:tblPrEx>
        <w:trPr>
          <w:trHeight w:val="887" w:hRule="atLeast"/>
          <w:jc w:val="center"/>
        </w:trPr>
        <w:tc>
          <w:tcPr>
            <w:tcW w:w="435"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58"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质量指标</w:t>
            </w:r>
          </w:p>
        </w:tc>
        <w:tc>
          <w:tcPr>
            <w:tcW w:w="140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按照与银行签订的相关协议，足额归集偿还本息</w:t>
            </w:r>
          </w:p>
        </w:tc>
        <w:tc>
          <w:tcPr>
            <w:tcW w:w="70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按协议足额偿付本息</w:t>
            </w:r>
          </w:p>
        </w:tc>
        <w:tc>
          <w:tcPr>
            <w:tcW w:w="115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超额完成本息归集偿还任务</w:t>
            </w:r>
          </w:p>
        </w:tc>
      </w:tr>
      <w:tr>
        <w:tblPrEx>
          <w:tblCellMar>
            <w:top w:w="0" w:type="dxa"/>
            <w:left w:w="108" w:type="dxa"/>
            <w:bottom w:w="0" w:type="dxa"/>
            <w:right w:w="108" w:type="dxa"/>
          </w:tblCellMar>
        </w:tblPrEx>
        <w:trPr>
          <w:trHeight w:val="868" w:hRule="atLeast"/>
          <w:jc w:val="center"/>
        </w:trPr>
        <w:tc>
          <w:tcPr>
            <w:tcW w:w="435"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58"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时效指标</w:t>
            </w:r>
          </w:p>
        </w:tc>
        <w:tc>
          <w:tcPr>
            <w:tcW w:w="140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按照与银行签订的相关协议，按期足额归集偿还</w:t>
            </w:r>
          </w:p>
        </w:tc>
        <w:tc>
          <w:tcPr>
            <w:tcW w:w="70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按协议按期归集偿还</w:t>
            </w:r>
          </w:p>
        </w:tc>
        <w:tc>
          <w:tcPr>
            <w:tcW w:w="115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按期归集偿还</w:t>
            </w:r>
          </w:p>
        </w:tc>
      </w:tr>
      <w:tr>
        <w:tblPrEx>
          <w:tblCellMar>
            <w:top w:w="0" w:type="dxa"/>
            <w:left w:w="108" w:type="dxa"/>
            <w:bottom w:w="0" w:type="dxa"/>
            <w:right w:w="108" w:type="dxa"/>
          </w:tblCellMar>
        </w:tblPrEx>
        <w:trPr>
          <w:trHeight w:val="1106" w:hRule="atLeast"/>
          <w:jc w:val="center"/>
        </w:trPr>
        <w:tc>
          <w:tcPr>
            <w:tcW w:w="435"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5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效益指标</w:t>
            </w:r>
          </w:p>
        </w:tc>
        <w:tc>
          <w:tcPr>
            <w:tcW w:w="63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可持续影响指标</w:t>
            </w:r>
          </w:p>
        </w:tc>
        <w:tc>
          <w:tcPr>
            <w:tcW w:w="140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有序开展本息归集偿还，确保“十三五”易地扶贫搬迁有偿资金有序还款</w:t>
            </w:r>
          </w:p>
        </w:tc>
        <w:tc>
          <w:tcPr>
            <w:tcW w:w="70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有序归集偿还</w:t>
            </w:r>
          </w:p>
        </w:tc>
        <w:tc>
          <w:tcPr>
            <w:tcW w:w="115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有序完成年度任务</w:t>
            </w:r>
          </w:p>
        </w:tc>
      </w:tr>
      <w:tr>
        <w:tblPrEx>
          <w:tblCellMar>
            <w:top w:w="0" w:type="dxa"/>
            <w:left w:w="108" w:type="dxa"/>
            <w:bottom w:w="0" w:type="dxa"/>
            <w:right w:w="108" w:type="dxa"/>
          </w:tblCellMar>
        </w:tblPrEx>
        <w:trPr>
          <w:trHeight w:val="990" w:hRule="atLeast"/>
          <w:jc w:val="center"/>
        </w:trPr>
        <w:tc>
          <w:tcPr>
            <w:tcW w:w="435"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5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3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w:t>
            </w:r>
          </w:p>
        </w:tc>
        <w:tc>
          <w:tcPr>
            <w:tcW w:w="140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国农公司本息归集偿还工作满意度</w:t>
            </w:r>
          </w:p>
        </w:tc>
        <w:tc>
          <w:tcPr>
            <w:tcW w:w="70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≥90%</w:t>
            </w:r>
          </w:p>
        </w:tc>
        <w:tc>
          <w:tcPr>
            <w:tcW w:w="115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ind w:firstLine="420" w:firstLineChars="200"/>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r>
    </w:tbl>
    <w:p>
      <w:pPr>
        <w:pStyle w:val="8"/>
        <w:pageBreakBefore w:val="0"/>
        <w:kinsoku/>
        <w:wordWrap/>
        <w:overflowPunct/>
        <w:topLinePunct w:val="0"/>
        <w:bidi w:val="0"/>
        <w:spacing w:before="93" w:line="560" w:lineRule="exact"/>
        <w:rPr>
          <w:rFonts w:hint="default" w:ascii="Times New Roman" w:hAnsi="Times New Roman" w:cs="Times New Roman"/>
          <w:color w:val="auto"/>
          <w:lang w:val="zh-CN"/>
        </w:rPr>
      </w:pPr>
    </w:p>
    <w:tbl>
      <w:tblPr>
        <w:tblStyle w:val="21"/>
        <w:tblpPr w:leftFromText="180" w:rightFromText="180" w:vertAnchor="text" w:horzAnchor="page" w:tblpXSpec="center" w:tblpY="221"/>
        <w:tblOverlap w:val="never"/>
        <w:tblW w:w="5038" w:type="pct"/>
        <w:jc w:val="center"/>
        <w:tblLayout w:type="fixed"/>
        <w:tblCellMar>
          <w:top w:w="0" w:type="dxa"/>
          <w:left w:w="108" w:type="dxa"/>
          <w:bottom w:w="0" w:type="dxa"/>
          <w:right w:w="108" w:type="dxa"/>
        </w:tblCellMar>
      </w:tblPr>
      <w:tblGrid>
        <w:gridCol w:w="674"/>
        <w:gridCol w:w="1284"/>
        <w:gridCol w:w="1470"/>
        <w:gridCol w:w="2202"/>
        <w:gridCol w:w="1800"/>
        <w:gridCol w:w="1701"/>
      </w:tblGrid>
      <w:tr>
        <w:tblPrEx>
          <w:tblCellMar>
            <w:top w:w="0" w:type="dxa"/>
            <w:left w:w="108" w:type="dxa"/>
            <w:bottom w:w="0" w:type="dxa"/>
            <w:right w:w="108" w:type="dxa"/>
          </w:tblCellMar>
        </w:tblPrEx>
        <w:trPr>
          <w:trHeight w:val="1128" w:hRule="atLeast"/>
          <w:jc w:val="center"/>
        </w:trPr>
        <w:tc>
          <w:tcPr>
            <w:tcW w:w="5000" w:type="pct"/>
            <w:gridSpan w:val="6"/>
            <w:tcBorders>
              <w:top w:val="nil"/>
              <w:left w:val="nil"/>
              <w:bottom w:val="nil"/>
              <w:right w:val="nil"/>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方正小标宋简体" w:cs="Times New Roman"/>
                <w:bCs/>
                <w:color w:val="auto"/>
                <w:sz w:val="32"/>
                <w:szCs w:val="32"/>
              </w:rPr>
            </w:pPr>
            <w:r>
              <w:rPr>
                <w:rFonts w:hint="default" w:ascii="Times New Roman" w:hAnsi="Times New Roman" w:eastAsia="方正小标宋简体" w:cs="Times New Roman"/>
                <w:bCs/>
                <w:color w:val="auto"/>
                <w:sz w:val="28"/>
                <w:szCs w:val="28"/>
              </w:rPr>
              <w:t>2021年100万以上（含）特定目标类部门预算项目绩效目标自评</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b/>
                <w:color w:val="auto"/>
                <w:sz w:val="32"/>
                <w:szCs w:val="32"/>
              </w:rPr>
            </w:pPr>
            <w:r>
              <w:rPr>
                <w:rFonts w:hint="default" w:ascii="Times New Roman" w:hAnsi="Times New Roman" w:eastAsia="方正小标宋简体" w:cs="Times New Roman"/>
                <w:bCs/>
                <w:color w:val="auto"/>
                <w:sz w:val="28"/>
                <w:szCs w:val="28"/>
              </w:rPr>
              <w:t>（中国品牌日四川活动项目）</w:t>
            </w:r>
          </w:p>
        </w:tc>
      </w:tr>
      <w:tr>
        <w:tblPrEx>
          <w:tblCellMar>
            <w:top w:w="0" w:type="dxa"/>
            <w:left w:w="108" w:type="dxa"/>
            <w:bottom w:w="0" w:type="dxa"/>
            <w:right w:w="108" w:type="dxa"/>
          </w:tblCellMar>
        </w:tblPrEx>
        <w:trPr>
          <w:trHeight w:val="574" w:hRule="atLeast"/>
          <w:jc w:val="center"/>
        </w:trPr>
        <w:tc>
          <w:tcPr>
            <w:tcW w:w="1072"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主管部门及代码</w:t>
            </w:r>
          </w:p>
        </w:tc>
        <w:tc>
          <w:tcPr>
            <w:tcW w:w="2010"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303-四川省发展和改革委员会</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实施单位</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四川省发展和改革委员会机关</w:t>
            </w:r>
          </w:p>
        </w:tc>
      </w:tr>
      <w:tr>
        <w:tblPrEx>
          <w:tblCellMar>
            <w:top w:w="0" w:type="dxa"/>
            <w:left w:w="108" w:type="dxa"/>
            <w:bottom w:w="0" w:type="dxa"/>
            <w:right w:w="108" w:type="dxa"/>
          </w:tblCellMar>
        </w:tblPrEx>
        <w:trPr>
          <w:trHeight w:val="574" w:hRule="atLeast"/>
          <w:jc w:val="center"/>
        </w:trPr>
        <w:tc>
          <w:tcPr>
            <w:tcW w:w="1072"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项目预算</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执行情况</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（万元）</w:t>
            </w:r>
          </w:p>
        </w:tc>
        <w:tc>
          <w:tcPr>
            <w:tcW w:w="804"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 xml:space="preserve"> 预算数：</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435.15</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 xml:space="preserve"> 执行数：</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398.8</w:t>
            </w:r>
          </w:p>
        </w:tc>
      </w:tr>
      <w:tr>
        <w:tblPrEx>
          <w:tblCellMar>
            <w:top w:w="0" w:type="dxa"/>
            <w:left w:w="108" w:type="dxa"/>
            <w:bottom w:w="0" w:type="dxa"/>
            <w:right w:w="108" w:type="dxa"/>
          </w:tblCellMar>
        </w:tblPrEx>
        <w:trPr>
          <w:trHeight w:val="843" w:hRule="atLeast"/>
          <w:jc w:val="center"/>
        </w:trPr>
        <w:tc>
          <w:tcPr>
            <w:tcW w:w="1072"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435.15</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398.8</w:t>
            </w:r>
          </w:p>
        </w:tc>
      </w:tr>
      <w:tr>
        <w:tblPrEx>
          <w:tblCellMar>
            <w:top w:w="0" w:type="dxa"/>
            <w:left w:w="108" w:type="dxa"/>
            <w:bottom w:w="0" w:type="dxa"/>
            <w:right w:w="108" w:type="dxa"/>
          </w:tblCellMar>
        </w:tblPrEx>
        <w:trPr>
          <w:trHeight w:val="574" w:hRule="atLeast"/>
          <w:jc w:val="center"/>
        </w:trPr>
        <w:tc>
          <w:tcPr>
            <w:tcW w:w="1072"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0</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0</w:t>
            </w:r>
          </w:p>
        </w:tc>
      </w:tr>
      <w:tr>
        <w:tblPrEx>
          <w:tblCellMar>
            <w:top w:w="0" w:type="dxa"/>
            <w:left w:w="108" w:type="dxa"/>
            <w:bottom w:w="0" w:type="dxa"/>
            <w:right w:w="108" w:type="dxa"/>
          </w:tblCellMar>
        </w:tblPrEx>
        <w:trPr>
          <w:trHeight w:val="574" w:hRule="atLeast"/>
          <w:jc w:val="center"/>
        </w:trPr>
        <w:tc>
          <w:tcPr>
            <w:tcW w:w="369" w:type="pct"/>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年度总体目标完成情况</w:t>
            </w:r>
          </w:p>
        </w:tc>
        <w:tc>
          <w:tcPr>
            <w:tcW w:w="2713" w:type="pct"/>
            <w:gridSpan w:val="3"/>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预期目标</w:t>
            </w:r>
          </w:p>
        </w:tc>
        <w:tc>
          <w:tcPr>
            <w:tcW w:w="1917"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目标实际完成情况</w:t>
            </w:r>
          </w:p>
        </w:tc>
      </w:tr>
      <w:tr>
        <w:tblPrEx>
          <w:tblCellMar>
            <w:top w:w="0" w:type="dxa"/>
            <w:left w:w="108" w:type="dxa"/>
            <w:bottom w:w="0" w:type="dxa"/>
            <w:right w:w="108" w:type="dxa"/>
          </w:tblCellMar>
        </w:tblPrEx>
        <w:trPr>
          <w:trHeight w:val="3049" w:hRule="atLeast"/>
          <w:jc w:val="center"/>
        </w:trPr>
        <w:tc>
          <w:tcPr>
            <w:tcW w:w="369" w:type="pct"/>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2713" w:type="pct"/>
            <w:gridSpan w:val="3"/>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2017年，国务院批复同意将每年5月10日设立为“中国品牌日”。为贯彻国务院关于品牌发展的决策部署，国家发展改革委牵头会同有关部门举办了2018、2019、2020年三届中国品牌日系列活动。2020年9月16日，国家发展改革委召开2021第二届自主品牌博览会筹备会，会上明确国家发展改革委拟会同相关部门于5月10日—12日在上海举办2021年自主品牌博览会及中国品牌日系列活动，活动拟包括线上和线下两种方式举办，博览会规模不低于2018首届自主品牌博览会规模。</w:t>
            </w:r>
          </w:p>
        </w:tc>
        <w:tc>
          <w:tcPr>
            <w:tcW w:w="1917"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2021年中国品牌日四川活动投入资金398.8万元，圆满完成了线上展馆、线下展馆、特色展演活动、地方特色品牌创建等大型活动的设计、筹备、展出及收尾工作，活动特色亮点纷呈、成绩斐然，获得一致好评，全方位宣传展示了四川省品牌建设成效。</w:t>
            </w:r>
          </w:p>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793" w:hRule="atLeast"/>
          <w:jc w:val="center"/>
        </w:trPr>
        <w:tc>
          <w:tcPr>
            <w:tcW w:w="369" w:type="pct"/>
            <w:vMerge w:val="restart"/>
            <w:tcBorders>
              <w:top w:val="single" w:color="000000" w:sz="4" w:space="0"/>
              <w:left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年度绩效指标完成情况</w:t>
            </w:r>
          </w:p>
        </w:tc>
        <w:tc>
          <w:tcPr>
            <w:tcW w:w="703" w:type="pct"/>
            <w:tcBorders>
              <w:top w:val="single" w:color="000000" w:sz="4" w:space="0"/>
              <w:left w:val="nil"/>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一级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804"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二级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三级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预期指标值</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实际完成指标值</w:t>
            </w:r>
          </w:p>
        </w:tc>
      </w:tr>
      <w:tr>
        <w:tblPrEx>
          <w:tblCellMar>
            <w:top w:w="0" w:type="dxa"/>
            <w:left w:w="108" w:type="dxa"/>
            <w:bottom w:w="0" w:type="dxa"/>
            <w:right w:w="108" w:type="dxa"/>
          </w:tblCellMar>
        </w:tblPrEx>
        <w:trPr>
          <w:trHeight w:val="574" w:hRule="atLeast"/>
          <w:jc w:val="center"/>
        </w:trPr>
        <w:tc>
          <w:tcPr>
            <w:tcW w:w="369"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703" w:type="pct"/>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完成</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804"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数量指标</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参展企业数量</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线上50家、线下35家企业参展</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线上50家、线下35家企业参展</w:t>
            </w:r>
          </w:p>
        </w:tc>
      </w:tr>
      <w:tr>
        <w:tblPrEx>
          <w:tblCellMar>
            <w:top w:w="0" w:type="dxa"/>
            <w:left w:w="108" w:type="dxa"/>
            <w:bottom w:w="0" w:type="dxa"/>
            <w:right w:w="108" w:type="dxa"/>
          </w:tblCellMar>
        </w:tblPrEx>
        <w:trPr>
          <w:trHeight w:val="663" w:hRule="atLeast"/>
          <w:jc w:val="center"/>
        </w:trPr>
        <w:tc>
          <w:tcPr>
            <w:tcW w:w="369"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703" w:type="pct"/>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质量指标</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通过检查率</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达到国家线上线下参展、布展要求</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达标</w:t>
            </w:r>
          </w:p>
        </w:tc>
      </w:tr>
      <w:tr>
        <w:tblPrEx>
          <w:tblCellMar>
            <w:top w:w="0" w:type="dxa"/>
            <w:left w:w="108" w:type="dxa"/>
            <w:bottom w:w="0" w:type="dxa"/>
            <w:right w:w="108" w:type="dxa"/>
          </w:tblCellMar>
        </w:tblPrEx>
        <w:trPr>
          <w:trHeight w:val="1138" w:hRule="atLeast"/>
          <w:jc w:val="center"/>
        </w:trPr>
        <w:tc>
          <w:tcPr>
            <w:tcW w:w="369"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703" w:type="pct"/>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时效指标</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按时间节点完成相关工作</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4月10日上线云上展馆模块，5月10日正式开幕</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按时间节点完成相应参展任务</w:t>
            </w:r>
          </w:p>
        </w:tc>
      </w:tr>
      <w:tr>
        <w:tblPrEx>
          <w:tblCellMar>
            <w:top w:w="0" w:type="dxa"/>
            <w:left w:w="108" w:type="dxa"/>
            <w:bottom w:w="0" w:type="dxa"/>
            <w:right w:w="108" w:type="dxa"/>
          </w:tblCellMar>
        </w:tblPrEx>
        <w:trPr>
          <w:trHeight w:val="574" w:hRule="atLeast"/>
          <w:jc w:val="center"/>
        </w:trPr>
        <w:tc>
          <w:tcPr>
            <w:tcW w:w="369"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703" w:type="pct"/>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成本指标</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经费控制在预算内</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435.15万元</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389.8万元</w:t>
            </w:r>
          </w:p>
        </w:tc>
      </w:tr>
      <w:tr>
        <w:tblPrEx>
          <w:tblCellMar>
            <w:top w:w="0" w:type="dxa"/>
            <w:left w:w="108" w:type="dxa"/>
            <w:bottom w:w="0" w:type="dxa"/>
            <w:right w:w="108" w:type="dxa"/>
          </w:tblCellMar>
        </w:tblPrEx>
        <w:trPr>
          <w:trHeight w:val="1702" w:hRule="atLeast"/>
          <w:jc w:val="center"/>
        </w:trPr>
        <w:tc>
          <w:tcPr>
            <w:tcW w:w="369"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703" w:type="pct"/>
            <w:vMerge w:val="restart"/>
            <w:tcBorders>
              <w:top w:val="single" w:color="000000" w:sz="4" w:space="0"/>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效益指标</w:t>
            </w:r>
          </w:p>
        </w:tc>
        <w:tc>
          <w:tcPr>
            <w:tcW w:w="804"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社会效益  指标</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通过品牌日活动的影响力推进四川品牌建设</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通过线上、线下展示，扩大四川企业四川品牌影响力、美誉度</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参展企业打响了自身品牌知名度和美誉度</w:t>
            </w:r>
          </w:p>
        </w:tc>
      </w:tr>
      <w:tr>
        <w:tblPrEx>
          <w:tblCellMar>
            <w:top w:w="0" w:type="dxa"/>
            <w:left w:w="108" w:type="dxa"/>
            <w:bottom w:w="0" w:type="dxa"/>
            <w:right w:w="108" w:type="dxa"/>
          </w:tblCellMar>
        </w:tblPrEx>
        <w:trPr>
          <w:trHeight w:val="1702" w:hRule="atLeast"/>
          <w:jc w:val="center"/>
        </w:trPr>
        <w:tc>
          <w:tcPr>
            <w:tcW w:w="369" w:type="pct"/>
            <w:vMerge w:val="continue"/>
            <w:tcBorders>
              <w:left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p>
        </w:tc>
        <w:tc>
          <w:tcPr>
            <w:tcW w:w="703" w:type="pct"/>
            <w:vMerge w:val="continue"/>
            <w:tcBorders>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可持续影</w:t>
            </w:r>
          </w:p>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响指标</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利用品牌日活动影响力，激发优质企业参与热情，形成活动推动品牌建设，品牌反推活动特色亮点的互利双赢模式</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构建品牌日活动与四川品牌的互利双赢模式</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通过活动，四川品牌知名度、美誉度更高，四川活动更有水平、特色</w:t>
            </w:r>
          </w:p>
        </w:tc>
      </w:tr>
      <w:tr>
        <w:tblPrEx>
          <w:tblCellMar>
            <w:top w:w="0" w:type="dxa"/>
            <w:left w:w="108" w:type="dxa"/>
            <w:bottom w:w="0" w:type="dxa"/>
            <w:right w:w="108" w:type="dxa"/>
          </w:tblCellMar>
        </w:tblPrEx>
        <w:trPr>
          <w:trHeight w:val="1148" w:hRule="atLeast"/>
          <w:jc w:val="center"/>
        </w:trPr>
        <w:tc>
          <w:tcPr>
            <w:tcW w:w="369" w:type="pct"/>
            <w:vMerge w:val="continue"/>
            <w:tcBorders>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p>
        </w:tc>
        <w:tc>
          <w:tcPr>
            <w:tcW w:w="703"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w:t>
            </w:r>
          </w:p>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度指标</w:t>
            </w:r>
          </w:p>
        </w:tc>
        <w:tc>
          <w:tcPr>
            <w:tcW w:w="804"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参与企业满意度</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r>
    </w:tbl>
    <w:p>
      <w:pPr>
        <w:pStyle w:val="8"/>
        <w:pageBreakBefore w:val="0"/>
        <w:kinsoku/>
        <w:wordWrap/>
        <w:overflowPunct/>
        <w:topLinePunct w:val="0"/>
        <w:bidi w:val="0"/>
        <w:spacing w:before="93" w:line="560" w:lineRule="exact"/>
        <w:rPr>
          <w:rFonts w:hint="default" w:ascii="Times New Roman" w:hAnsi="Times New Roman" w:cs="Times New Roman"/>
          <w:color w:val="auto"/>
          <w:sz w:val="21"/>
          <w:szCs w:val="21"/>
          <w:lang w:val="zh-CN"/>
        </w:rPr>
      </w:pPr>
    </w:p>
    <w:tbl>
      <w:tblPr>
        <w:tblStyle w:val="21"/>
        <w:tblpPr w:leftFromText="180" w:rightFromText="180" w:vertAnchor="text" w:horzAnchor="page" w:tblpXSpec="center" w:tblpY="221"/>
        <w:tblOverlap w:val="never"/>
        <w:tblW w:w="9251" w:type="dxa"/>
        <w:jc w:val="center"/>
        <w:tblLayout w:type="fixed"/>
        <w:tblCellMar>
          <w:top w:w="0" w:type="dxa"/>
          <w:left w:w="108" w:type="dxa"/>
          <w:bottom w:w="0" w:type="dxa"/>
          <w:right w:w="108" w:type="dxa"/>
        </w:tblCellMar>
      </w:tblPr>
      <w:tblGrid>
        <w:gridCol w:w="809"/>
        <w:gridCol w:w="1569"/>
        <w:gridCol w:w="1305"/>
        <w:gridCol w:w="1800"/>
        <w:gridCol w:w="1425"/>
        <w:gridCol w:w="2343"/>
      </w:tblGrid>
      <w:tr>
        <w:tblPrEx>
          <w:tblCellMar>
            <w:top w:w="0" w:type="dxa"/>
            <w:left w:w="108" w:type="dxa"/>
            <w:bottom w:w="0" w:type="dxa"/>
            <w:right w:w="108" w:type="dxa"/>
          </w:tblCellMar>
        </w:tblPrEx>
        <w:trPr>
          <w:trHeight w:val="945" w:hRule="atLeast"/>
          <w:jc w:val="center"/>
        </w:trPr>
        <w:tc>
          <w:tcPr>
            <w:tcW w:w="9251" w:type="dxa"/>
            <w:gridSpan w:val="6"/>
            <w:tcBorders>
              <w:top w:val="nil"/>
              <w:left w:val="nil"/>
              <w:bottom w:val="nil"/>
              <w:right w:val="nil"/>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方正小标宋简体" w:cs="Times New Roman"/>
                <w:bCs/>
                <w:color w:val="auto"/>
                <w:sz w:val="32"/>
                <w:szCs w:val="32"/>
              </w:rPr>
            </w:pPr>
            <w:r>
              <w:rPr>
                <w:rFonts w:hint="default" w:ascii="Times New Roman" w:hAnsi="Times New Roman" w:eastAsia="方正小标宋简体" w:cs="Times New Roman"/>
                <w:bCs/>
                <w:color w:val="auto"/>
                <w:sz w:val="28"/>
                <w:szCs w:val="28"/>
              </w:rPr>
              <w:t>2021年100万以上（含）特定目标类部门预算项目绩效目标自评</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b/>
                <w:color w:val="auto"/>
              </w:rPr>
            </w:pPr>
            <w:r>
              <w:rPr>
                <w:rFonts w:hint="default" w:ascii="Times New Roman" w:hAnsi="Times New Roman" w:eastAsia="方正小标宋简体" w:cs="Times New Roman"/>
                <w:bCs/>
                <w:color w:val="auto"/>
                <w:sz w:val="28"/>
                <w:szCs w:val="28"/>
              </w:rPr>
              <w:t>（碳达峰情景下四川能耗双控研究项目）</w:t>
            </w:r>
          </w:p>
        </w:tc>
      </w:tr>
      <w:tr>
        <w:tblPrEx>
          <w:tblCellMar>
            <w:top w:w="0" w:type="dxa"/>
            <w:left w:w="108" w:type="dxa"/>
            <w:bottom w:w="0" w:type="dxa"/>
            <w:right w:w="108" w:type="dxa"/>
          </w:tblCellMar>
        </w:tblPrEx>
        <w:trPr>
          <w:trHeight w:val="254" w:hRule="atLeast"/>
          <w:jc w:val="center"/>
        </w:trPr>
        <w:tc>
          <w:tcPr>
            <w:tcW w:w="2378" w:type="dxa"/>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主管部门及代码</w:t>
            </w:r>
          </w:p>
        </w:tc>
        <w:tc>
          <w:tcPr>
            <w:tcW w:w="3105" w:type="dxa"/>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303-四川省发展和改革委员会</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实施单位</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四川省发展和改革委员会机关</w:t>
            </w:r>
          </w:p>
        </w:tc>
      </w:tr>
      <w:tr>
        <w:tblPrEx>
          <w:tblCellMar>
            <w:top w:w="0" w:type="dxa"/>
            <w:left w:w="108" w:type="dxa"/>
            <w:bottom w:w="0" w:type="dxa"/>
            <w:right w:w="108" w:type="dxa"/>
          </w:tblCellMar>
        </w:tblPrEx>
        <w:trPr>
          <w:trHeight w:val="341" w:hRule="atLeast"/>
          <w:jc w:val="center"/>
        </w:trPr>
        <w:tc>
          <w:tcPr>
            <w:tcW w:w="2378"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项目预算</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执行情况</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（万元）</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预算数：</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180</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执行数：</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180</w:t>
            </w:r>
          </w:p>
        </w:tc>
      </w:tr>
      <w:tr>
        <w:tblPrEx>
          <w:tblCellMar>
            <w:top w:w="0" w:type="dxa"/>
            <w:left w:w="108" w:type="dxa"/>
            <w:bottom w:w="0" w:type="dxa"/>
            <w:right w:w="108" w:type="dxa"/>
          </w:tblCellMar>
        </w:tblPrEx>
        <w:trPr>
          <w:trHeight w:val="577" w:hRule="atLeast"/>
          <w:jc w:val="center"/>
        </w:trPr>
        <w:tc>
          <w:tcPr>
            <w:tcW w:w="237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180</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180</w:t>
            </w:r>
          </w:p>
        </w:tc>
      </w:tr>
      <w:tr>
        <w:tblPrEx>
          <w:tblCellMar>
            <w:top w:w="0" w:type="dxa"/>
            <w:left w:w="108" w:type="dxa"/>
            <w:bottom w:w="0" w:type="dxa"/>
            <w:right w:w="108" w:type="dxa"/>
          </w:tblCellMar>
        </w:tblPrEx>
        <w:trPr>
          <w:trHeight w:val="341" w:hRule="atLeast"/>
          <w:jc w:val="center"/>
        </w:trPr>
        <w:tc>
          <w:tcPr>
            <w:tcW w:w="237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p>
        </w:tc>
        <w:tc>
          <w:tcPr>
            <w:tcW w:w="142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p>
        </w:tc>
      </w:tr>
      <w:tr>
        <w:tblPrEx>
          <w:tblCellMar>
            <w:top w:w="0" w:type="dxa"/>
            <w:left w:w="108" w:type="dxa"/>
            <w:bottom w:w="0" w:type="dxa"/>
            <w:right w:w="108" w:type="dxa"/>
          </w:tblCellMar>
        </w:tblPrEx>
        <w:trPr>
          <w:trHeight w:val="217" w:hRule="atLeast"/>
          <w:jc w:val="center"/>
        </w:trPr>
        <w:tc>
          <w:tcPr>
            <w:tcW w:w="809" w:type="dxa"/>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年度总体目标完成情况</w:t>
            </w:r>
          </w:p>
        </w:tc>
        <w:tc>
          <w:tcPr>
            <w:tcW w:w="4674" w:type="dxa"/>
            <w:gridSpan w:val="3"/>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预期目标</w:t>
            </w:r>
          </w:p>
        </w:tc>
        <w:tc>
          <w:tcPr>
            <w:tcW w:w="3768" w:type="dxa"/>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目标实际完成情况</w:t>
            </w:r>
          </w:p>
        </w:tc>
      </w:tr>
      <w:tr>
        <w:tblPrEx>
          <w:tblCellMar>
            <w:top w:w="0" w:type="dxa"/>
            <w:left w:w="108" w:type="dxa"/>
            <w:bottom w:w="0" w:type="dxa"/>
            <w:right w:w="108" w:type="dxa"/>
          </w:tblCellMar>
        </w:tblPrEx>
        <w:trPr>
          <w:trHeight w:val="1297" w:hRule="atLeast"/>
          <w:jc w:val="center"/>
        </w:trPr>
        <w:tc>
          <w:tcPr>
            <w:tcW w:w="809" w:type="dxa"/>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674" w:type="dxa"/>
            <w:gridSpan w:val="3"/>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开展《碳达峰情境下能源消费双控目标及实现路径研究》</w:t>
            </w:r>
          </w:p>
        </w:tc>
        <w:tc>
          <w:tcPr>
            <w:tcW w:w="3768" w:type="dxa"/>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开展《碳达峰情境下能源消费双控目标及实现路径研究》</w:t>
            </w:r>
          </w:p>
        </w:tc>
      </w:tr>
      <w:tr>
        <w:tblPrEx>
          <w:tblCellMar>
            <w:top w:w="0" w:type="dxa"/>
            <w:left w:w="108" w:type="dxa"/>
            <w:bottom w:w="0" w:type="dxa"/>
            <w:right w:w="108" w:type="dxa"/>
          </w:tblCellMar>
        </w:tblPrEx>
        <w:trPr>
          <w:trHeight w:val="738" w:hRule="atLeast"/>
          <w:jc w:val="center"/>
        </w:trPr>
        <w:tc>
          <w:tcPr>
            <w:tcW w:w="809" w:type="dxa"/>
            <w:vMerge w:val="restart"/>
            <w:tcBorders>
              <w:top w:val="single" w:color="000000" w:sz="4" w:space="0"/>
              <w:left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年度绩效指标完成情况</w:t>
            </w:r>
          </w:p>
        </w:tc>
        <w:tc>
          <w:tcPr>
            <w:tcW w:w="1569" w:type="dxa"/>
            <w:tcBorders>
              <w:top w:val="single" w:color="000000" w:sz="4" w:space="0"/>
              <w:left w:val="nil"/>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一级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二级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三级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预期指标值</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实际完成指标值</w:t>
            </w:r>
          </w:p>
        </w:tc>
      </w:tr>
      <w:tr>
        <w:tblPrEx>
          <w:tblCellMar>
            <w:top w:w="0" w:type="dxa"/>
            <w:left w:w="108" w:type="dxa"/>
            <w:bottom w:w="0" w:type="dxa"/>
            <w:right w:w="108" w:type="dxa"/>
          </w:tblCellMar>
        </w:tblPrEx>
        <w:trPr>
          <w:trHeight w:val="480" w:hRule="atLeast"/>
          <w:jc w:val="center"/>
        </w:trPr>
        <w:tc>
          <w:tcPr>
            <w:tcW w:w="809" w:type="dxa"/>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569" w:type="dxa"/>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完成</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数量指标</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提交成果数量</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3篇</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3篇</w:t>
            </w:r>
          </w:p>
        </w:tc>
      </w:tr>
      <w:tr>
        <w:tblPrEx>
          <w:tblCellMar>
            <w:top w:w="0" w:type="dxa"/>
            <w:left w:w="108" w:type="dxa"/>
            <w:bottom w:w="0" w:type="dxa"/>
            <w:right w:w="108" w:type="dxa"/>
          </w:tblCellMar>
        </w:tblPrEx>
        <w:trPr>
          <w:trHeight w:val="830" w:hRule="atLeast"/>
          <w:jc w:val="center"/>
        </w:trPr>
        <w:tc>
          <w:tcPr>
            <w:tcW w:w="809" w:type="dxa"/>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569" w:type="dxa"/>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质量指标</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成果报告符合委托要求</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符合委托要求</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符合</w:t>
            </w:r>
          </w:p>
        </w:tc>
      </w:tr>
      <w:tr>
        <w:tblPrEx>
          <w:tblCellMar>
            <w:top w:w="0" w:type="dxa"/>
            <w:left w:w="108" w:type="dxa"/>
            <w:bottom w:w="0" w:type="dxa"/>
            <w:right w:w="108" w:type="dxa"/>
          </w:tblCellMar>
        </w:tblPrEx>
        <w:trPr>
          <w:trHeight w:val="480" w:hRule="atLeast"/>
          <w:jc w:val="center"/>
        </w:trPr>
        <w:tc>
          <w:tcPr>
            <w:tcW w:w="809" w:type="dxa"/>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569" w:type="dxa"/>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时效指标</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完成时间</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一个顺延年内</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一年内</w:t>
            </w:r>
          </w:p>
        </w:tc>
      </w:tr>
      <w:tr>
        <w:tblPrEx>
          <w:tblCellMar>
            <w:top w:w="0" w:type="dxa"/>
            <w:left w:w="108" w:type="dxa"/>
            <w:bottom w:w="0" w:type="dxa"/>
            <w:right w:w="108" w:type="dxa"/>
          </w:tblCellMar>
        </w:tblPrEx>
        <w:trPr>
          <w:trHeight w:val="480" w:hRule="atLeast"/>
          <w:jc w:val="center"/>
        </w:trPr>
        <w:tc>
          <w:tcPr>
            <w:tcW w:w="809" w:type="dxa"/>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569" w:type="dxa"/>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成本指标</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资金到位100%</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资金到位100%</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资金到位100%</w:t>
            </w:r>
          </w:p>
        </w:tc>
      </w:tr>
      <w:tr>
        <w:tblPrEx>
          <w:tblCellMar>
            <w:top w:w="0" w:type="dxa"/>
            <w:left w:w="108" w:type="dxa"/>
            <w:bottom w:w="0" w:type="dxa"/>
            <w:right w:w="108" w:type="dxa"/>
          </w:tblCellMar>
        </w:tblPrEx>
        <w:trPr>
          <w:trHeight w:val="890" w:hRule="atLeast"/>
          <w:jc w:val="center"/>
        </w:trPr>
        <w:tc>
          <w:tcPr>
            <w:tcW w:w="809" w:type="dxa"/>
            <w:vMerge w:val="continue"/>
            <w:tcBorders>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569"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度指标</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委托单位是否满意</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满意</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满意</w:t>
            </w:r>
          </w:p>
        </w:tc>
      </w:tr>
    </w:tbl>
    <w:p>
      <w:pPr>
        <w:pStyle w:val="8"/>
        <w:pageBreakBefore w:val="0"/>
        <w:kinsoku/>
        <w:wordWrap/>
        <w:overflowPunct/>
        <w:topLinePunct w:val="0"/>
        <w:bidi w:val="0"/>
        <w:spacing w:before="93" w:line="560" w:lineRule="exact"/>
        <w:rPr>
          <w:rFonts w:hint="default" w:ascii="Times New Roman" w:hAnsi="Times New Roman" w:cs="Times New Roman"/>
          <w:color w:val="auto"/>
          <w:lang w:val="zh-CN"/>
        </w:rPr>
      </w:pPr>
    </w:p>
    <w:tbl>
      <w:tblPr>
        <w:tblStyle w:val="21"/>
        <w:tblpPr w:leftFromText="180" w:rightFromText="180" w:vertAnchor="text" w:horzAnchor="page" w:tblpXSpec="center" w:tblpY="221"/>
        <w:tblOverlap w:val="never"/>
        <w:tblW w:w="9217" w:type="dxa"/>
        <w:jc w:val="center"/>
        <w:tblLayout w:type="fixed"/>
        <w:tblCellMar>
          <w:top w:w="0" w:type="dxa"/>
          <w:left w:w="108" w:type="dxa"/>
          <w:bottom w:w="0" w:type="dxa"/>
          <w:right w:w="108" w:type="dxa"/>
        </w:tblCellMar>
      </w:tblPr>
      <w:tblGrid>
        <w:gridCol w:w="807"/>
        <w:gridCol w:w="985"/>
        <w:gridCol w:w="1155"/>
        <w:gridCol w:w="2487"/>
        <w:gridCol w:w="1305"/>
        <w:gridCol w:w="2478"/>
      </w:tblGrid>
      <w:tr>
        <w:tblPrEx>
          <w:tblCellMar>
            <w:top w:w="0" w:type="dxa"/>
            <w:left w:w="108" w:type="dxa"/>
            <w:bottom w:w="0" w:type="dxa"/>
            <w:right w:w="108" w:type="dxa"/>
          </w:tblCellMar>
        </w:tblPrEx>
        <w:trPr>
          <w:trHeight w:val="90" w:hRule="atLeast"/>
          <w:jc w:val="center"/>
        </w:trPr>
        <w:tc>
          <w:tcPr>
            <w:tcW w:w="9217" w:type="dxa"/>
            <w:gridSpan w:val="6"/>
            <w:tcBorders>
              <w:top w:val="nil"/>
              <w:left w:val="nil"/>
              <w:bottom w:val="nil"/>
              <w:right w:val="nil"/>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方正小标宋简体" w:cs="Times New Roman"/>
                <w:bCs/>
                <w:color w:val="auto"/>
                <w:sz w:val="32"/>
                <w:szCs w:val="32"/>
              </w:rPr>
            </w:pPr>
            <w:r>
              <w:rPr>
                <w:rFonts w:hint="default" w:ascii="Times New Roman" w:hAnsi="Times New Roman" w:eastAsia="方正小标宋简体" w:cs="Times New Roman"/>
                <w:bCs/>
                <w:color w:val="auto"/>
                <w:sz w:val="28"/>
                <w:szCs w:val="28"/>
              </w:rPr>
              <w:t>2021年100万以上（含）特定目标类部门预算项目绩效目标自评</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b/>
                <w:color w:val="auto"/>
              </w:rPr>
            </w:pPr>
            <w:r>
              <w:rPr>
                <w:rFonts w:hint="default" w:ascii="Times New Roman" w:hAnsi="Times New Roman" w:eastAsia="方正小标宋简体" w:cs="Times New Roman"/>
                <w:bCs/>
                <w:color w:val="auto"/>
                <w:sz w:val="28"/>
                <w:szCs w:val="28"/>
              </w:rPr>
              <w:t>（省级用能权交易第三方核查项目）</w:t>
            </w:r>
          </w:p>
        </w:tc>
      </w:tr>
      <w:tr>
        <w:tblPrEx>
          <w:tblCellMar>
            <w:top w:w="0" w:type="dxa"/>
            <w:left w:w="108" w:type="dxa"/>
            <w:bottom w:w="0" w:type="dxa"/>
            <w:right w:w="108" w:type="dxa"/>
          </w:tblCellMar>
        </w:tblPrEx>
        <w:trPr>
          <w:trHeight w:val="254" w:hRule="atLeast"/>
          <w:jc w:val="center"/>
        </w:trPr>
        <w:tc>
          <w:tcPr>
            <w:tcW w:w="1792" w:type="dxa"/>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主管部门及代码</w:t>
            </w:r>
          </w:p>
        </w:tc>
        <w:tc>
          <w:tcPr>
            <w:tcW w:w="3642" w:type="dxa"/>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303-四川省发展和改革委员会</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实施单位</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四川省发展和改革委员会机关</w:t>
            </w:r>
          </w:p>
        </w:tc>
      </w:tr>
      <w:tr>
        <w:tblPrEx>
          <w:tblCellMar>
            <w:top w:w="0" w:type="dxa"/>
            <w:left w:w="108" w:type="dxa"/>
            <w:bottom w:w="0" w:type="dxa"/>
            <w:right w:w="108" w:type="dxa"/>
          </w:tblCellMar>
        </w:tblPrEx>
        <w:trPr>
          <w:trHeight w:val="341" w:hRule="atLeast"/>
          <w:jc w:val="center"/>
        </w:trPr>
        <w:tc>
          <w:tcPr>
            <w:tcW w:w="1792"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项目预算</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执行情况</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（万元）</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预算数：</w:t>
            </w:r>
          </w:p>
        </w:tc>
        <w:tc>
          <w:tcPr>
            <w:tcW w:w="2487"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435</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执行数：</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350</w:t>
            </w:r>
          </w:p>
        </w:tc>
      </w:tr>
      <w:tr>
        <w:tblPrEx>
          <w:tblCellMar>
            <w:top w:w="0" w:type="dxa"/>
            <w:left w:w="108" w:type="dxa"/>
            <w:bottom w:w="0" w:type="dxa"/>
            <w:right w:w="108" w:type="dxa"/>
          </w:tblCellMar>
        </w:tblPrEx>
        <w:trPr>
          <w:trHeight w:val="577" w:hRule="atLeast"/>
          <w:jc w:val="center"/>
        </w:trPr>
        <w:tc>
          <w:tcPr>
            <w:tcW w:w="1792"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2487"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435</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350</w:t>
            </w:r>
          </w:p>
        </w:tc>
      </w:tr>
      <w:tr>
        <w:tblPrEx>
          <w:tblCellMar>
            <w:top w:w="0" w:type="dxa"/>
            <w:left w:w="108" w:type="dxa"/>
            <w:bottom w:w="0" w:type="dxa"/>
            <w:right w:w="108" w:type="dxa"/>
          </w:tblCellMar>
        </w:tblPrEx>
        <w:trPr>
          <w:trHeight w:val="341" w:hRule="atLeast"/>
          <w:jc w:val="center"/>
        </w:trPr>
        <w:tc>
          <w:tcPr>
            <w:tcW w:w="1792"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2487"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p>
        </w:tc>
      </w:tr>
      <w:tr>
        <w:tblPrEx>
          <w:tblCellMar>
            <w:top w:w="0" w:type="dxa"/>
            <w:left w:w="108" w:type="dxa"/>
            <w:bottom w:w="0" w:type="dxa"/>
            <w:right w:w="108" w:type="dxa"/>
          </w:tblCellMar>
        </w:tblPrEx>
        <w:trPr>
          <w:trHeight w:val="217" w:hRule="atLeast"/>
          <w:jc w:val="center"/>
        </w:trPr>
        <w:tc>
          <w:tcPr>
            <w:tcW w:w="807" w:type="dxa"/>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年度总体目标完成情况</w:t>
            </w:r>
          </w:p>
        </w:tc>
        <w:tc>
          <w:tcPr>
            <w:tcW w:w="4627" w:type="dxa"/>
            <w:gridSpan w:val="3"/>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预期目标</w:t>
            </w:r>
          </w:p>
        </w:tc>
        <w:tc>
          <w:tcPr>
            <w:tcW w:w="3783" w:type="dxa"/>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目标实际完成情况</w:t>
            </w:r>
          </w:p>
        </w:tc>
      </w:tr>
      <w:tr>
        <w:tblPrEx>
          <w:tblCellMar>
            <w:top w:w="0" w:type="dxa"/>
            <w:left w:w="108" w:type="dxa"/>
            <w:bottom w:w="0" w:type="dxa"/>
            <w:right w:w="108" w:type="dxa"/>
          </w:tblCellMar>
        </w:tblPrEx>
        <w:trPr>
          <w:trHeight w:val="1297"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627" w:type="dxa"/>
            <w:gridSpan w:val="3"/>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组织第三方机构对纳入用能权交易范围的187家重点用能单位进行能耗现场核查和复核</w:t>
            </w:r>
          </w:p>
        </w:tc>
        <w:tc>
          <w:tcPr>
            <w:tcW w:w="3783" w:type="dxa"/>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已完成</w:t>
            </w:r>
            <w:r>
              <w:rPr>
                <w:rFonts w:hint="default" w:ascii="Times New Roman" w:hAnsi="Times New Roman" w:eastAsia="仿宋_GB2312" w:cs="Times New Roman"/>
                <w:color w:val="auto"/>
                <w:kern w:val="0"/>
                <w:szCs w:val="21"/>
                <w:lang w:val="en-US" w:eastAsia="zh-CN"/>
              </w:rPr>
              <w:t>219</w:t>
            </w:r>
            <w:r>
              <w:rPr>
                <w:rFonts w:hint="default" w:ascii="Times New Roman" w:hAnsi="Times New Roman" w:eastAsia="仿宋_GB2312" w:cs="Times New Roman"/>
                <w:color w:val="auto"/>
                <w:kern w:val="0"/>
                <w:szCs w:val="21"/>
              </w:rPr>
              <w:t>家重点用能单位进行能耗现场核查，正在进行复核工作</w:t>
            </w:r>
          </w:p>
        </w:tc>
      </w:tr>
      <w:tr>
        <w:tblPrEx>
          <w:tblCellMar>
            <w:top w:w="0" w:type="dxa"/>
            <w:left w:w="108" w:type="dxa"/>
            <w:bottom w:w="0" w:type="dxa"/>
            <w:right w:w="108" w:type="dxa"/>
          </w:tblCellMar>
        </w:tblPrEx>
        <w:trPr>
          <w:trHeight w:val="738" w:hRule="atLeast"/>
          <w:jc w:val="center"/>
        </w:trPr>
        <w:tc>
          <w:tcPr>
            <w:tcW w:w="807" w:type="dxa"/>
            <w:vMerge w:val="restart"/>
            <w:tcBorders>
              <w:top w:val="single" w:color="000000" w:sz="4" w:space="0"/>
              <w:left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年度绩效指标完成情况</w:t>
            </w:r>
          </w:p>
        </w:tc>
        <w:tc>
          <w:tcPr>
            <w:tcW w:w="985" w:type="dxa"/>
            <w:tcBorders>
              <w:top w:val="single" w:color="000000" w:sz="4" w:space="0"/>
              <w:left w:val="nil"/>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一级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二级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2487"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三级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预期指标值</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实际完成指标值</w:t>
            </w:r>
          </w:p>
        </w:tc>
      </w:tr>
      <w:tr>
        <w:tblPrEx>
          <w:tblCellMar>
            <w:top w:w="0" w:type="dxa"/>
            <w:left w:w="108" w:type="dxa"/>
            <w:bottom w:w="0" w:type="dxa"/>
            <w:right w:w="108" w:type="dxa"/>
          </w:tblCellMar>
        </w:tblPrEx>
        <w:trPr>
          <w:trHeight w:val="480" w:hRule="atLeast"/>
          <w:jc w:val="center"/>
        </w:trPr>
        <w:tc>
          <w:tcPr>
            <w:tcW w:w="807" w:type="dxa"/>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985" w:type="dxa"/>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完成</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数量指标</w:t>
            </w:r>
          </w:p>
        </w:tc>
        <w:tc>
          <w:tcPr>
            <w:tcW w:w="2487"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完成核查和复核个数</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完成187家</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已完成</w:t>
            </w:r>
            <w:r>
              <w:rPr>
                <w:rFonts w:hint="default" w:ascii="Times New Roman" w:hAnsi="Times New Roman" w:eastAsia="仿宋_GB2312" w:cs="Times New Roman"/>
                <w:color w:val="auto"/>
                <w:szCs w:val="21"/>
                <w:lang w:val="en-US" w:eastAsia="zh-CN"/>
              </w:rPr>
              <w:t>219</w:t>
            </w:r>
            <w:r>
              <w:rPr>
                <w:rFonts w:hint="default" w:ascii="Times New Roman" w:hAnsi="Times New Roman" w:eastAsia="仿宋_GB2312" w:cs="Times New Roman"/>
                <w:color w:val="auto"/>
                <w:szCs w:val="21"/>
              </w:rPr>
              <w:t>家核查，正在复核</w:t>
            </w:r>
          </w:p>
        </w:tc>
      </w:tr>
      <w:tr>
        <w:tblPrEx>
          <w:tblCellMar>
            <w:top w:w="0" w:type="dxa"/>
            <w:left w:w="108" w:type="dxa"/>
            <w:bottom w:w="0" w:type="dxa"/>
            <w:right w:w="108" w:type="dxa"/>
          </w:tblCellMar>
        </w:tblPrEx>
        <w:trPr>
          <w:trHeight w:val="480" w:hRule="atLeast"/>
          <w:jc w:val="center"/>
        </w:trPr>
        <w:tc>
          <w:tcPr>
            <w:tcW w:w="807" w:type="dxa"/>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985" w:type="dxa"/>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质量指标</w:t>
            </w:r>
          </w:p>
        </w:tc>
        <w:tc>
          <w:tcPr>
            <w:tcW w:w="2487"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完成核查，形成报告</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完成核查，形成报告</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lang w:eastAsia="zh-CN"/>
              </w:rPr>
            </w:pPr>
            <w:r>
              <w:rPr>
                <w:rFonts w:hint="default" w:ascii="Times New Roman" w:hAnsi="Times New Roman" w:eastAsia="仿宋_GB2312" w:cs="Times New Roman"/>
                <w:color w:val="auto"/>
                <w:szCs w:val="21"/>
              </w:rPr>
              <w:t>完成核查，</w:t>
            </w:r>
            <w:r>
              <w:rPr>
                <w:rFonts w:hint="default" w:ascii="Times New Roman" w:hAnsi="Times New Roman" w:eastAsia="仿宋_GB2312" w:cs="Times New Roman"/>
                <w:color w:val="auto"/>
                <w:szCs w:val="21"/>
                <w:lang w:eastAsia="zh-CN"/>
              </w:rPr>
              <w:t>形成报告</w:t>
            </w:r>
          </w:p>
        </w:tc>
      </w:tr>
      <w:tr>
        <w:tblPrEx>
          <w:tblCellMar>
            <w:top w:w="0" w:type="dxa"/>
            <w:left w:w="108" w:type="dxa"/>
            <w:bottom w:w="0" w:type="dxa"/>
            <w:right w:w="108" w:type="dxa"/>
          </w:tblCellMar>
        </w:tblPrEx>
        <w:trPr>
          <w:trHeight w:val="480" w:hRule="atLeast"/>
          <w:jc w:val="center"/>
        </w:trPr>
        <w:tc>
          <w:tcPr>
            <w:tcW w:w="807" w:type="dxa"/>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985" w:type="dxa"/>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时效指标</w:t>
            </w:r>
          </w:p>
        </w:tc>
        <w:tc>
          <w:tcPr>
            <w:tcW w:w="2487"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完成时限</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180天内</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150天</w:t>
            </w:r>
          </w:p>
        </w:tc>
      </w:tr>
      <w:tr>
        <w:tblPrEx>
          <w:tblCellMar>
            <w:top w:w="0" w:type="dxa"/>
            <w:left w:w="108" w:type="dxa"/>
            <w:bottom w:w="0" w:type="dxa"/>
            <w:right w:w="108" w:type="dxa"/>
          </w:tblCellMar>
        </w:tblPrEx>
        <w:trPr>
          <w:trHeight w:val="480" w:hRule="atLeast"/>
          <w:jc w:val="center"/>
        </w:trPr>
        <w:tc>
          <w:tcPr>
            <w:tcW w:w="807" w:type="dxa"/>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985" w:type="dxa"/>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成本指标</w:t>
            </w:r>
          </w:p>
        </w:tc>
        <w:tc>
          <w:tcPr>
            <w:tcW w:w="2487"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资金到位80%</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资金到位80%</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资金到位83%</w:t>
            </w:r>
          </w:p>
        </w:tc>
      </w:tr>
      <w:tr>
        <w:tblPrEx>
          <w:tblCellMar>
            <w:top w:w="0" w:type="dxa"/>
            <w:left w:w="108" w:type="dxa"/>
            <w:bottom w:w="0" w:type="dxa"/>
            <w:right w:w="108" w:type="dxa"/>
          </w:tblCellMar>
        </w:tblPrEx>
        <w:trPr>
          <w:trHeight w:val="480" w:hRule="atLeast"/>
          <w:jc w:val="center"/>
        </w:trPr>
        <w:tc>
          <w:tcPr>
            <w:tcW w:w="807" w:type="dxa"/>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985" w:type="dxa"/>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效益</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经济效益指标</w:t>
            </w:r>
          </w:p>
        </w:tc>
        <w:tc>
          <w:tcPr>
            <w:tcW w:w="2487"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健全用能权交易市场</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健全用能权交易市场</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健全用能权交易市场</w:t>
            </w:r>
          </w:p>
        </w:tc>
      </w:tr>
      <w:tr>
        <w:tblPrEx>
          <w:tblCellMar>
            <w:top w:w="0" w:type="dxa"/>
            <w:left w:w="108" w:type="dxa"/>
            <w:bottom w:w="0" w:type="dxa"/>
            <w:right w:w="108" w:type="dxa"/>
          </w:tblCellMar>
        </w:tblPrEx>
        <w:trPr>
          <w:trHeight w:val="480" w:hRule="atLeast"/>
          <w:jc w:val="center"/>
        </w:trPr>
        <w:tc>
          <w:tcPr>
            <w:tcW w:w="807" w:type="dxa"/>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985" w:type="dxa"/>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社会效益指标</w:t>
            </w:r>
          </w:p>
        </w:tc>
        <w:tc>
          <w:tcPr>
            <w:tcW w:w="2487"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促进四川碳达峰碳综合工作推进</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促进四川碳达峰碳综合工作推进</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促进四川碳达峰碳综合工作推进</w:t>
            </w:r>
          </w:p>
        </w:tc>
      </w:tr>
      <w:tr>
        <w:tblPrEx>
          <w:tblCellMar>
            <w:top w:w="0" w:type="dxa"/>
            <w:left w:w="108" w:type="dxa"/>
            <w:bottom w:w="0" w:type="dxa"/>
            <w:right w:w="108" w:type="dxa"/>
          </w:tblCellMar>
        </w:tblPrEx>
        <w:trPr>
          <w:trHeight w:val="480" w:hRule="atLeast"/>
          <w:jc w:val="center"/>
        </w:trPr>
        <w:tc>
          <w:tcPr>
            <w:tcW w:w="807" w:type="dxa"/>
            <w:vMerge w:val="continue"/>
            <w:tcBorders>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度指标</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2487"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委托单位是否满意</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满意</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满意</w:t>
            </w:r>
          </w:p>
        </w:tc>
      </w:tr>
    </w:tbl>
    <w:p>
      <w:pPr>
        <w:pStyle w:val="8"/>
        <w:pageBreakBefore w:val="0"/>
        <w:kinsoku/>
        <w:wordWrap/>
        <w:overflowPunct/>
        <w:topLinePunct w:val="0"/>
        <w:bidi w:val="0"/>
        <w:spacing w:before="93" w:line="560" w:lineRule="exact"/>
        <w:rPr>
          <w:rFonts w:hint="default" w:ascii="Times New Roman" w:hAnsi="Times New Roman" w:cs="Times New Roman"/>
          <w:color w:val="auto"/>
          <w:lang w:val="zh-CN"/>
        </w:rPr>
      </w:pPr>
    </w:p>
    <w:tbl>
      <w:tblPr>
        <w:tblStyle w:val="21"/>
        <w:tblpPr w:leftFromText="180" w:rightFromText="180" w:vertAnchor="text" w:horzAnchor="page" w:tblpXSpec="center" w:tblpY="221"/>
        <w:tblOverlap w:val="never"/>
        <w:tblW w:w="5077" w:type="pct"/>
        <w:jc w:val="center"/>
        <w:tblLayout w:type="fixed"/>
        <w:tblCellMar>
          <w:top w:w="0" w:type="dxa"/>
          <w:left w:w="108" w:type="dxa"/>
          <w:bottom w:w="0" w:type="dxa"/>
          <w:right w:w="108" w:type="dxa"/>
        </w:tblCellMar>
      </w:tblPr>
      <w:tblGrid>
        <w:gridCol w:w="799"/>
        <w:gridCol w:w="1144"/>
        <w:gridCol w:w="1209"/>
        <w:gridCol w:w="1905"/>
        <w:gridCol w:w="2080"/>
        <w:gridCol w:w="2065"/>
      </w:tblGrid>
      <w:tr>
        <w:tblPrEx>
          <w:tblCellMar>
            <w:top w:w="0" w:type="dxa"/>
            <w:left w:w="108" w:type="dxa"/>
            <w:bottom w:w="0" w:type="dxa"/>
            <w:right w:w="108" w:type="dxa"/>
          </w:tblCellMar>
        </w:tblPrEx>
        <w:trPr>
          <w:trHeight w:val="1233" w:hRule="atLeast"/>
          <w:jc w:val="center"/>
        </w:trPr>
        <w:tc>
          <w:tcPr>
            <w:tcW w:w="5000" w:type="pct"/>
            <w:gridSpan w:val="6"/>
            <w:tcBorders>
              <w:top w:val="nil"/>
              <w:left w:val="nil"/>
              <w:bottom w:val="nil"/>
              <w:right w:val="nil"/>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方正小标宋简体" w:cs="Times New Roman"/>
                <w:bCs/>
                <w:color w:val="auto"/>
                <w:sz w:val="28"/>
                <w:szCs w:val="28"/>
              </w:rPr>
            </w:pPr>
            <w:r>
              <w:rPr>
                <w:rFonts w:hint="default" w:ascii="Times New Roman" w:hAnsi="Times New Roman" w:eastAsia="方正小标宋简体" w:cs="Times New Roman"/>
                <w:bCs/>
                <w:color w:val="auto"/>
                <w:sz w:val="28"/>
                <w:szCs w:val="28"/>
              </w:rPr>
              <w:t>2021年100万以上（含）特定目标类部门预算项目绩效目标自评</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b/>
                <w:color w:val="auto"/>
              </w:rPr>
            </w:pPr>
            <w:r>
              <w:rPr>
                <w:rFonts w:hint="default" w:ascii="Times New Roman" w:hAnsi="Times New Roman" w:eastAsia="方正小标宋简体" w:cs="Times New Roman"/>
                <w:bCs/>
                <w:color w:val="auto"/>
                <w:sz w:val="28"/>
                <w:szCs w:val="28"/>
              </w:rPr>
              <w:t>（委托工程咨询机构开展投资项目评估评审项目）</w:t>
            </w:r>
          </w:p>
        </w:tc>
      </w:tr>
      <w:tr>
        <w:tblPrEx>
          <w:tblCellMar>
            <w:top w:w="0" w:type="dxa"/>
            <w:left w:w="108" w:type="dxa"/>
            <w:bottom w:w="0" w:type="dxa"/>
            <w:right w:w="108" w:type="dxa"/>
          </w:tblCellMar>
        </w:tblPrEx>
        <w:trPr>
          <w:trHeight w:val="603" w:hRule="atLeast"/>
          <w:jc w:val="center"/>
        </w:trPr>
        <w:tc>
          <w:tcPr>
            <w:tcW w:w="1055"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主管部门及代码</w:t>
            </w:r>
          </w:p>
        </w:tc>
        <w:tc>
          <w:tcPr>
            <w:tcW w:w="1692"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303-四川省发展和改革委员会</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实施单位</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四川省发展和改革委员会机关</w:t>
            </w:r>
          </w:p>
        </w:tc>
      </w:tr>
      <w:tr>
        <w:tblPrEx>
          <w:tblCellMar>
            <w:top w:w="0" w:type="dxa"/>
            <w:left w:w="108" w:type="dxa"/>
            <w:bottom w:w="0" w:type="dxa"/>
            <w:right w:w="108" w:type="dxa"/>
          </w:tblCellMar>
        </w:tblPrEx>
        <w:trPr>
          <w:trHeight w:val="347" w:hRule="atLeast"/>
          <w:jc w:val="center"/>
        </w:trPr>
        <w:tc>
          <w:tcPr>
            <w:tcW w:w="1055"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项目预算</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执行情况</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（万元）</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 xml:space="preserve"> 预算数：</w:t>
            </w:r>
          </w:p>
        </w:tc>
        <w:tc>
          <w:tcPr>
            <w:tcW w:w="103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984.8</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执行数：</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824.4</w:t>
            </w:r>
          </w:p>
        </w:tc>
      </w:tr>
      <w:tr>
        <w:tblPrEx>
          <w:tblCellMar>
            <w:top w:w="0" w:type="dxa"/>
            <w:left w:w="108" w:type="dxa"/>
            <w:bottom w:w="0" w:type="dxa"/>
            <w:right w:w="108" w:type="dxa"/>
          </w:tblCellMar>
        </w:tblPrEx>
        <w:trPr>
          <w:trHeight w:val="643" w:hRule="atLeast"/>
          <w:jc w:val="center"/>
        </w:trPr>
        <w:tc>
          <w:tcPr>
            <w:tcW w:w="1055"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5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103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984.8</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824.4</w:t>
            </w:r>
          </w:p>
        </w:tc>
      </w:tr>
      <w:tr>
        <w:tblPrEx>
          <w:tblCellMar>
            <w:top w:w="0" w:type="dxa"/>
            <w:left w:w="108" w:type="dxa"/>
            <w:bottom w:w="0" w:type="dxa"/>
            <w:right w:w="108" w:type="dxa"/>
          </w:tblCellMar>
        </w:tblPrEx>
        <w:trPr>
          <w:trHeight w:val="347" w:hRule="atLeast"/>
          <w:jc w:val="center"/>
        </w:trPr>
        <w:tc>
          <w:tcPr>
            <w:tcW w:w="1055"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5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103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0</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0</w:t>
            </w:r>
          </w:p>
        </w:tc>
      </w:tr>
      <w:tr>
        <w:tblPrEx>
          <w:tblCellMar>
            <w:top w:w="0" w:type="dxa"/>
            <w:left w:w="108" w:type="dxa"/>
            <w:bottom w:w="0" w:type="dxa"/>
            <w:right w:w="108" w:type="dxa"/>
          </w:tblCellMar>
        </w:tblPrEx>
        <w:trPr>
          <w:trHeight w:val="561" w:hRule="atLeast"/>
          <w:jc w:val="center"/>
        </w:trPr>
        <w:tc>
          <w:tcPr>
            <w:tcW w:w="434" w:type="pct"/>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年度总体目标完成情况</w:t>
            </w:r>
          </w:p>
        </w:tc>
        <w:tc>
          <w:tcPr>
            <w:tcW w:w="2313" w:type="pct"/>
            <w:gridSpan w:val="3"/>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预期目标（2021年）</w:t>
            </w:r>
          </w:p>
        </w:tc>
        <w:tc>
          <w:tcPr>
            <w:tcW w:w="2252"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目标实际完成情况（2021年）</w:t>
            </w:r>
          </w:p>
        </w:tc>
      </w:tr>
      <w:tr>
        <w:tblPrEx>
          <w:tblCellMar>
            <w:top w:w="0" w:type="dxa"/>
            <w:left w:w="108" w:type="dxa"/>
            <w:bottom w:w="0" w:type="dxa"/>
            <w:right w:w="108" w:type="dxa"/>
          </w:tblCellMar>
        </w:tblPrEx>
        <w:trPr>
          <w:trHeight w:val="972" w:hRule="atLeast"/>
          <w:jc w:val="center"/>
        </w:trPr>
        <w:tc>
          <w:tcPr>
            <w:tcW w:w="434" w:type="pct"/>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2313" w:type="pct"/>
            <w:gridSpan w:val="3"/>
            <w:tcBorders>
              <w:top w:val="single" w:color="000000" w:sz="4" w:space="0"/>
              <w:left w:val="single" w:color="000000" w:sz="4" w:space="0"/>
              <w:bottom w:val="single" w:color="000000" w:sz="4" w:space="0"/>
              <w:right w:val="single" w:color="000000" w:sz="4" w:space="0"/>
            </w:tcBorders>
            <w:noWrap/>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委托对能源、交通、农林水利、产业、高技术产业、电子政务、社会事业、利用外资等项目进行评审、咨询评估。</w:t>
            </w:r>
          </w:p>
        </w:tc>
        <w:tc>
          <w:tcPr>
            <w:tcW w:w="2252" w:type="pct"/>
            <w:gridSpan w:val="2"/>
            <w:tcBorders>
              <w:top w:val="single" w:color="000000" w:sz="4" w:space="0"/>
              <w:left w:val="single" w:color="000000" w:sz="4" w:space="0"/>
              <w:bottom w:val="single" w:color="000000" w:sz="4" w:space="0"/>
              <w:right w:val="single" w:color="000000" w:sz="4" w:space="0"/>
            </w:tcBorders>
            <w:noWrap/>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委托对能源、交通、农林水利、产业、高技术产业、电子政务、社会事业、利用外资等项目进行评审、咨询评估。</w:t>
            </w:r>
          </w:p>
        </w:tc>
      </w:tr>
      <w:tr>
        <w:tblPrEx>
          <w:tblCellMar>
            <w:top w:w="0" w:type="dxa"/>
            <w:left w:w="108" w:type="dxa"/>
            <w:bottom w:w="0" w:type="dxa"/>
            <w:right w:w="108" w:type="dxa"/>
          </w:tblCellMar>
        </w:tblPrEx>
        <w:trPr>
          <w:trHeight w:val="739" w:hRule="atLeast"/>
          <w:jc w:val="center"/>
        </w:trPr>
        <w:tc>
          <w:tcPr>
            <w:tcW w:w="434" w:type="pct"/>
            <w:vMerge w:val="restart"/>
            <w:tcBorders>
              <w:top w:val="single" w:color="000000" w:sz="4" w:space="0"/>
              <w:left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年度绩效指标完成情况</w:t>
            </w:r>
          </w:p>
        </w:tc>
        <w:tc>
          <w:tcPr>
            <w:tcW w:w="621" w:type="pct"/>
            <w:tcBorders>
              <w:top w:val="single" w:color="000000" w:sz="4" w:space="0"/>
              <w:left w:val="nil"/>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一级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二级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03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三级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预期指标值</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实际完成指标值</w:t>
            </w:r>
          </w:p>
        </w:tc>
      </w:tr>
      <w:tr>
        <w:tblPrEx>
          <w:tblCellMar>
            <w:top w:w="0" w:type="dxa"/>
            <w:left w:w="108" w:type="dxa"/>
            <w:bottom w:w="0" w:type="dxa"/>
            <w:right w:w="108" w:type="dxa"/>
          </w:tblCellMar>
        </w:tblPrEx>
        <w:trPr>
          <w:trHeight w:val="485" w:hRule="atLeast"/>
          <w:jc w:val="center"/>
        </w:trPr>
        <w:tc>
          <w:tcPr>
            <w:tcW w:w="434"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21" w:type="pct"/>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完成</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数量指标</w:t>
            </w:r>
          </w:p>
        </w:tc>
        <w:tc>
          <w:tcPr>
            <w:tcW w:w="103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咨询评估事项个数</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220</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220</w:t>
            </w:r>
          </w:p>
        </w:tc>
      </w:tr>
      <w:tr>
        <w:tblPrEx>
          <w:tblCellMar>
            <w:top w:w="0" w:type="dxa"/>
            <w:left w:w="108" w:type="dxa"/>
            <w:bottom w:w="0" w:type="dxa"/>
            <w:right w:w="108" w:type="dxa"/>
          </w:tblCellMar>
        </w:tblPrEx>
        <w:trPr>
          <w:trHeight w:val="801" w:hRule="atLeast"/>
          <w:jc w:val="center"/>
        </w:trPr>
        <w:tc>
          <w:tcPr>
            <w:tcW w:w="434"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21" w:type="pct"/>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5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质量指标</w:t>
            </w:r>
          </w:p>
        </w:tc>
        <w:tc>
          <w:tcPr>
            <w:tcW w:w="103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符合采购要求的咨询评估成果</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符合采购要求</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tabs>
                <w:tab w:val="left" w:pos="511"/>
              </w:tabs>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符合</w:t>
            </w:r>
          </w:p>
        </w:tc>
      </w:tr>
      <w:tr>
        <w:tblPrEx>
          <w:tblCellMar>
            <w:top w:w="0" w:type="dxa"/>
            <w:left w:w="108" w:type="dxa"/>
            <w:bottom w:w="0" w:type="dxa"/>
            <w:right w:w="108" w:type="dxa"/>
          </w:tblCellMar>
        </w:tblPrEx>
        <w:trPr>
          <w:trHeight w:val="485" w:hRule="atLeast"/>
          <w:jc w:val="center"/>
        </w:trPr>
        <w:tc>
          <w:tcPr>
            <w:tcW w:w="434"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21" w:type="pct"/>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5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时效指标</w:t>
            </w:r>
          </w:p>
        </w:tc>
        <w:tc>
          <w:tcPr>
            <w:tcW w:w="103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完成时间</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2021年底完成</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2021年底已完成</w:t>
            </w:r>
          </w:p>
        </w:tc>
      </w:tr>
      <w:tr>
        <w:tblPrEx>
          <w:tblCellMar>
            <w:top w:w="0" w:type="dxa"/>
            <w:left w:w="108" w:type="dxa"/>
            <w:bottom w:w="0" w:type="dxa"/>
            <w:right w:w="108" w:type="dxa"/>
          </w:tblCellMar>
        </w:tblPrEx>
        <w:trPr>
          <w:trHeight w:val="727" w:hRule="atLeast"/>
          <w:jc w:val="center"/>
        </w:trPr>
        <w:tc>
          <w:tcPr>
            <w:tcW w:w="434"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21" w:type="pct"/>
            <w:vMerge w:val="restart"/>
            <w:tcBorders>
              <w:top w:val="single" w:color="000000" w:sz="4" w:space="0"/>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效益</w:t>
            </w:r>
          </w:p>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社会效益指标</w:t>
            </w:r>
          </w:p>
        </w:tc>
        <w:tc>
          <w:tcPr>
            <w:tcW w:w="103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助推全省经济社会发展</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助推全省经济社会发展</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助推全省经济社会发展</w:t>
            </w:r>
          </w:p>
        </w:tc>
      </w:tr>
      <w:tr>
        <w:tblPrEx>
          <w:tblCellMar>
            <w:top w:w="0" w:type="dxa"/>
            <w:left w:w="108" w:type="dxa"/>
            <w:bottom w:w="0" w:type="dxa"/>
            <w:right w:w="108" w:type="dxa"/>
          </w:tblCellMar>
        </w:tblPrEx>
        <w:trPr>
          <w:trHeight w:val="830" w:hRule="atLeast"/>
          <w:jc w:val="center"/>
        </w:trPr>
        <w:tc>
          <w:tcPr>
            <w:tcW w:w="434"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21" w:type="pct"/>
            <w:vMerge w:val="continue"/>
            <w:tcBorders>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5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可持续影响指标</w:t>
            </w:r>
          </w:p>
        </w:tc>
        <w:tc>
          <w:tcPr>
            <w:tcW w:w="103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助推全省经济社会发展</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助推全省经济社会发展</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助推全省经济社会发展</w:t>
            </w:r>
          </w:p>
        </w:tc>
      </w:tr>
      <w:tr>
        <w:tblPrEx>
          <w:tblCellMar>
            <w:top w:w="0" w:type="dxa"/>
            <w:left w:w="108" w:type="dxa"/>
            <w:bottom w:w="0" w:type="dxa"/>
            <w:right w:w="108" w:type="dxa"/>
          </w:tblCellMar>
        </w:tblPrEx>
        <w:trPr>
          <w:trHeight w:val="652" w:hRule="atLeast"/>
          <w:jc w:val="center"/>
        </w:trPr>
        <w:tc>
          <w:tcPr>
            <w:tcW w:w="434" w:type="pct"/>
            <w:vMerge w:val="continue"/>
            <w:tcBorders>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2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度指标</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满意度指标</w:t>
            </w:r>
          </w:p>
        </w:tc>
        <w:tc>
          <w:tcPr>
            <w:tcW w:w="103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省发展改革委对评估成果满意度</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100%</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100%</w:t>
            </w:r>
          </w:p>
        </w:tc>
      </w:tr>
    </w:tbl>
    <w:p>
      <w:pPr>
        <w:pageBreakBefore w:val="0"/>
        <w:widowControl/>
        <w:kinsoku/>
        <w:wordWrap/>
        <w:overflowPunct/>
        <w:topLinePunct w:val="0"/>
        <w:bidi w:val="0"/>
        <w:spacing w:line="560" w:lineRule="exact"/>
        <w:textAlignment w:val="top"/>
        <w:rPr>
          <w:rFonts w:hint="default" w:ascii="Times New Roman" w:hAnsi="Times New Roman" w:cs="Times New Roman"/>
          <w:color w:val="auto"/>
          <w:kern w:val="0"/>
          <w:szCs w:val="21"/>
        </w:rPr>
      </w:pPr>
    </w:p>
    <w:tbl>
      <w:tblPr>
        <w:tblStyle w:val="21"/>
        <w:tblpPr w:leftFromText="180" w:rightFromText="180" w:vertAnchor="text" w:horzAnchor="page" w:tblpXSpec="center" w:tblpY="221"/>
        <w:tblOverlap w:val="never"/>
        <w:tblW w:w="5078" w:type="pct"/>
        <w:jc w:val="center"/>
        <w:tblLayout w:type="fixed"/>
        <w:tblCellMar>
          <w:top w:w="0" w:type="dxa"/>
          <w:left w:w="108" w:type="dxa"/>
          <w:bottom w:w="0" w:type="dxa"/>
          <w:right w:w="108" w:type="dxa"/>
        </w:tblCellMar>
      </w:tblPr>
      <w:tblGrid>
        <w:gridCol w:w="755"/>
        <w:gridCol w:w="1613"/>
        <w:gridCol w:w="2146"/>
        <w:gridCol w:w="1631"/>
        <w:gridCol w:w="1568"/>
        <w:gridCol w:w="1491"/>
      </w:tblGrid>
      <w:tr>
        <w:tblPrEx>
          <w:tblCellMar>
            <w:top w:w="0" w:type="dxa"/>
            <w:left w:w="108" w:type="dxa"/>
            <w:bottom w:w="0" w:type="dxa"/>
            <w:right w:w="108" w:type="dxa"/>
          </w:tblCellMar>
        </w:tblPrEx>
        <w:trPr>
          <w:trHeight w:val="675" w:hRule="atLeast"/>
          <w:jc w:val="center"/>
        </w:trPr>
        <w:tc>
          <w:tcPr>
            <w:tcW w:w="5000" w:type="pct"/>
            <w:gridSpan w:val="6"/>
            <w:tcBorders>
              <w:top w:val="nil"/>
              <w:left w:val="nil"/>
              <w:bottom w:val="nil"/>
              <w:right w:val="nil"/>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方正小标宋简体" w:cs="Times New Roman"/>
                <w:bCs/>
                <w:color w:val="auto"/>
                <w:sz w:val="32"/>
                <w:szCs w:val="32"/>
              </w:rPr>
            </w:pPr>
            <w:r>
              <w:rPr>
                <w:rFonts w:hint="default" w:ascii="Times New Roman" w:hAnsi="Times New Roman" w:eastAsia="方正小标宋简体" w:cs="Times New Roman"/>
                <w:bCs/>
                <w:color w:val="auto"/>
                <w:sz w:val="28"/>
                <w:szCs w:val="28"/>
              </w:rPr>
              <w:t>2021年100万以上（含）特定目标类部门预算项目绩效目标自评</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b/>
                <w:color w:val="auto"/>
              </w:rPr>
            </w:pPr>
            <w:r>
              <w:rPr>
                <w:rFonts w:hint="default" w:ascii="Times New Roman" w:hAnsi="Times New Roman" w:eastAsia="仿宋_GB2312" w:cs="Times New Roman"/>
                <w:bCs/>
                <w:color w:val="auto"/>
                <w:sz w:val="28"/>
                <w:szCs w:val="28"/>
              </w:rPr>
              <w:t>〔</w:t>
            </w:r>
            <w:r>
              <w:rPr>
                <w:rFonts w:hint="default" w:ascii="Times New Roman" w:hAnsi="Times New Roman" w:eastAsia="方正小标宋简体" w:cs="Times New Roman"/>
                <w:bCs/>
                <w:color w:val="auto"/>
                <w:sz w:val="28"/>
                <w:szCs w:val="28"/>
              </w:rPr>
              <w:t>委托工程咨询机构开展投资项目评估评审（机场）项目</w:t>
            </w:r>
            <w:r>
              <w:rPr>
                <w:rFonts w:hint="default" w:ascii="Times New Roman" w:hAnsi="Times New Roman" w:eastAsia="仿宋_GB2312" w:cs="Times New Roman"/>
                <w:bCs/>
                <w:color w:val="auto"/>
                <w:sz w:val="28"/>
                <w:szCs w:val="28"/>
              </w:rPr>
              <w:t>〕</w:t>
            </w:r>
          </w:p>
        </w:tc>
      </w:tr>
      <w:tr>
        <w:tblPrEx>
          <w:tblCellMar>
            <w:top w:w="0" w:type="dxa"/>
            <w:left w:w="108" w:type="dxa"/>
            <w:bottom w:w="0" w:type="dxa"/>
            <w:right w:w="108" w:type="dxa"/>
          </w:tblCellMar>
        </w:tblPrEx>
        <w:trPr>
          <w:trHeight w:val="254" w:hRule="atLeast"/>
          <w:jc w:val="center"/>
        </w:trPr>
        <w:tc>
          <w:tcPr>
            <w:tcW w:w="1286"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主管部门及代码</w:t>
            </w:r>
          </w:p>
        </w:tc>
        <w:tc>
          <w:tcPr>
            <w:tcW w:w="2051"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303-四川省发展和改革委员会</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实施单位</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四川省发展和改革委员会机关</w:t>
            </w:r>
          </w:p>
        </w:tc>
      </w:tr>
      <w:tr>
        <w:tblPrEx>
          <w:tblCellMar>
            <w:top w:w="0" w:type="dxa"/>
            <w:left w:w="108" w:type="dxa"/>
            <w:bottom w:w="0" w:type="dxa"/>
            <w:right w:w="108" w:type="dxa"/>
          </w:tblCellMar>
        </w:tblPrEx>
        <w:trPr>
          <w:trHeight w:val="341" w:hRule="atLeast"/>
          <w:jc w:val="center"/>
        </w:trPr>
        <w:tc>
          <w:tcPr>
            <w:tcW w:w="1286"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项目预算</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执行情况</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（万元）</w:t>
            </w:r>
          </w:p>
        </w:tc>
        <w:tc>
          <w:tcPr>
            <w:tcW w:w="116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预算数：</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106.8</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执行数：</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highlight w:val="yellow"/>
              </w:rPr>
            </w:pPr>
            <w:r>
              <w:rPr>
                <w:rFonts w:hint="default" w:ascii="Times New Roman" w:hAnsi="Times New Roman" w:eastAsia="仿宋_GB2312" w:cs="Times New Roman"/>
                <w:color w:val="auto"/>
                <w:szCs w:val="21"/>
              </w:rPr>
              <w:t>106.8</w:t>
            </w:r>
          </w:p>
        </w:tc>
      </w:tr>
      <w:tr>
        <w:tblPrEx>
          <w:tblCellMar>
            <w:top w:w="0" w:type="dxa"/>
            <w:left w:w="108" w:type="dxa"/>
            <w:bottom w:w="0" w:type="dxa"/>
            <w:right w:w="108" w:type="dxa"/>
          </w:tblCellMar>
        </w:tblPrEx>
        <w:trPr>
          <w:trHeight w:val="577" w:hRule="atLeast"/>
          <w:jc w:val="center"/>
        </w:trPr>
        <w:tc>
          <w:tcPr>
            <w:tcW w:w="1286"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16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106.8</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106.8</w:t>
            </w:r>
          </w:p>
        </w:tc>
      </w:tr>
      <w:tr>
        <w:tblPrEx>
          <w:tblCellMar>
            <w:top w:w="0" w:type="dxa"/>
            <w:left w:w="108" w:type="dxa"/>
            <w:bottom w:w="0" w:type="dxa"/>
            <w:right w:w="108" w:type="dxa"/>
          </w:tblCellMar>
        </w:tblPrEx>
        <w:trPr>
          <w:trHeight w:val="341" w:hRule="atLeast"/>
          <w:jc w:val="center"/>
        </w:trPr>
        <w:tc>
          <w:tcPr>
            <w:tcW w:w="1286"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16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0</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０</w:t>
            </w:r>
          </w:p>
        </w:tc>
      </w:tr>
      <w:tr>
        <w:tblPrEx>
          <w:tblCellMar>
            <w:top w:w="0" w:type="dxa"/>
            <w:left w:w="108" w:type="dxa"/>
            <w:bottom w:w="0" w:type="dxa"/>
            <w:right w:w="108" w:type="dxa"/>
          </w:tblCellMar>
        </w:tblPrEx>
        <w:trPr>
          <w:trHeight w:val="217" w:hRule="atLeast"/>
          <w:jc w:val="center"/>
        </w:trPr>
        <w:tc>
          <w:tcPr>
            <w:tcW w:w="410" w:type="pct"/>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年度总体目标完成情况</w:t>
            </w:r>
          </w:p>
        </w:tc>
        <w:tc>
          <w:tcPr>
            <w:tcW w:w="2928" w:type="pct"/>
            <w:gridSpan w:val="3"/>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预期目标</w:t>
            </w:r>
          </w:p>
        </w:tc>
        <w:tc>
          <w:tcPr>
            <w:tcW w:w="1661"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目标实际完成情况</w:t>
            </w:r>
          </w:p>
        </w:tc>
      </w:tr>
      <w:tr>
        <w:tblPrEx>
          <w:tblCellMar>
            <w:top w:w="0" w:type="dxa"/>
            <w:left w:w="108" w:type="dxa"/>
            <w:bottom w:w="0" w:type="dxa"/>
            <w:right w:w="108" w:type="dxa"/>
          </w:tblCellMar>
        </w:tblPrEx>
        <w:trPr>
          <w:trHeight w:val="2423" w:hRule="atLeast"/>
          <w:jc w:val="center"/>
        </w:trPr>
        <w:tc>
          <w:tcPr>
            <w:tcW w:w="410" w:type="pct"/>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2928" w:type="pct"/>
            <w:gridSpan w:val="3"/>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按时、按质、按量完成成都天府国际机场口岸检查检验及配套设备设施可行性研究报告（代立项）、成都天府国际机场口岸检查检验及配套设备设施现场部分初步设计及概算、成都天府国际机场口岸检查检验及配套设备设施海关非现场部分初步设计及概算、南充高坪机场三期改扩建项目可行性研究报告、九寨黄龙机场四期改扩建项目初步设计及概算等５个项目的咨询评估工作。</w:t>
            </w:r>
          </w:p>
        </w:tc>
        <w:tc>
          <w:tcPr>
            <w:tcW w:w="1661"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已按时、按质、按量完成５个项目的咨询评估工作。</w:t>
            </w:r>
          </w:p>
        </w:tc>
      </w:tr>
      <w:tr>
        <w:tblPrEx>
          <w:tblCellMar>
            <w:top w:w="0" w:type="dxa"/>
            <w:left w:w="108" w:type="dxa"/>
            <w:bottom w:w="0" w:type="dxa"/>
            <w:right w:w="108" w:type="dxa"/>
          </w:tblCellMar>
        </w:tblPrEx>
        <w:trPr>
          <w:trHeight w:val="615" w:hRule="atLeast"/>
          <w:jc w:val="center"/>
        </w:trPr>
        <w:tc>
          <w:tcPr>
            <w:tcW w:w="410" w:type="pct"/>
            <w:vMerge w:val="restart"/>
            <w:tcBorders>
              <w:top w:val="single" w:color="000000" w:sz="4" w:space="0"/>
              <w:left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年度绩效指标完成情况</w:t>
            </w:r>
          </w:p>
        </w:tc>
        <w:tc>
          <w:tcPr>
            <w:tcW w:w="876" w:type="pct"/>
            <w:tcBorders>
              <w:top w:val="single" w:color="000000" w:sz="4" w:space="0"/>
              <w:left w:val="nil"/>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一级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16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二级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三级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预期指标值</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实际完成指标值</w:t>
            </w:r>
          </w:p>
        </w:tc>
      </w:tr>
      <w:tr>
        <w:tblPrEx>
          <w:tblCellMar>
            <w:top w:w="0" w:type="dxa"/>
            <w:left w:w="108" w:type="dxa"/>
            <w:bottom w:w="0" w:type="dxa"/>
            <w:right w:w="108" w:type="dxa"/>
          </w:tblCellMar>
        </w:tblPrEx>
        <w:trPr>
          <w:trHeight w:val="436" w:hRule="atLeast"/>
          <w:jc w:val="center"/>
        </w:trPr>
        <w:tc>
          <w:tcPr>
            <w:tcW w:w="410"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876" w:type="pct"/>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完成</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16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数量指标</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完成评估个数</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５个</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５个</w:t>
            </w:r>
          </w:p>
        </w:tc>
      </w:tr>
      <w:tr>
        <w:tblPrEx>
          <w:tblCellMar>
            <w:top w:w="0" w:type="dxa"/>
            <w:left w:w="108" w:type="dxa"/>
            <w:bottom w:w="0" w:type="dxa"/>
            <w:right w:w="108" w:type="dxa"/>
          </w:tblCellMar>
        </w:tblPrEx>
        <w:trPr>
          <w:trHeight w:val="595" w:hRule="atLeast"/>
          <w:jc w:val="center"/>
        </w:trPr>
        <w:tc>
          <w:tcPr>
            <w:tcW w:w="410"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876" w:type="pct"/>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16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质量指标</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评估报告符合相关要求</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符合</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符合</w:t>
            </w:r>
          </w:p>
        </w:tc>
      </w:tr>
      <w:tr>
        <w:tblPrEx>
          <w:tblCellMar>
            <w:top w:w="0" w:type="dxa"/>
            <w:left w:w="108" w:type="dxa"/>
            <w:bottom w:w="0" w:type="dxa"/>
            <w:right w:w="108" w:type="dxa"/>
          </w:tblCellMar>
        </w:tblPrEx>
        <w:trPr>
          <w:trHeight w:val="500" w:hRule="atLeast"/>
          <w:jc w:val="center"/>
        </w:trPr>
        <w:tc>
          <w:tcPr>
            <w:tcW w:w="410"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876" w:type="pct"/>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16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时效指标</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按时完成情况</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2021年</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全部按时完成</w:t>
            </w:r>
          </w:p>
        </w:tc>
      </w:tr>
      <w:tr>
        <w:tblPrEx>
          <w:tblCellMar>
            <w:top w:w="0" w:type="dxa"/>
            <w:left w:w="108" w:type="dxa"/>
            <w:bottom w:w="0" w:type="dxa"/>
            <w:right w:w="108" w:type="dxa"/>
          </w:tblCellMar>
        </w:tblPrEx>
        <w:trPr>
          <w:trHeight w:val="480" w:hRule="atLeast"/>
          <w:jc w:val="center"/>
        </w:trPr>
        <w:tc>
          <w:tcPr>
            <w:tcW w:w="410"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876" w:type="pct"/>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16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成本指标</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评估费用不超过预算费用</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评估费用不超过预算费用</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未超过</w:t>
            </w:r>
          </w:p>
        </w:tc>
      </w:tr>
      <w:tr>
        <w:tblPrEx>
          <w:tblCellMar>
            <w:top w:w="0" w:type="dxa"/>
            <w:left w:w="108" w:type="dxa"/>
            <w:bottom w:w="0" w:type="dxa"/>
            <w:right w:w="108" w:type="dxa"/>
          </w:tblCellMar>
        </w:tblPrEx>
        <w:trPr>
          <w:trHeight w:val="480" w:hRule="atLeast"/>
          <w:jc w:val="center"/>
        </w:trPr>
        <w:tc>
          <w:tcPr>
            <w:tcW w:w="410"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876" w:type="pct"/>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效益</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16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经济效益指标</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咨询评估后规模和投资可控</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咨询评估后规模和投资可控</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可控</w:t>
            </w:r>
          </w:p>
        </w:tc>
      </w:tr>
      <w:tr>
        <w:tblPrEx>
          <w:tblCellMar>
            <w:top w:w="0" w:type="dxa"/>
            <w:left w:w="108" w:type="dxa"/>
            <w:bottom w:w="0" w:type="dxa"/>
            <w:right w:w="108" w:type="dxa"/>
          </w:tblCellMar>
        </w:tblPrEx>
        <w:trPr>
          <w:trHeight w:val="1181" w:hRule="atLeast"/>
          <w:jc w:val="center"/>
        </w:trPr>
        <w:tc>
          <w:tcPr>
            <w:tcW w:w="410"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876" w:type="pct"/>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16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社会效益指标</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b/>
                <w:bCs/>
                <w:color w:val="auto"/>
                <w:szCs w:val="21"/>
              </w:rPr>
            </w:pPr>
            <w:r>
              <w:rPr>
                <w:rFonts w:hint="default" w:ascii="Times New Roman" w:hAnsi="Times New Roman" w:eastAsia="仿宋_GB2312" w:cs="Times New Roman"/>
                <w:color w:val="auto"/>
                <w:szCs w:val="21"/>
              </w:rPr>
              <w:t>评估后确定的项目技术标准、建设规模合理可行</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评估后确定的项目技术标准、建设规模合理可行</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明显</w:t>
            </w:r>
          </w:p>
        </w:tc>
      </w:tr>
      <w:tr>
        <w:tblPrEx>
          <w:tblCellMar>
            <w:top w:w="0" w:type="dxa"/>
            <w:left w:w="108" w:type="dxa"/>
            <w:bottom w:w="0" w:type="dxa"/>
            <w:right w:w="108" w:type="dxa"/>
          </w:tblCellMar>
        </w:tblPrEx>
        <w:trPr>
          <w:trHeight w:val="480" w:hRule="atLeast"/>
          <w:jc w:val="center"/>
        </w:trPr>
        <w:tc>
          <w:tcPr>
            <w:tcW w:w="410" w:type="pct"/>
            <w:vMerge w:val="continue"/>
            <w:tcBorders>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87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度指标</w:t>
            </w:r>
          </w:p>
        </w:tc>
        <w:tc>
          <w:tcPr>
            <w:tcW w:w="116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项目有关各方对咨询评估技术服务满意度情况</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满意</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满意</w:t>
            </w:r>
          </w:p>
        </w:tc>
      </w:tr>
    </w:tbl>
    <w:p>
      <w:pPr>
        <w:pageBreakBefore w:val="0"/>
        <w:widowControl/>
        <w:kinsoku/>
        <w:wordWrap/>
        <w:overflowPunct/>
        <w:topLinePunct w:val="0"/>
        <w:bidi w:val="0"/>
        <w:spacing w:line="560" w:lineRule="exact"/>
        <w:textAlignment w:val="top"/>
        <w:rPr>
          <w:rFonts w:hint="default" w:ascii="Times New Roman" w:hAnsi="Times New Roman" w:eastAsia="仿宋_GB2312" w:cs="Times New Roman"/>
          <w:color w:val="auto"/>
          <w:kern w:val="0"/>
          <w:szCs w:val="21"/>
        </w:rPr>
      </w:pPr>
    </w:p>
    <w:tbl>
      <w:tblPr>
        <w:tblStyle w:val="21"/>
        <w:tblpPr w:leftFromText="180" w:rightFromText="180" w:vertAnchor="text" w:horzAnchor="page" w:tblpXSpec="center" w:tblpY="221"/>
        <w:tblOverlap w:val="never"/>
        <w:tblW w:w="5135" w:type="pct"/>
        <w:jc w:val="center"/>
        <w:tblLayout w:type="fixed"/>
        <w:tblCellMar>
          <w:top w:w="0" w:type="dxa"/>
          <w:left w:w="108" w:type="dxa"/>
          <w:bottom w:w="0" w:type="dxa"/>
          <w:right w:w="108" w:type="dxa"/>
        </w:tblCellMar>
      </w:tblPr>
      <w:tblGrid>
        <w:gridCol w:w="822"/>
        <w:gridCol w:w="1233"/>
        <w:gridCol w:w="1148"/>
        <w:gridCol w:w="1399"/>
        <w:gridCol w:w="2135"/>
        <w:gridCol w:w="2570"/>
      </w:tblGrid>
      <w:tr>
        <w:tblPrEx>
          <w:tblCellMar>
            <w:top w:w="0" w:type="dxa"/>
            <w:left w:w="108" w:type="dxa"/>
            <w:bottom w:w="0" w:type="dxa"/>
            <w:right w:w="108" w:type="dxa"/>
          </w:tblCellMar>
        </w:tblPrEx>
        <w:trPr>
          <w:trHeight w:val="675" w:hRule="atLeast"/>
          <w:jc w:val="center"/>
        </w:trPr>
        <w:tc>
          <w:tcPr>
            <w:tcW w:w="5000" w:type="pct"/>
            <w:gridSpan w:val="6"/>
            <w:tcBorders>
              <w:top w:val="nil"/>
              <w:left w:val="nil"/>
              <w:bottom w:val="nil"/>
              <w:right w:val="nil"/>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方正小标宋简体" w:cs="Times New Roman"/>
                <w:bCs/>
                <w:color w:val="auto"/>
                <w:sz w:val="32"/>
                <w:szCs w:val="32"/>
              </w:rPr>
            </w:pPr>
            <w:r>
              <w:rPr>
                <w:rFonts w:hint="default" w:ascii="Times New Roman" w:hAnsi="Times New Roman" w:eastAsia="方正小标宋简体" w:cs="Times New Roman"/>
                <w:bCs/>
                <w:color w:val="auto"/>
                <w:sz w:val="28"/>
                <w:szCs w:val="28"/>
              </w:rPr>
              <w:t>2021年100万以上（含）特定目标类部门预算项目绩效目标自评</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b/>
                <w:color w:val="auto"/>
              </w:rPr>
            </w:pPr>
            <w:r>
              <w:rPr>
                <w:rFonts w:hint="default" w:ascii="Times New Roman" w:hAnsi="Times New Roman" w:eastAsia="仿宋_GB2312" w:cs="Times New Roman"/>
                <w:bCs/>
                <w:color w:val="auto"/>
                <w:sz w:val="28"/>
                <w:szCs w:val="28"/>
              </w:rPr>
              <w:t>〔</w:t>
            </w:r>
            <w:r>
              <w:rPr>
                <w:rFonts w:hint="default" w:ascii="Times New Roman" w:hAnsi="Times New Roman" w:eastAsia="方正小标宋简体" w:cs="Times New Roman"/>
                <w:bCs/>
                <w:color w:val="auto"/>
                <w:sz w:val="28"/>
                <w:szCs w:val="28"/>
              </w:rPr>
              <w:t>委托工程咨询机构开展投资项目评估评审（水电）项目</w:t>
            </w:r>
            <w:r>
              <w:rPr>
                <w:rFonts w:hint="default" w:ascii="Times New Roman" w:hAnsi="Times New Roman" w:eastAsia="仿宋_GB2312" w:cs="Times New Roman"/>
                <w:bCs/>
                <w:color w:val="auto"/>
                <w:sz w:val="28"/>
                <w:szCs w:val="28"/>
              </w:rPr>
              <w:t>〕</w:t>
            </w:r>
          </w:p>
        </w:tc>
      </w:tr>
      <w:tr>
        <w:tblPrEx>
          <w:tblCellMar>
            <w:top w:w="0" w:type="dxa"/>
            <w:left w:w="108" w:type="dxa"/>
            <w:bottom w:w="0" w:type="dxa"/>
            <w:right w:w="108" w:type="dxa"/>
          </w:tblCellMar>
        </w:tblPrEx>
        <w:trPr>
          <w:trHeight w:val="254" w:hRule="atLeast"/>
          <w:jc w:val="center"/>
        </w:trPr>
        <w:tc>
          <w:tcPr>
            <w:tcW w:w="1104"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主管部门及代码</w:t>
            </w:r>
          </w:p>
        </w:tc>
        <w:tc>
          <w:tcPr>
            <w:tcW w:w="1368"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303-四川省发展和改革委员会</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实施单位</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四川省发展和改革委员会机关</w:t>
            </w:r>
          </w:p>
        </w:tc>
      </w:tr>
      <w:tr>
        <w:tblPrEx>
          <w:tblCellMar>
            <w:top w:w="0" w:type="dxa"/>
            <w:left w:w="108" w:type="dxa"/>
            <w:bottom w:w="0" w:type="dxa"/>
            <w:right w:w="108" w:type="dxa"/>
          </w:tblCellMar>
        </w:tblPrEx>
        <w:trPr>
          <w:trHeight w:val="341" w:hRule="atLeast"/>
          <w:jc w:val="center"/>
        </w:trPr>
        <w:tc>
          <w:tcPr>
            <w:tcW w:w="1104"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项目预算</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执行情况</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（万元）</w:t>
            </w:r>
          </w:p>
        </w:tc>
        <w:tc>
          <w:tcPr>
            <w:tcW w:w="61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 xml:space="preserve"> 预算数：</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115</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 xml:space="preserve"> 执行数：</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115</w:t>
            </w:r>
          </w:p>
        </w:tc>
      </w:tr>
      <w:tr>
        <w:tblPrEx>
          <w:tblCellMar>
            <w:top w:w="0" w:type="dxa"/>
            <w:left w:w="108" w:type="dxa"/>
            <w:bottom w:w="0" w:type="dxa"/>
            <w:right w:w="108" w:type="dxa"/>
          </w:tblCellMar>
        </w:tblPrEx>
        <w:trPr>
          <w:trHeight w:val="577" w:hRule="atLeast"/>
          <w:jc w:val="center"/>
        </w:trPr>
        <w:tc>
          <w:tcPr>
            <w:tcW w:w="1104"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1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115</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115</w:t>
            </w:r>
          </w:p>
        </w:tc>
      </w:tr>
      <w:tr>
        <w:tblPrEx>
          <w:tblCellMar>
            <w:top w:w="0" w:type="dxa"/>
            <w:left w:w="108" w:type="dxa"/>
            <w:bottom w:w="0" w:type="dxa"/>
            <w:right w:w="108" w:type="dxa"/>
          </w:tblCellMar>
        </w:tblPrEx>
        <w:trPr>
          <w:trHeight w:val="341" w:hRule="atLeast"/>
          <w:jc w:val="center"/>
        </w:trPr>
        <w:tc>
          <w:tcPr>
            <w:tcW w:w="1104"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1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0</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0</w:t>
            </w:r>
          </w:p>
        </w:tc>
      </w:tr>
      <w:tr>
        <w:tblPrEx>
          <w:tblCellMar>
            <w:top w:w="0" w:type="dxa"/>
            <w:left w:w="108" w:type="dxa"/>
            <w:bottom w:w="0" w:type="dxa"/>
            <w:right w:w="108" w:type="dxa"/>
          </w:tblCellMar>
        </w:tblPrEx>
        <w:trPr>
          <w:trHeight w:val="217" w:hRule="atLeast"/>
          <w:jc w:val="center"/>
        </w:trPr>
        <w:tc>
          <w:tcPr>
            <w:tcW w:w="441" w:type="pct"/>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年度总体目标完成情况</w:t>
            </w:r>
          </w:p>
        </w:tc>
        <w:tc>
          <w:tcPr>
            <w:tcW w:w="2030" w:type="pct"/>
            <w:gridSpan w:val="3"/>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预期目标</w:t>
            </w:r>
          </w:p>
        </w:tc>
        <w:tc>
          <w:tcPr>
            <w:tcW w:w="2527"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目标实际完成情况</w:t>
            </w:r>
          </w:p>
        </w:tc>
      </w:tr>
      <w:tr>
        <w:tblPrEx>
          <w:tblCellMar>
            <w:top w:w="0" w:type="dxa"/>
            <w:left w:w="108" w:type="dxa"/>
            <w:bottom w:w="0" w:type="dxa"/>
            <w:right w:w="108" w:type="dxa"/>
          </w:tblCellMar>
        </w:tblPrEx>
        <w:trPr>
          <w:trHeight w:val="1092" w:hRule="atLeast"/>
          <w:jc w:val="center"/>
        </w:trPr>
        <w:tc>
          <w:tcPr>
            <w:tcW w:w="441" w:type="pct"/>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2030" w:type="pct"/>
            <w:gridSpan w:val="3"/>
            <w:tcBorders>
              <w:top w:val="single" w:color="000000" w:sz="4" w:space="0"/>
              <w:left w:val="single" w:color="000000" w:sz="4" w:space="0"/>
              <w:bottom w:val="single" w:color="000000" w:sz="4" w:space="0"/>
              <w:right w:val="single" w:color="000000" w:sz="4" w:space="0"/>
            </w:tcBorders>
            <w:noWrap/>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kern w:val="0"/>
                <w:szCs w:val="21"/>
              </w:rPr>
            </w:pPr>
          </w:p>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计划完成孟底沟、枕头坝二级、沙坪一级水电站核准评估。</w:t>
            </w:r>
          </w:p>
        </w:tc>
        <w:tc>
          <w:tcPr>
            <w:tcW w:w="2527" w:type="pct"/>
            <w:gridSpan w:val="2"/>
            <w:tcBorders>
              <w:top w:val="single" w:color="000000" w:sz="4" w:space="0"/>
              <w:left w:val="single" w:color="000000" w:sz="4" w:space="0"/>
              <w:bottom w:val="single" w:color="000000" w:sz="4" w:space="0"/>
              <w:right w:val="single" w:color="000000" w:sz="4" w:space="0"/>
            </w:tcBorders>
            <w:noWrap/>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kern w:val="0"/>
                <w:szCs w:val="21"/>
              </w:rPr>
            </w:pPr>
          </w:p>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已完成孟底沟、枕头坝二级、沙坪一级水电站核准评估。</w:t>
            </w:r>
          </w:p>
        </w:tc>
      </w:tr>
      <w:tr>
        <w:tblPrEx>
          <w:tblCellMar>
            <w:top w:w="0" w:type="dxa"/>
            <w:left w:w="108" w:type="dxa"/>
            <w:bottom w:w="0" w:type="dxa"/>
            <w:right w:w="108" w:type="dxa"/>
          </w:tblCellMar>
        </w:tblPrEx>
        <w:trPr>
          <w:trHeight w:val="738" w:hRule="atLeast"/>
          <w:jc w:val="center"/>
        </w:trPr>
        <w:tc>
          <w:tcPr>
            <w:tcW w:w="441" w:type="pct"/>
            <w:vMerge w:val="restart"/>
            <w:tcBorders>
              <w:top w:val="single" w:color="000000" w:sz="4" w:space="0"/>
              <w:left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年度绩效指标完成情况</w:t>
            </w:r>
          </w:p>
        </w:tc>
        <w:tc>
          <w:tcPr>
            <w:tcW w:w="662" w:type="pct"/>
            <w:tcBorders>
              <w:top w:val="single" w:color="000000" w:sz="4" w:space="0"/>
              <w:left w:val="nil"/>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一级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1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二级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三级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预期指标值</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实际完成指标值</w:t>
            </w:r>
          </w:p>
        </w:tc>
      </w:tr>
      <w:tr>
        <w:tblPrEx>
          <w:tblCellMar>
            <w:top w:w="0" w:type="dxa"/>
            <w:left w:w="108" w:type="dxa"/>
            <w:bottom w:w="0" w:type="dxa"/>
            <w:right w:w="108" w:type="dxa"/>
          </w:tblCellMar>
        </w:tblPrEx>
        <w:trPr>
          <w:trHeight w:val="480" w:hRule="atLeast"/>
          <w:jc w:val="center"/>
        </w:trPr>
        <w:tc>
          <w:tcPr>
            <w:tcW w:w="441"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62" w:type="pct"/>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完成</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1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数量指标</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评估3个水电项目</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3个</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3个</w:t>
            </w:r>
          </w:p>
        </w:tc>
      </w:tr>
      <w:tr>
        <w:tblPrEx>
          <w:tblCellMar>
            <w:top w:w="0" w:type="dxa"/>
            <w:left w:w="108" w:type="dxa"/>
            <w:bottom w:w="0" w:type="dxa"/>
            <w:right w:w="108" w:type="dxa"/>
          </w:tblCellMar>
        </w:tblPrEx>
        <w:trPr>
          <w:trHeight w:val="480" w:hRule="atLeast"/>
          <w:jc w:val="center"/>
        </w:trPr>
        <w:tc>
          <w:tcPr>
            <w:tcW w:w="441"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62" w:type="pct"/>
            <w:vMerge w:val="continue"/>
            <w:tcBorders>
              <w:top w:val="single" w:color="000000" w:sz="4" w:space="0"/>
              <w:left w:val="single" w:color="000000" w:sz="4" w:space="0"/>
              <w:bottom w:val="single" w:color="000000" w:sz="4" w:space="0"/>
              <w:right w:val="single" w:color="000000" w:sz="4" w:space="0"/>
            </w:tcBorders>
            <w:noWrap/>
            <w:vAlign w:val="bottom"/>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1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质量指标</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质量合格率</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r>
      <w:tr>
        <w:tblPrEx>
          <w:tblCellMar>
            <w:top w:w="0" w:type="dxa"/>
            <w:left w:w="108" w:type="dxa"/>
            <w:bottom w:w="0" w:type="dxa"/>
            <w:right w:w="108" w:type="dxa"/>
          </w:tblCellMar>
        </w:tblPrEx>
        <w:trPr>
          <w:trHeight w:val="480" w:hRule="atLeast"/>
          <w:jc w:val="center"/>
        </w:trPr>
        <w:tc>
          <w:tcPr>
            <w:tcW w:w="441"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62" w:type="pct"/>
            <w:vMerge w:val="continue"/>
            <w:tcBorders>
              <w:top w:val="single" w:color="000000" w:sz="4" w:space="0"/>
              <w:left w:val="single" w:color="000000" w:sz="4" w:space="0"/>
              <w:bottom w:val="single" w:color="000000" w:sz="4" w:space="0"/>
              <w:right w:val="single" w:color="000000" w:sz="4" w:space="0"/>
            </w:tcBorders>
            <w:noWrap/>
            <w:vAlign w:val="bottom"/>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1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时效指标</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按时完成率</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r>
      <w:tr>
        <w:tblPrEx>
          <w:tblCellMar>
            <w:top w:w="0" w:type="dxa"/>
            <w:left w:w="108" w:type="dxa"/>
            <w:bottom w:w="0" w:type="dxa"/>
            <w:right w:w="108" w:type="dxa"/>
          </w:tblCellMar>
        </w:tblPrEx>
        <w:trPr>
          <w:trHeight w:val="480" w:hRule="atLeast"/>
          <w:jc w:val="center"/>
        </w:trPr>
        <w:tc>
          <w:tcPr>
            <w:tcW w:w="441"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62" w:type="pct"/>
            <w:vMerge w:val="continue"/>
            <w:tcBorders>
              <w:top w:val="single" w:color="000000" w:sz="4" w:space="0"/>
              <w:left w:val="single" w:color="000000" w:sz="4" w:space="0"/>
              <w:bottom w:val="single" w:color="000000" w:sz="4" w:space="0"/>
              <w:right w:val="single" w:color="000000" w:sz="4" w:space="0"/>
            </w:tcBorders>
            <w:noWrap/>
            <w:vAlign w:val="bottom"/>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1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成本指标</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评估费用</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115万元</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115万元</w:t>
            </w:r>
          </w:p>
        </w:tc>
      </w:tr>
      <w:tr>
        <w:tblPrEx>
          <w:tblCellMar>
            <w:top w:w="0" w:type="dxa"/>
            <w:left w:w="108" w:type="dxa"/>
            <w:bottom w:w="0" w:type="dxa"/>
            <w:right w:w="108" w:type="dxa"/>
          </w:tblCellMar>
        </w:tblPrEx>
        <w:trPr>
          <w:trHeight w:val="480" w:hRule="atLeast"/>
          <w:jc w:val="center"/>
        </w:trPr>
        <w:tc>
          <w:tcPr>
            <w:tcW w:w="441"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62" w:type="pct"/>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效益</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1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经济效益  指标</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促进行业发展</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增加电力供应</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增加电力供应</w:t>
            </w:r>
          </w:p>
        </w:tc>
      </w:tr>
      <w:tr>
        <w:tblPrEx>
          <w:tblCellMar>
            <w:top w:w="0" w:type="dxa"/>
            <w:left w:w="108" w:type="dxa"/>
            <w:bottom w:w="0" w:type="dxa"/>
            <w:right w:w="108" w:type="dxa"/>
          </w:tblCellMar>
        </w:tblPrEx>
        <w:trPr>
          <w:trHeight w:val="480" w:hRule="atLeast"/>
          <w:jc w:val="center"/>
        </w:trPr>
        <w:tc>
          <w:tcPr>
            <w:tcW w:w="441"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62" w:type="pct"/>
            <w:vMerge w:val="continue"/>
            <w:tcBorders>
              <w:top w:val="single" w:color="000000" w:sz="4" w:space="0"/>
              <w:left w:val="single" w:color="000000" w:sz="4" w:space="0"/>
              <w:bottom w:val="single" w:color="000000" w:sz="4" w:space="0"/>
              <w:right w:val="single" w:color="000000" w:sz="4" w:space="0"/>
            </w:tcBorders>
            <w:noWrap/>
            <w:vAlign w:val="bottom"/>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1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社会效益  指标</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建设清洁能源基地</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促进水电健康发展,为建设清洁能源基地作出贡献</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促进水电健康发展,为建设清洁能源基地作出贡献</w:t>
            </w:r>
          </w:p>
        </w:tc>
      </w:tr>
      <w:tr>
        <w:tblPrEx>
          <w:tblCellMar>
            <w:top w:w="0" w:type="dxa"/>
            <w:left w:w="108" w:type="dxa"/>
            <w:bottom w:w="0" w:type="dxa"/>
            <w:right w:w="108" w:type="dxa"/>
          </w:tblCellMar>
        </w:tblPrEx>
        <w:trPr>
          <w:trHeight w:val="577" w:hRule="atLeast"/>
          <w:jc w:val="center"/>
        </w:trPr>
        <w:tc>
          <w:tcPr>
            <w:tcW w:w="441"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62" w:type="pct"/>
            <w:vMerge w:val="continue"/>
            <w:tcBorders>
              <w:top w:val="single" w:color="000000" w:sz="4" w:space="0"/>
              <w:left w:val="single" w:color="000000" w:sz="4" w:space="0"/>
              <w:bottom w:val="single" w:color="000000" w:sz="4" w:space="0"/>
              <w:right w:val="single" w:color="000000" w:sz="4" w:space="0"/>
            </w:tcBorders>
            <w:noWrap/>
            <w:vAlign w:val="bottom"/>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1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生态效益  指标</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碳排放量</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无碳排放</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无碳排放</w:t>
            </w:r>
          </w:p>
        </w:tc>
      </w:tr>
      <w:tr>
        <w:tblPrEx>
          <w:tblCellMar>
            <w:top w:w="0" w:type="dxa"/>
            <w:left w:w="108" w:type="dxa"/>
            <w:bottom w:w="0" w:type="dxa"/>
            <w:right w:w="108" w:type="dxa"/>
          </w:tblCellMar>
        </w:tblPrEx>
        <w:trPr>
          <w:trHeight w:val="480" w:hRule="atLeast"/>
          <w:jc w:val="center"/>
        </w:trPr>
        <w:tc>
          <w:tcPr>
            <w:tcW w:w="441" w:type="pct"/>
            <w:vMerge w:val="continue"/>
            <w:tcBorders>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62" w:type="pct"/>
            <w:tcBorders>
              <w:top w:val="single" w:color="000000" w:sz="4" w:space="0"/>
              <w:left w:val="single" w:color="000000" w:sz="4" w:space="0"/>
              <w:bottom w:val="single" w:color="000000" w:sz="4" w:space="0"/>
              <w:right w:val="single" w:color="000000" w:sz="4" w:space="0"/>
            </w:tcBorders>
            <w:noWrap/>
            <w:vAlign w:val="bottom"/>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度指标</w:t>
            </w:r>
          </w:p>
        </w:tc>
        <w:tc>
          <w:tcPr>
            <w:tcW w:w="61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项目单位满意度</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r>
    </w:tbl>
    <w:p>
      <w:pPr>
        <w:pageBreakBefore w:val="0"/>
        <w:widowControl/>
        <w:kinsoku/>
        <w:wordWrap/>
        <w:overflowPunct/>
        <w:topLinePunct w:val="0"/>
        <w:bidi w:val="0"/>
        <w:spacing w:line="560" w:lineRule="exact"/>
        <w:textAlignment w:val="top"/>
        <w:rPr>
          <w:rFonts w:hint="default" w:ascii="Times New Roman" w:hAnsi="Times New Roman" w:eastAsia="仿宋_GB2312" w:cs="Times New Roman"/>
          <w:color w:val="auto"/>
          <w:kern w:val="0"/>
          <w:szCs w:val="21"/>
        </w:rPr>
      </w:pPr>
    </w:p>
    <w:tbl>
      <w:tblPr>
        <w:tblStyle w:val="21"/>
        <w:tblpPr w:leftFromText="180" w:rightFromText="180" w:vertAnchor="text" w:horzAnchor="page" w:tblpXSpec="center" w:tblpY="221"/>
        <w:tblOverlap w:val="never"/>
        <w:tblW w:w="5210" w:type="pct"/>
        <w:jc w:val="center"/>
        <w:tblLayout w:type="fixed"/>
        <w:tblCellMar>
          <w:top w:w="0" w:type="dxa"/>
          <w:left w:w="108" w:type="dxa"/>
          <w:bottom w:w="0" w:type="dxa"/>
          <w:right w:w="108" w:type="dxa"/>
        </w:tblCellMar>
      </w:tblPr>
      <w:tblGrid>
        <w:gridCol w:w="680"/>
        <w:gridCol w:w="934"/>
        <w:gridCol w:w="1207"/>
        <w:gridCol w:w="1566"/>
        <w:gridCol w:w="2276"/>
        <w:gridCol w:w="2780"/>
      </w:tblGrid>
      <w:tr>
        <w:tblPrEx>
          <w:tblCellMar>
            <w:top w:w="0" w:type="dxa"/>
            <w:left w:w="108" w:type="dxa"/>
            <w:bottom w:w="0" w:type="dxa"/>
            <w:right w:w="108" w:type="dxa"/>
          </w:tblCellMar>
        </w:tblPrEx>
        <w:trPr>
          <w:trHeight w:val="675" w:hRule="atLeast"/>
          <w:jc w:val="center"/>
        </w:trPr>
        <w:tc>
          <w:tcPr>
            <w:tcW w:w="5000" w:type="pct"/>
            <w:gridSpan w:val="6"/>
            <w:tcBorders>
              <w:top w:val="nil"/>
              <w:left w:val="nil"/>
              <w:bottom w:val="nil"/>
              <w:right w:val="nil"/>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方正小标宋简体" w:cs="Times New Roman"/>
                <w:bCs/>
                <w:color w:val="auto"/>
                <w:sz w:val="28"/>
                <w:szCs w:val="28"/>
              </w:rPr>
            </w:pPr>
            <w:r>
              <w:rPr>
                <w:rFonts w:hint="default" w:ascii="Times New Roman" w:hAnsi="Times New Roman" w:eastAsia="方正小标宋简体" w:cs="Times New Roman"/>
                <w:bCs/>
                <w:color w:val="auto"/>
                <w:sz w:val="28"/>
                <w:szCs w:val="28"/>
              </w:rPr>
              <w:t>2021年100万以上（含）特定目标类部门预算项目绩效目标自评</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b/>
                <w:color w:val="auto"/>
              </w:rPr>
            </w:pPr>
            <w:r>
              <w:rPr>
                <w:rFonts w:hint="default" w:ascii="Times New Roman" w:hAnsi="Times New Roman" w:eastAsia="仿宋_GB2312" w:cs="Times New Roman"/>
                <w:bCs/>
                <w:color w:val="auto"/>
                <w:sz w:val="28"/>
                <w:szCs w:val="28"/>
              </w:rPr>
              <w:t>〔</w:t>
            </w:r>
            <w:r>
              <w:rPr>
                <w:rFonts w:hint="default" w:ascii="Times New Roman" w:hAnsi="Times New Roman" w:eastAsia="方正小标宋简体" w:cs="Times New Roman"/>
                <w:bCs/>
                <w:color w:val="auto"/>
                <w:sz w:val="28"/>
                <w:szCs w:val="28"/>
              </w:rPr>
              <w:t>委托开展水电及新能源工程质量监督抽查检测项目（上年结转）</w:t>
            </w:r>
            <w:r>
              <w:rPr>
                <w:rFonts w:hint="default" w:ascii="Times New Roman" w:hAnsi="Times New Roman" w:eastAsia="仿宋_GB2312" w:cs="Times New Roman"/>
                <w:bCs/>
                <w:color w:val="auto"/>
                <w:sz w:val="28"/>
                <w:szCs w:val="28"/>
              </w:rPr>
              <w:t>〕</w:t>
            </w:r>
          </w:p>
        </w:tc>
      </w:tr>
      <w:tr>
        <w:tblPrEx>
          <w:tblCellMar>
            <w:top w:w="0" w:type="dxa"/>
            <w:left w:w="108" w:type="dxa"/>
            <w:bottom w:w="0" w:type="dxa"/>
            <w:right w:w="108" w:type="dxa"/>
          </w:tblCellMar>
        </w:tblPrEx>
        <w:trPr>
          <w:trHeight w:val="254" w:hRule="atLeast"/>
          <w:jc w:val="center"/>
        </w:trPr>
        <w:tc>
          <w:tcPr>
            <w:tcW w:w="854"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主管部门及代码</w:t>
            </w:r>
          </w:p>
        </w:tc>
        <w:tc>
          <w:tcPr>
            <w:tcW w:w="1468"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303-四川省发展和改革委员会</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实施单位</w:t>
            </w:r>
          </w:p>
        </w:tc>
        <w:tc>
          <w:tcPr>
            <w:tcW w:w="147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四川省发展和改革委员会机关</w:t>
            </w:r>
          </w:p>
        </w:tc>
      </w:tr>
      <w:tr>
        <w:tblPrEx>
          <w:tblCellMar>
            <w:top w:w="0" w:type="dxa"/>
            <w:left w:w="108" w:type="dxa"/>
            <w:bottom w:w="0" w:type="dxa"/>
            <w:right w:w="108" w:type="dxa"/>
          </w:tblCellMar>
        </w:tblPrEx>
        <w:trPr>
          <w:trHeight w:val="341" w:hRule="atLeast"/>
          <w:jc w:val="center"/>
        </w:trPr>
        <w:tc>
          <w:tcPr>
            <w:tcW w:w="854"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项目预算</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执行情况</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（万元）</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预算数：</w:t>
            </w:r>
          </w:p>
        </w:tc>
        <w:tc>
          <w:tcPr>
            <w:tcW w:w="82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500</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执行数：</w:t>
            </w:r>
          </w:p>
        </w:tc>
        <w:tc>
          <w:tcPr>
            <w:tcW w:w="147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498</w:t>
            </w:r>
          </w:p>
        </w:tc>
      </w:tr>
      <w:tr>
        <w:tblPrEx>
          <w:tblCellMar>
            <w:top w:w="0" w:type="dxa"/>
            <w:left w:w="108" w:type="dxa"/>
            <w:bottom w:w="0" w:type="dxa"/>
            <w:right w:w="108" w:type="dxa"/>
          </w:tblCellMar>
        </w:tblPrEx>
        <w:trPr>
          <w:trHeight w:val="577" w:hRule="atLeast"/>
          <w:jc w:val="center"/>
        </w:trPr>
        <w:tc>
          <w:tcPr>
            <w:tcW w:w="854"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82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500</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147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498</w:t>
            </w:r>
          </w:p>
        </w:tc>
      </w:tr>
      <w:tr>
        <w:tblPrEx>
          <w:tblCellMar>
            <w:top w:w="0" w:type="dxa"/>
            <w:left w:w="108" w:type="dxa"/>
            <w:bottom w:w="0" w:type="dxa"/>
            <w:right w:w="108" w:type="dxa"/>
          </w:tblCellMar>
        </w:tblPrEx>
        <w:trPr>
          <w:trHeight w:val="341" w:hRule="atLeast"/>
          <w:jc w:val="center"/>
        </w:trPr>
        <w:tc>
          <w:tcPr>
            <w:tcW w:w="854"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82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p>
        </w:tc>
        <w:tc>
          <w:tcPr>
            <w:tcW w:w="120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147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p>
        </w:tc>
      </w:tr>
      <w:tr>
        <w:tblPrEx>
          <w:tblCellMar>
            <w:top w:w="0" w:type="dxa"/>
            <w:left w:w="108" w:type="dxa"/>
            <w:bottom w:w="0" w:type="dxa"/>
            <w:right w:w="108" w:type="dxa"/>
          </w:tblCellMar>
        </w:tblPrEx>
        <w:trPr>
          <w:trHeight w:val="217"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年度总体目标完成情况</w:t>
            </w:r>
          </w:p>
        </w:tc>
        <w:tc>
          <w:tcPr>
            <w:tcW w:w="1962" w:type="pct"/>
            <w:gridSpan w:val="3"/>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预期目标</w:t>
            </w:r>
          </w:p>
        </w:tc>
        <w:tc>
          <w:tcPr>
            <w:tcW w:w="2677"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目标实际完成情况</w:t>
            </w:r>
          </w:p>
        </w:tc>
      </w:tr>
      <w:tr>
        <w:tblPrEx>
          <w:tblCellMar>
            <w:top w:w="0" w:type="dxa"/>
            <w:left w:w="108" w:type="dxa"/>
            <w:bottom w:w="0" w:type="dxa"/>
            <w:right w:w="108" w:type="dxa"/>
          </w:tblCellMar>
        </w:tblPrEx>
        <w:trPr>
          <w:trHeight w:val="2160" w:hRule="atLeast"/>
          <w:jc w:val="center"/>
        </w:trPr>
        <w:tc>
          <w:tcPr>
            <w:tcW w:w="360" w:type="pct"/>
            <w:vMerge w:val="continue"/>
            <w:tcBorders>
              <w:top w:val="single" w:color="000000" w:sz="4" w:space="0"/>
              <w:left w:val="single" w:color="000000" w:sz="4" w:space="0"/>
              <w:bottom w:val="single" w:color="auto" w:sz="4" w:space="0"/>
              <w:right w:val="single" w:color="000000"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1962" w:type="pct"/>
            <w:gridSpan w:val="3"/>
            <w:tcBorders>
              <w:top w:val="single" w:color="000000" w:sz="4" w:space="0"/>
              <w:left w:val="single" w:color="000000" w:sz="4" w:space="0"/>
              <w:bottom w:val="single" w:color="auto" w:sz="4" w:space="0"/>
              <w:right w:val="single" w:color="000000" w:sz="4" w:space="0"/>
            </w:tcBorders>
            <w:noWrap/>
            <w:vAlign w:val="center"/>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szCs w:val="21"/>
                <w:lang w:eastAsia="zh-CN"/>
              </w:rPr>
            </w:pPr>
            <w:r>
              <w:rPr>
                <w:rFonts w:hint="default" w:ascii="Times New Roman" w:hAnsi="Times New Roman" w:eastAsia="仿宋_GB2312" w:cs="Times New Roman"/>
                <w:color w:val="auto"/>
                <w:kern w:val="0"/>
                <w:szCs w:val="21"/>
              </w:rPr>
              <w:t>按照省发展改革委、省能源局《关于进一步加强我省水电工程质量监督管理工作的通知》（川发改能源函〔2016〕319号）的要求，对我省在建水电及新能源项目开展质量监督管理工作，对项目原材料及实体工程质量进行随机抽检，并将抽检结果报送省能源局</w:t>
            </w:r>
            <w:r>
              <w:rPr>
                <w:rFonts w:hint="default" w:ascii="Times New Roman" w:hAnsi="Times New Roman" w:eastAsia="仿宋_GB2312" w:cs="Times New Roman"/>
                <w:color w:val="auto"/>
                <w:kern w:val="0"/>
                <w:szCs w:val="21"/>
                <w:lang w:eastAsia="zh-CN"/>
              </w:rPr>
              <w:t>。</w:t>
            </w:r>
          </w:p>
        </w:tc>
        <w:tc>
          <w:tcPr>
            <w:tcW w:w="2677" w:type="pct"/>
            <w:gridSpan w:val="2"/>
            <w:tcBorders>
              <w:top w:val="single" w:color="000000" w:sz="4" w:space="0"/>
              <w:left w:val="single" w:color="000000" w:sz="4" w:space="0"/>
              <w:bottom w:val="single" w:color="auto" w:sz="4" w:space="0"/>
              <w:right w:val="single" w:color="000000" w:sz="4" w:space="0"/>
            </w:tcBorders>
            <w:noWrap/>
            <w:vAlign w:val="center"/>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2021年完成水电工程抽查检测重点为堆石坝项目，重点检测了两河口、双江口、锅浪跷、剑科、确如多、拉哇等6个在建水电工程必检项目，以及仁宗海、华山沟2个安全隐患治理项目等。本年度检测不少于3次。2021年完成抽查三峡新能源金阳县三个风电项目、华电盐源县风电项目及中节能广元剑阁天台山二期100MW风电场项目等10个新能源项目。</w:t>
            </w:r>
          </w:p>
        </w:tc>
      </w:tr>
      <w:tr>
        <w:tblPrEx>
          <w:tblCellMar>
            <w:top w:w="0" w:type="dxa"/>
            <w:left w:w="108" w:type="dxa"/>
            <w:bottom w:w="0" w:type="dxa"/>
            <w:right w:w="108" w:type="dxa"/>
          </w:tblCellMar>
        </w:tblPrEx>
        <w:trPr>
          <w:trHeight w:val="738" w:hRule="atLeast"/>
          <w:jc w:val="center"/>
        </w:trPr>
        <w:tc>
          <w:tcPr>
            <w:tcW w:w="360" w:type="pct"/>
            <w:vMerge w:val="restar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年度绩效指标完成情况</w:t>
            </w:r>
          </w:p>
        </w:tc>
        <w:tc>
          <w:tcPr>
            <w:tcW w:w="494"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一级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3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二级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82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三级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20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预期指</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标值</w:t>
            </w:r>
          </w:p>
        </w:tc>
        <w:tc>
          <w:tcPr>
            <w:tcW w:w="1471"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实际完成指标值</w:t>
            </w:r>
          </w:p>
        </w:tc>
      </w:tr>
      <w:tr>
        <w:tblPrEx>
          <w:tblCellMar>
            <w:top w:w="0" w:type="dxa"/>
            <w:left w:w="108" w:type="dxa"/>
            <w:bottom w:w="0" w:type="dxa"/>
            <w:right w:w="108" w:type="dxa"/>
          </w:tblCellMar>
        </w:tblPrEx>
        <w:trPr>
          <w:trHeight w:val="570" w:hRule="atLeast"/>
          <w:jc w:val="center"/>
        </w:trPr>
        <w:tc>
          <w:tcPr>
            <w:tcW w:w="360"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94" w:type="pct"/>
            <w:vMerge w:val="restar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完成</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3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数量指标</w:t>
            </w:r>
          </w:p>
        </w:tc>
        <w:tc>
          <w:tcPr>
            <w:tcW w:w="82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每年抽查项目不少于20个</w:t>
            </w:r>
          </w:p>
        </w:tc>
        <w:tc>
          <w:tcPr>
            <w:tcW w:w="120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20个</w:t>
            </w:r>
          </w:p>
        </w:tc>
        <w:tc>
          <w:tcPr>
            <w:tcW w:w="1471"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20个</w:t>
            </w:r>
          </w:p>
        </w:tc>
      </w:tr>
      <w:tr>
        <w:tblPrEx>
          <w:tblCellMar>
            <w:top w:w="0" w:type="dxa"/>
            <w:left w:w="108" w:type="dxa"/>
            <w:bottom w:w="0" w:type="dxa"/>
            <w:right w:w="108" w:type="dxa"/>
          </w:tblCellMar>
        </w:tblPrEx>
        <w:trPr>
          <w:trHeight w:val="480" w:hRule="atLeast"/>
          <w:jc w:val="center"/>
        </w:trPr>
        <w:tc>
          <w:tcPr>
            <w:tcW w:w="360"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9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质量指标</w:t>
            </w:r>
          </w:p>
        </w:tc>
        <w:tc>
          <w:tcPr>
            <w:tcW w:w="82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质量合规率</w:t>
            </w:r>
          </w:p>
        </w:tc>
        <w:tc>
          <w:tcPr>
            <w:tcW w:w="120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100%</w:t>
            </w:r>
          </w:p>
        </w:tc>
        <w:tc>
          <w:tcPr>
            <w:tcW w:w="1471"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100%</w:t>
            </w:r>
          </w:p>
        </w:tc>
      </w:tr>
      <w:tr>
        <w:tblPrEx>
          <w:tblCellMar>
            <w:top w:w="0" w:type="dxa"/>
            <w:left w:w="108" w:type="dxa"/>
            <w:bottom w:w="0" w:type="dxa"/>
            <w:right w:w="108" w:type="dxa"/>
          </w:tblCellMar>
        </w:tblPrEx>
        <w:trPr>
          <w:trHeight w:val="480" w:hRule="atLeast"/>
          <w:jc w:val="center"/>
        </w:trPr>
        <w:tc>
          <w:tcPr>
            <w:tcW w:w="360"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9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时效指标</w:t>
            </w:r>
          </w:p>
        </w:tc>
        <w:tc>
          <w:tcPr>
            <w:tcW w:w="82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按时完成率</w:t>
            </w:r>
          </w:p>
        </w:tc>
        <w:tc>
          <w:tcPr>
            <w:tcW w:w="120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100%</w:t>
            </w:r>
          </w:p>
        </w:tc>
        <w:tc>
          <w:tcPr>
            <w:tcW w:w="1471"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100%</w:t>
            </w:r>
          </w:p>
        </w:tc>
      </w:tr>
      <w:tr>
        <w:tblPrEx>
          <w:tblCellMar>
            <w:top w:w="0" w:type="dxa"/>
            <w:left w:w="108" w:type="dxa"/>
            <w:bottom w:w="0" w:type="dxa"/>
            <w:right w:w="108" w:type="dxa"/>
          </w:tblCellMar>
        </w:tblPrEx>
        <w:trPr>
          <w:trHeight w:val="570" w:hRule="atLeast"/>
          <w:jc w:val="center"/>
        </w:trPr>
        <w:tc>
          <w:tcPr>
            <w:tcW w:w="360"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9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成本指标</w:t>
            </w:r>
          </w:p>
        </w:tc>
        <w:tc>
          <w:tcPr>
            <w:tcW w:w="82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质量监督抽查</w:t>
            </w:r>
            <w:r>
              <w:rPr>
                <w:rFonts w:hint="eastAsia" w:eastAsia="仿宋_GB2312" w:cs="Times New Roman"/>
                <w:color w:val="auto"/>
                <w:szCs w:val="21"/>
                <w:lang w:eastAsia="zh-CN"/>
              </w:rPr>
              <w:t>检</w:t>
            </w:r>
            <w:r>
              <w:rPr>
                <w:rFonts w:hint="default" w:ascii="Times New Roman" w:hAnsi="Times New Roman" w:eastAsia="仿宋_GB2312" w:cs="Times New Roman"/>
                <w:color w:val="auto"/>
                <w:szCs w:val="21"/>
              </w:rPr>
              <w:t>测费用</w:t>
            </w:r>
          </w:p>
        </w:tc>
        <w:tc>
          <w:tcPr>
            <w:tcW w:w="120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500万元</w:t>
            </w:r>
          </w:p>
        </w:tc>
        <w:tc>
          <w:tcPr>
            <w:tcW w:w="1471"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498万元</w:t>
            </w:r>
          </w:p>
        </w:tc>
      </w:tr>
      <w:tr>
        <w:tblPrEx>
          <w:tblCellMar>
            <w:top w:w="0" w:type="dxa"/>
            <w:left w:w="108" w:type="dxa"/>
            <w:bottom w:w="0" w:type="dxa"/>
            <w:right w:w="108" w:type="dxa"/>
          </w:tblCellMar>
        </w:tblPrEx>
        <w:trPr>
          <w:trHeight w:val="813" w:hRule="atLeast"/>
          <w:jc w:val="center"/>
        </w:trPr>
        <w:tc>
          <w:tcPr>
            <w:tcW w:w="360"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94" w:type="pct"/>
            <w:vMerge w:val="restart"/>
            <w:tcBorders>
              <w:top w:val="single" w:color="auto" w:sz="4" w:space="0"/>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效益</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w:t>
            </w:r>
          </w:p>
        </w:tc>
        <w:tc>
          <w:tcPr>
            <w:tcW w:w="63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经济效益指标</w:t>
            </w:r>
          </w:p>
        </w:tc>
        <w:tc>
          <w:tcPr>
            <w:tcW w:w="82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促进行业发展</w:t>
            </w:r>
          </w:p>
        </w:tc>
        <w:tc>
          <w:tcPr>
            <w:tcW w:w="120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工程质量安全运行,增加发电量,提高企业的效益</w:t>
            </w:r>
          </w:p>
        </w:tc>
        <w:tc>
          <w:tcPr>
            <w:tcW w:w="1471"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工程质量安全运行,增加发电量,提高企业的效益</w:t>
            </w:r>
          </w:p>
        </w:tc>
      </w:tr>
      <w:tr>
        <w:tblPrEx>
          <w:tblCellMar>
            <w:top w:w="0" w:type="dxa"/>
            <w:left w:w="108" w:type="dxa"/>
            <w:bottom w:w="0" w:type="dxa"/>
            <w:right w:w="108" w:type="dxa"/>
          </w:tblCellMar>
        </w:tblPrEx>
        <w:trPr>
          <w:trHeight w:val="1099" w:hRule="atLeast"/>
          <w:jc w:val="center"/>
        </w:trPr>
        <w:tc>
          <w:tcPr>
            <w:tcW w:w="360"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94" w:type="pct"/>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p>
        </w:tc>
        <w:tc>
          <w:tcPr>
            <w:tcW w:w="63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社会效益指标</w:t>
            </w:r>
          </w:p>
        </w:tc>
        <w:tc>
          <w:tcPr>
            <w:tcW w:w="82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建设清洁能源基地</w:t>
            </w:r>
          </w:p>
        </w:tc>
        <w:tc>
          <w:tcPr>
            <w:tcW w:w="120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促进水电及新能源健康发展,为建设清洁能源基地作出贡献</w:t>
            </w:r>
          </w:p>
        </w:tc>
        <w:tc>
          <w:tcPr>
            <w:tcW w:w="1471"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促进水电及新能源健康发展,为建设清洁能源基地作出贡献</w:t>
            </w:r>
          </w:p>
        </w:tc>
      </w:tr>
      <w:tr>
        <w:tblPrEx>
          <w:tblCellMar>
            <w:top w:w="0" w:type="dxa"/>
            <w:left w:w="108" w:type="dxa"/>
            <w:bottom w:w="0" w:type="dxa"/>
            <w:right w:w="108" w:type="dxa"/>
          </w:tblCellMar>
        </w:tblPrEx>
        <w:trPr>
          <w:trHeight w:val="480" w:hRule="atLeast"/>
          <w:jc w:val="center"/>
        </w:trPr>
        <w:tc>
          <w:tcPr>
            <w:tcW w:w="360"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94" w:type="pct"/>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p>
        </w:tc>
        <w:tc>
          <w:tcPr>
            <w:tcW w:w="63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生态效益指标</w:t>
            </w:r>
          </w:p>
        </w:tc>
        <w:tc>
          <w:tcPr>
            <w:tcW w:w="82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碳排放量</w:t>
            </w:r>
          </w:p>
        </w:tc>
        <w:tc>
          <w:tcPr>
            <w:tcW w:w="120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无碳排放</w:t>
            </w:r>
          </w:p>
        </w:tc>
        <w:tc>
          <w:tcPr>
            <w:tcW w:w="1471"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无碳排放</w:t>
            </w:r>
          </w:p>
        </w:tc>
      </w:tr>
      <w:tr>
        <w:tblPrEx>
          <w:tblCellMar>
            <w:top w:w="0" w:type="dxa"/>
            <w:left w:w="108" w:type="dxa"/>
            <w:bottom w:w="0" w:type="dxa"/>
            <w:right w:w="108" w:type="dxa"/>
          </w:tblCellMar>
        </w:tblPrEx>
        <w:trPr>
          <w:trHeight w:val="480" w:hRule="atLeast"/>
          <w:jc w:val="center"/>
        </w:trPr>
        <w:tc>
          <w:tcPr>
            <w:tcW w:w="360"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94" w:type="pct"/>
            <w:vMerge w:val="continue"/>
            <w:tcBorders>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p>
        </w:tc>
        <w:tc>
          <w:tcPr>
            <w:tcW w:w="63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可持续影响指标</w:t>
            </w:r>
          </w:p>
        </w:tc>
        <w:tc>
          <w:tcPr>
            <w:tcW w:w="82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质量终身制</w:t>
            </w:r>
          </w:p>
        </w:tc>
        <w:tc>
          <w:tcPr>
            <w:tcW w:w="120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各责任主体质量负责终身制</w:t>
            </w:r>
          </w:p>
        </w:tc>
        <w:tc>
          <w:tcPr>
            <w:tcW w:w="1471"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各责任主体质量负责终身制</w:t>
            </w:r>
          </w:p>
        </w:tc>
      </w:tr>
      <w:tr>
        <w:tblPrEx>
          <w:tblCellMar>
            <w:top w:w="0" w:type="dxa"/>
            <w:left w:w="108" w:type="dxa"/>
            <w:bottom w:w="0" w:type="dxa"/>
            <w:right w:w="108" w:type="dxa"/>
          </w:tblCellMar>
        </w:tblPrEx>
        <w:trPr>
          <w:trHeight w:val="670" w:hRule="atLeast"/>
          <w:jc w:val="center"/>
        </w:trPr>
        <w:tc>
          <w:tcPr>
            <w:tcW w:w="360"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94"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3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82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建设单位满意度</w:t>
            </w:r>
          </w:p>
        </w:tc>
        <w:tc>
          <w:tcPr>
            <w:tcW w:w="120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100%</w:t>
            </w:r>
          </w:p>
        </w:tc>
        <w:tc>
          <w:tcPr>
            <w:tcW w:w="1471"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100%</w:t>
            </w:r>
          </w:p>
        </w:tc>
      </w:tr>
    </w:tbl>
    <w:p>
      <w:pPr>
        <w:pageBreakBefore w:val="0"/>
        <w:widowControl/>
        <w:kinsoku/>
        <w:wordWrap/>
        <w:overflowPunct/>
        <w:topLinePunct w:val="0"/>
        <w:bidi w:val="0"/>
        <w:spacing w:line="560" w:lineRule="exact"/>
        <w:textAlignment w:val="top"/>
        <w:rPr>
          <w:rFonts w:hint="default" w:ascii="Times New Roman" w:hAnsi="Times New Roman" w:eastAsia="仿宋_GB2312" w:cs="Times New Roman"/>
          <w:color w:val="auto"/>
          <w:kern w:val="0"/>
          <w:szCs w:val="21"/>
        </w:rPr>
      </w:pPr>
    </w:p>
    <w:tbl>
      <w:tblPr>
        <w:tblStyle w:val="21"/>
        <w:tblpPr w:leftFromText="180" w:rightFromText="180" w:vertAnchor="text" w:horzAnchor="page" w:tblpXSpec="center" w:tblpY="213"/>
        <w:tblOverlap w:val="never"/>
        <w:tblW w:w="5192" w:type="pct"/>
        <w:jc w:val="center"/>
        <w:tblLayout w:type="fixed"/>
        <w:tblCellMar>
          <w:top w:w="0" w:type="dxa"/>
          <w:left w:w="108" w:type="dxa"/>
          <w:bottom w:w="0" w:type="dxa"/>
          <w:right w:w="108" w:type="dxa"/>
        </w:tblCellMar>
      </w:tblPr>
      <w:tblGrid>
        <w:gridCol w:w="663"/>
        <w:gridCol w:w="1196"/>
        <w:gridCol w:w="1340"/>
        <w:gridCol w:w="2579"/>
        <w:gridCol w:w="1635"/>
        <w:gridCol w:w="1997"/>
      </w:tblGrid>
      <w:tr>
        <w:tblPrEx>
          <w:tblCellMar>
            <w:top w:w="0" w:type="dxa"/>
            <w:left w:w="108" w:type="dxa"/>
            <w:bottom w:w="0" w:type="dxa"/>
            <w:right w:w="108" w:type="dxa"/>
          </w:tblCellMar>
        </w:tblPrEx>
        <w:trPr>
          <w:trHeight w:val="675" w:hRule="atLeast"/>
          <w:jc w:val="center"/>
        </w:trPr>
        <w:tc>
          <w:tcPr>
            <w:tcW w:w="5000" w:type="pct"/>
            <w:gridSpan w:val="6"/>
            <w:tcBorders>
              <w:top w:val="nil"/>
              <w:left w:val="nil"/>
              <w:bottom w:val="nil"/>
              <w:right w:val="nil"/>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方正小标宋简体" w:cs="Times New Roman"/>
                <w:bCs/>
                <w:color w:val="auto"/>
                <w:sz w:val="32"/>
                <w:szCs w:val="32"/>
              </w:rPr>
            </w:pPr>
            <w:r>
              <w:rPr>
                <w:rFonts w:hint="default" w:ascii="Times New Roman" w:hAnsi="Times New Roman" w:eastAsia="方正小标宋简体" w:cs="Times New Roman"/>
                <w:bCs/>
                <w:color w:val="auto"/>
                <w:sz w:val="28"/>
                <w:szCs w:val="28"/>
              </w:rPr>
              <w:t>2021年100万以上（含）特定目标类部门预算项目绩效目标自评</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b/>
                <w:color w:val="auto"/>
              </w:rPr>
            </w:pPr>
            <w:r>
              <w:rPr>
                <w:rFonts w:hint="default" w:ascii="Times New Roman" w:hAnsi="Times New Roman" w:eastAsia="仿宋_GB2312" w:cs="Times New Roman"/>
                <w:bCs/>
                <w:color w:val="auto"/>
                <w:sz w:val="28"/>
                <w:szCs w:val="28"/>
              </w:rPr>
              <w:t>〔</w:t>
            </w:r>
            <w:r>
              <w:rPr>
                <w:rFonts w:hint="default" w:ascii="Times New Roman" w:hAnsi="Times New Roman" w:eastAsia="方正小标宋简体" w:cs="Times New Roman"/>
                <w:bCs/>
                <w:color w:val="auto"/>
                <w:sz w:val="28"/>
                <w:szCs w:val="28"/>
              </w:rPr>
              <w:t>铁路路网和项目规划研究项目（上年结转）</w:t>
            </w:r>
            <w:r>
              <w:rPr>
                <w:rFonts w:hint="default" w:ascii="Times New Roman" w:hAnsi="Times New Roman" w:eastAsia="仿宋_GB2312" w:cs="Times New Roman"/>
                <w:bCs/>
                <w:color w:val="auto"/>
                <w:sz w:val="28"/>
                <w:szCs w:val="28"/>
              </w:rPr>
              <w:t>〕</w:t>
            </w:r>
          </w:p>
        </w:tc>
      </w:tr>
      <w:tr>
        <w:tblPrEx>
          <w:tblCellMar>
            <w:top w:w="0" w:type="dxa"/>
            <w:left w:w="108" w:type="dxa"/>
            <w:bottom w:w="0" w:type="dxa"/>
            <w:right w:w="108" w:type="dxa"/>
          </w:tblCellMar>
        </w:tblPrEx>
        <w:trPr>
          <w:trHeight w:val="254" w:hRule="atLeast"/>
          <w:jc w:val="center"/>
        </w:trPr>
        <w:tc>
          <w:tcPr>
            <w:tcW w:w="987"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主管部门及代码</w:t>
            </w:r>
          </w:p>
        </w:tc>
        <w:tc>
          <w:tcPr>
            <w:tcW w:w="2082"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303-四川省发展和改革委员会</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实施单位</w:t>
            </w:r>
          </w:p>
        </w:tc>
        <w:tc>
          <w:tcPr>
            <w:tcW w:w="106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四川省发展和改革委员会机关</w:t>
            </w:r>
          </w:p>
        </w:tc>
      </w:tr>
      <w:tr>
        <w:tblPrEx>
          <w:tblCellMar>
            <w:top w:w="0" w:type="dxa"/>
            <w:left w:w="108" w:type="dxa"/>
            <w:bottom w:w="0" w:type="dxa"/>
            <w:right w:w="108" w:type="dxa"/>
          </w:tblCellMar>
        </w:tblPrEx>
        <w:trPr>
          <w:trHeight w:val="341" w:hRule="atLeast"/>
          <w:jc w:val="center"/>
        </w:trPr>
        <w:tc>
          <w:tcPr>
            <w:tcW w:w="987"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项目预算</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执行情况</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（万元）</w:t>
            </w:r>
          </w:p>
        </w:tc>
        <w:tc>
          <w:tcPr>
            <w:tcW w:w="71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预算数：</w:t>
            </w:r>
          </w:p>
        </w:tc>
        <w:tc>
          <w:tcPr>
            <w:tcW w:w="137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237</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 xml:space="preserve"> 执行数：</w:t>
            </w:r>
          </w:p>
        </w:tc>
        <w:tc>
          <w:tcPr>
            <w:tcW w:w="106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237</w:t>
            </w:r>
          </w:p>
        </w:tc>
      </w:tr>
      <w:tr>
        <w:tblPrEx>
          <w:tblCellMar>
            <w:top w:w="0" w:type="dxa"/>
            <w:left w:w="108" w:type="dxa"/>
            <w:bottom w:w="0" w:type="dxa"/>
            <w:right w:w="108" w:type="dxa"/>
          </w:tblCellMar>
        </w:tblPrEx>
        <w:trPr>
          <w:trHeight w:val="577" w:hRule="atLeast"/>
          <w:jc w:val="center"/>
        </w:trPr>
        <w:tc>
          <w:tcPr>
            <w:tcW w:w="987"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71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137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237</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106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237</w:t>
            </w:r>
          </w:p>
        </w:tc>
      </w:tr>
      <w:tr>
        <w:tblPrEx>
          <w:tblCellMar>
            <w:top w:w="0" w:type="dxa"/>
            <w:left w:w="108" w:type="dxa"/>
            <w:bottom w:w="0" w:type="dxa"/>
            <w:right w:w="108" w:type="dxa"/>
          </w:tblCellMar>
        </w:tblPrEx>
        <w:trPr>
          <w:trHeight w:val="341" w:hRule="atLeast"/>
          <w:jc w:val="center"/>
        </w:trPr>
        <w:tc>
          <w:tcPr>
            <w:tcW w:w="987"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71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137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p>
        </w:tc>
        <w:tc>
          <w:tcPr>
            <w:tcW w:w="86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106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p>
        </w:tc>
      </w:tr>
      <w:tr>
        <w:tblPrEx>
          <w:tblCellMar>
            <w:top w:w="0" w:type="dxa"/>
            <w:left w:w="108" w:type="dxa"/>
            <w:bottom w:w="0" w:type="dxa"/>
            <w:right w:w="108" w:type="dxa"/>
          </w:tblCellMar>
        </w:tblPrEx>
        <w:trPr>
          <w:trHeight w:val="217" w:hRule="atLeast"/>
          <w:jc w:val="center"/>
        </w:trPr>
        <w:tc>
          <w:tcPr>
            <w:tcW w:w="352" w:type="pct"/>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年度总体目标完成情况</w:t>
            </w:r>
          </w:p>
        </w:tc>
        <w:tc>
          <w:tcPr>
            <w:tcW w:w="2717" w:type="pct"/>
            <w:gridSpan w:val="3"/>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预期目标</w:t>
            </w:r>
          </w:p>
        </w:tc>
        <w:tc>
          <w:tcPr>
            <w:tcW w:w="1929"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目标实际完成情况</w:t>
            </w:r>
          </w:p>
        </w:tc>
      </w:tr>
      <w:tr>
        <w:tblPrEx>
          <w:tblCellMar>
            <w:top w:w="0" w:type="dxa"/>
            <w:left w:w="108" w:type="dxa"/>
            <w:bottom w:w="0" w:type="dxa"/>
            <w:right w:w="108" w:type="dxa"/>
          </w:tblCellMar>
        </w:tblPrEx>
        <w:trPr>
          <w:trHeight w:val="1903" w:hRule="atLeast"/>
          <w:jc w:val="center"/>
        </w:trPr>
        <w:tc>
          <w:tcPr>
            <w:tcW w:w="352" w:type="pct"/>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2717" w:type="pct"/>
            <w:gridSpan w:val="3"/>
            <w:tcBorders>
              <w:top w:val="single" w:color="000000" w:sz="4" w:space="0"/>
              <w:left w:val="single" w:color="000000" w:sz="4" w:space="0"/>
              <w:bottom w:val="single" w:color="000000" w:sz="4" w:space="0"/>
              <w:right w:val="single" w:color="000000" w:sz="4" w:space="0"/>
            </w:tcBorders>
            <w:noWrap/>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kern w:val="0"/>
                <w:szCs w:val="21"/>
              </w:rPr>
            </w:pPr>
          </w:p>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成规划研究报告编制，提出四川省“十四五”铁路发展、成渝地区双城经济圈铁路网规划总体思路、发展目标和重点建设任务；提出遂宁至广安至黔江高铁、重庆至重庆铁路、珙县至叙永铁路建设必要性、功能定位和主要技术标准。</w:t>
            </w:r>
          </w:p>
        </w:tc>
        <w:tc>
          <w:tcPr>
            <w:tcW w:w="1929" w:type="pct"/>
            <w:gridSpan w:val="2"/>
            <w:tcBorders>
              <w:top w:val="single" w:color="000000" w:sz="4" w:space="0"/>
              <w:left w:val="single" w:color="000000" w:sz="4" w:space="0"/>
              <w:bottom w:val="single" w:color="000000" w:sz="4" w:space="0"/>
              <w:right w:val="single" w:color="000000" w:sz="4" w:space="0"/>
            </w:tcBorders>
            <w:noWrap/>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kern w:val="0"/>
                <w:szCs w:val="21"/>
              </w:rPr>
            </w:pPr>
          </w:p>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完成四川省“十四五”铁路发展、成渝地区双城经济圈铁路网、遂宁至广安至黔江高铁、重庆至重庆铁路、珙县至叙永铁路等5个规划研究报告编制。</w:t>
            </w:r>
          </w:p>
        </w:tc>
      </w:tr>
      <w:tr>
        <w:tblPrEx>
          <w:tblCellMar>
            <w:top w:w="0" w:type="dxa"/>
            <w:left w:w="108" w:type="dxa"/>
            <w:bottom w:w="0" w:type="dxa"/>
            <w:right w:w="108" w:type="dxa"/>
          </w:tblCellMar>
        </w:tblPrEx>
        <w:trPr>
          <w:trHeight w:val="618" w:hRule="atLeast"/>
          <w:jc w:val="center"/>
        </w:trPr>
        <w:tc>
          <w:tcPr>
            <w:tcW w:w="352" w:type="pct"/>
            <w:vMerge w:val="restart"/>
            <w:tcBorders>
              <w:top w:val="single" w:color="000000" w:sz="4" w:space="0"/>
              <w:left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年度绩效指标完成情况</w:t>
            </w:r>
          </w:p>
        </w:tc>
        <w:tc>
          <w:tcPr>
            <w:tcW w:w="635" w:type="pct"/>
            <w:tcBorders>
              <w:top w:val="single" w:color="000000" w:sz="4" w:space="0"/>
              <w:left w:val="nil"/>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一级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71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二级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37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三级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预期指标值</w:t>
            </w:r>
          </w:p>
        </w:tc>
        <w:tc>
          <w:tcPr>
            <w:tcW w:w="106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实际完成指标值</w:t>
            </w:r>
          </w:p>
        </w:tc>
      </w:tr>
      <w:tr>
        <w:tblPrEx>
          <w:tblCellMar>
            <w:top w:w="0" w:type="dxa"/>
            <w:left w:w="108" w:type="dxa"/>
            <w:bottom w:w="0" w:type="dxa"/>
            <w:right w:w="108" w:type="dxa"/>
          </w:tblCellMar>
        </w:tblPrEx>
        <w:trPr>
          <w:trHeight w:val="480" w:hRule="atLeast"/>
          <w:jc w:val="center"/>
        </w:trPr>
        <w:tc>
          <w:tcPr>
            <w:tcW w:w="352"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5" w:type="pct"/>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完成</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71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数量指标</w:t>
            </w:r>
          </w:p>
        </w:tc>
        <w:tc>
          <w:tcPr>
            <w:tcW w:w="137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完成规划研究报告编制个数</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5</w:t>
            </w:r>
          </w:p>
        </w:tc>
        <w:tc>
          <w:tcPr>
            <w:tcW w:w="106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5</w:t>
            </w:r>
          </w:p>
        </w:tc>
      </w:tr>
      <w:tr>
        <w:tblPrEx>
          <w:tblCellMar>
            <w:top w:w="0" w:type="dxa"/>
            <w:left w:w="108" w:type="dxa"/>
            <w:bottom w:w="0" w:type="dxa"/>
            <w:right w:w="108" w:type="dxa"/>
          </w:tblCellMar>
        </w:tblPrEx>
        <w:trPr>
          <w:trHeight w:val="480" w:hRule="atLeast"/>
          <w:jc w:val="center"/>
        </w:trPr>
        <w:tc>
          <w:tcPr>
            <w:tcW w:w="352"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5" w:type="pct"/>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71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质量指标</w:t>
            </w:r>
          </w:p>
        </w:tc>
        <w:tc>
          <w:tcPr>
            <w:tcW w:w="137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规划研究报告通过专家评审</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通过</w:t>
            </w:r>
          </w:p>
        </w:tc>
        <w:tc>
          <w:tcPr>
            <w:tcW w:w="106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通过</w:t>
            </w:r>
          </w:p>
        </w:tc>
      </w:tr>
      <w:tr>
        <w:tblPrEx>
          <w:tblCellMar>
            <w:top w:w="0" w:type="dxa"/>
            <w:left w:w="108" w:type="dxa"/>
            <w:bottom w:w="0" w:type="dxa"/>
            <w:right w:w="108" w:type="dxa"/>
          </w:tblCellMar>
        </w:tblPrEx>
        <w:trPr>
          <w:trHeight w:val="480" w:hRule="atLeast"/>
          <w:jc w:val="center"/>
        </w:trPr>
        <w:tc>
          <w:tcPr>
            <w:tcW w:w="352"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5" w:type="pct"/>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71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时效指标</w:t>
            </w:r>
          </w:p>
        </w:tc>
        <w:tc>
          <w:tcPr>
            <w:tcW w:w="137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2020年底前</w:t>
            </w:r>
          </w:p>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完成</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2020年底前完成</w:t>
            </w:r>
          </w:p>
        </w:tc>
        <w:tc>
          <w:tcPr>
            <w:tcW w:w="106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已完成</w:t>
            </w:r>
          </w:p>
        </w:tc>
      </w:tr>
      <w:tr>
        <w:tblPrEx>
          <w:tblCellMar>
            <w:top w:w="0" w:type="dxa"/>
            <w:left w:w="108" w:type="dxa"/>
            <w:bottom w:w="0" w:type="dxa"/>
            <w:right w:w="108" w:type="dxa"/>
          </w:tblCellMar>
        </w:tblPrEx>
        <w:trPr>
          <w:trHeight w:val="1060" w:hRule="atLeast"/>
          <w:jc w:val="center"/>
        </w:trPr>
        <w:tc>
          <w:tcPr>
            <w:tcW w:w="352"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5" w:type="pct"/>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效益</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71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社会效益</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37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助推项目沿线地方经济社会加快发展</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助推项目沿线地方经济社会加快发展</w:t>
            </w:r>
          </w:p>
        </w:tc>
        <w:tc>
          <w:tcPr>
            <w:tcW w:w="106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对指导项目前期工作，助推沿线地方经济社会发展具有较强指导意义</w:t>
            </w:r>
          </w:p>
        </w:tc>
      </w:tr>
      <w:tr>
        <w:tblPrEx>
          <w:tblCellMar>
            <w:top w:w="0" w:type="dxa"/>
            <w:left w:w="108" w:type="dxa"/>
            <w:bottom w:w="0" w:type="dxa"/>
            <w:right w:w="108" w:type="dxa"/>
          </w:tblCellMar>
        </w:tblPrEx>
        <w:trPr>
          <w:trHeight w:val="1045" w:hRule="atLeast"/>
          <w:jc w:val="center"/>
        </w:trPr>
        <w:tc>
          <w:tcPr>
            <w:tcW w:w="352"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5" w:type="pct"/>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71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可持续影响</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w:t>
            </w:r>
          </w:p>
        </w:tc>
        <w:tc>
          <w:tcPr>
            <w:tcW w:w="137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推动省“十四五”期铁路建设接续发展</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推动省“十四五”期铁路建设接续发展</w:t>
            </w:r>
          </w:p>
        </w:tc>
        <w:tc>
          <w:tcPr>
            <w:tcW w:w="106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对推动省“十四五”期铁路建设接续发展具有较强指导意义</w:t>
            </w:r>
          </w:p>
        </w:tc>
      </w:tr>
      <w:tr>
        <w:tblPrEx>
          <w:tblCellMar>
            <w:top w:w="0" w:type="dxa"/>
            <w:left w:w="108" w:type="dxa"/>
            <w:bottom w:w="0" w:type="dxa"/>
            <w:right w:w="108" w:type="dxa"/>
          </w:tblCellMar>
        </w:tblPrEx>
        <w:trPr>
          <w:trHeight w:val="480" w:hRule="atLeast"/>
          <w:jc w:val="center"/>
        </w:trPr>
        <w:tc>
          <w:tcPr>
            <w:tcW w:w="352" w:type="pct"/>
            <w:vMerge w:val="continue"/>
            <w:tcBorders>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满意度指标</w:t>
            </w:r>
          </w:p>
        </w:tc>
        <w:tc>
          <w:tcPr>
            <w:tcW w:w="71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37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100%</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100%</w:t>
            </w:r>
          </w:p>
        </w:tc>
        <w:tc>
          <w:tcPr>
            <w:tcW w:w="1061"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100%</w:t>
            </w:r>
          </w:p>
        </w:tc>
      </w:tr>
    </w:tbl>
    <w:p>
      <w:pPr>
        <w:rPr>
          <w:rFonts w:hint="default" w:ascii="Times New Roman" w:hAnsi="Times New Roman" w:cs="Times New Roman"/>
          <w:color w:val="auto"/>
        </w:rPr>
      </w:pPr>
    </w:p>
    <w:p>
      <w:pPr>
        <w:pStyle w:val="7"/>
        <w:rPr>
          <w:rFonts w:hint="default" w:ascii="Times New Roman" w:hAnsi="Times New Roman" w:cs="Times New Roman"/>
          <w:color w:val="auto"/>
        </w:rPr>
      </w:pPr>
    </w:p>
    <w:tbl>
      <w:tblPr>
        <w:tblStyle w:val="21"/>
        <w:tblpPr w:leftFromText="180" w:rightFromText="180" w:vertAnchor="text" w:horzAnchor="page" w:tblpXSpec="center" w:tblpY="1"/>
        <w:tblOverlap w:val="never"/>
        <w:tblW w:w="5198" w:type="pct"/>
        <w:jc w:val="center"/>
        <w:tblLayout w:type="fixed"/>
        <w:tblCellMar>
          <w:top w:w="0" w:type="dxa"/>
          <w:left w:w="108" w:type="dxa"/>
          <w:bottom w:w="0" w:type="dxa"/>
          <w:right w:w="108" w:type="dxa"/>
        </w:tblCellMar>
      </w:tblPr>
      <w:tblGrid>
        <w:gridCol w:w="663"/>
        <w:gridCol w:w="1240"/>
        <w:gridCol w:w="1494"/>
        <w:gridCol w:w="2448"/>
        <w:gridCol w:w="1583"/>
        <w:gridCol w:w="1992"/>
      </w:tblGrid>
      <w:tr>
        <w:tblPrEx>
          <w:tblCellMar>
            <w:top w:w="0" w:type="dxa"/>
            <w:left w:w="108" w:type="dxa"/>
            <w:bottom w:w="0" w:type="dxa"/>
            <w:right w:w="108" w:type="dxa"/>
          </w:tblCellMar>
        </w:tblPrEx>
        <w:trPr>
          <w:trHeight w:val="1130" w:hRule="atLeast"/>
          <w:jc w:val="center"/>
        </w:trPr>
        <w:tc>
          <w:tcPr>
            <w:tcW w:w="5000" w:type="pct"/>
            <w:gridSpan w:val="6"/>
            <w:tcBorders>
              <w:top w:val="nil"/>
              <w:left w:val="nil"/>
              <w:bottom w:val="nil"/>
              <w:right w:val="nil"/>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方正小标宋简体" w:cs="Times New Roman"/>
                <w:bCs/>
                <w:color w:val="auto"/>
                <w:sz w:val="32"/>
                <w:szCs w:val="32"/>
              </w:rPr>
            </w:pPr>
            <w:r>
              <w:rPr>
                <w:rFonts w:hint="default" w:ascii="Times New Roman" w:hAnsi="Times New Roman" w:eastAsia="方正小标宋简体" w:cs="Times New Roman"/>
                <w:bCs/>
                <w:color w:val="auto"/>
                <w:sz w:val="28"/>
                <w:szCs w:val="28"/>
              </w:rPr>
              <w:t>2021年100万以上（含）特定目标类部门预算项目绩效目标自评</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b/>
                <w:color w:val="auto"/>
                <w:sz w:val="32"/>
                <w:szCs w:val="32"/>
              </w:rPr>
            </w:pPr>
            <w:r>
              <w:rPr>
                <w:rFonts w:hint="default" w:ascii="Times New Roman" w:hAnsi="Times New Roman" w:eastAsia="仿宋_GB2312" w:cs="Times New Roman"/>
                <w:bCs/>
                <w:color w:val="auto"/>
                <w:sz w:val="28"/>
                <w:szCs w:val="28"/>
              </w:rPr>
              <w:t>〔</w:t>
            </w:r>
            <w:r>
              <w:rPr>
                <w:rFonts w:hint="default" w:ascii="Times New Roman" w:hAnsi="Times New Roman" w:eastAsia="方正小标宋简体" w:cs="Times New Roman"/>
                <w:bCs/>
                <w:color w:val="auto"/>
                <w:sz w:val="28"/>
                <w:szCs w:val="28"/>
              </w:rPr>
              <w:t>四川省营商环境评价项目（上年结转）</w:t>
            </w:r>
            <w:r>
              <w:rPr>
                <w:rFonts w:hint="default" w:ascii="Times New Roman" w:hAnsi="Times New Roman" w:eastAsia="仿宋_GB2312" w:cs="Times New Roman"/>
                <w:bCs/>
                <w:color w:val="auto"/>
                <w:sz w:val="28"/>
                <w:szCs w:val="28"/>
              </w:rPr>
              <w:t>〕</w:t>
            </w:r>
          </w:p>
        </w:tc>
      </w:tr>
      <w:tr>
        <w:tblPrEx>
          <w:tblCellMar>
            <w:top w:w="0" w:type="dxa"/>
            <w:left w:w="108" w:type="dxa"/>
            <w:bottom w:w="0" w:type="dxa"/>
            <w:right w:w="108" w:type="dxa"/>
          </w:tblCellMar>
        </w:tblPrEx>
        <w:trPr>
          <w:trHeight w:val="574" w:hRule="atLeast"/>
          <w:jc w:val="center"/>
        </w:trPr>
        <w:tc>
          <w:tcPr>
            <w:tcW w:w="1010"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主管部门及代码</w:t>
            </w:r>
          </w:p>
        </w:tc>
        <w:tc>
          <w:tcPr>
            <w:tcW w:w="2092"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303-四川省发展和改革委员会</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实施单位</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四川省发展和改革委员会机关</w:t>
            </w:r>
          </w:p>
        </w:tc>
      </w:tr>
      <w:tr>
        <w:tblPrEx>
          <w:tblCellMar>
            <w:top w:w="0" w:type="dxa"/>
            <w:left w:w="108" w:type="dxa"/>
            <w:bottom w:w="0" w:type="dxa"/>
            <w:right w:w="108" w:type="dxa"/>
          </w:tblCellMar>
        </w:tblPrEx>
        <w:trPr>
          <w:trHeight w:val="318" w:hRule="atLeast"/>
          <w:jc w:val="center"/>
        </w:trPr>
        <w:tc>
          <w:tcPr>
            <w:tcW w:w="1010"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项目预算</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执行情况</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（万元）</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预算数：</w:t>
            </w:r>
          </w:p>
        </w:tc>
        <w:tc>
          <w:tcPr>
            <w:tcW w:w="129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150</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 xml:space="preserve"> 执行数：</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146</w:t>
            </w:r>
          </w:p>
        </w:tc>
      </w:tr>
      <w:tr>
        <w:tblPrEx>
          <w:tblCellMar>
            <w:top w:w="0" w:type="dxa"/>
            <w:left w:w="108" w:type="dxa"/>
            <w:bottom w:w="0" w:type="dxa"/>
            <w:right w:w="108" w:type="dxa"/>
          </w:tblCellMar>
        </w:tblPrEx>
        <w:trPr>
          <w:trHeight w:val="574" w:hRule="atLeast"/>
          <w:jc w:val="center"/>
        </w:trPr>
        <w:tc>
          <w:tcPr>
            <w:tcW w:w="1010"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79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129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150</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146</w:t>
            </w:r>
          </w:p>
        </w:tc>
      </w:tr>
      <w:tr>
        <w:tblPrEx>
          <w:tblCellMar>
            <w:top w:w="0" w:type="dxa"/>
            <w:left w:w="108" w:type="dxa"/>
            <w:bottom w:w="0" w:type="dxa"/>
            <w:right w:w="108" w:type="dxa"/>
          </w:tblCellMar>
        </w:tblPrEx>
        <w:trPr>
          <w:trHeight w:val="318" w:hRule="atLeast"/>
          <w:jc w:val="center"/>
        </w:trPr>
        <w:tc>
          <w:tcPr>
            <w:tcW w:w="1010"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79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129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p>
        </w:tc>
        <w:tc>
          <w:tcPr>
            <w:tcW w:w="84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p>
        </w:tc>
      </w:tr>
      <w:tr>
        <w:tblPrEx>
          <w:tblCellMar>
            <w:top w:w="0" w:type="dxa"/>
            <w:left w:w="108" w:type="dxa"/>
            <w:bottom w:w="0" w:type="dxa"/>
            <w:right w:w="108" w:type="dxa"/>
          </w:tblCellMar>
        </w:tblPrEx>
        <w:trPr>
          <w:trHeight w:val="292" w:hRule="atLeast"/>
          <w:jc w:val="center"/>
        </w:trPr>
        <w:tc>
          <w:tcPr>
            <w:tcW w:w="351" w:type="pct"/>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年度总体目标完成情况</w:t>
            </w:r>
          </w:p>
        </w:tc>
        <w:tc>
          <w:tcPr>
            <w:tcW w:w="2750" w:type="pct"/>
            <w:gridSpan w:val="3"/>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预期目标</w:t>
            </w:r>
          </w:p>
        </w:tc>
        <w:tc>
          <w:tcPr>
            <w:tcW w:w="1897"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目标实际完成情况</w:t>
            </w:r>
          </w:p>
        </w:tc>
      </w:tr>
      <w:tr>
        <w:tblPrEx>
          <w:tblCellMar>
            <w:top w:w="0" w:type="dxa"/>
            <w:left w:w="108" w:type="dxa"/>
            <w:bottom w:w="0" w:type="dxa"/>
            <w:right w:w="108" w:type="dxa"/>
          </w:tblCellMar>
        </w:tblPrEx>
        <w:trPr>
          <w:trHeight w:val="2269" w:hRule="atLeast"/>
          <w:jc w:val="center"/>
        </w:trPr>
        <w:tc>
          <w:tcPr>
            <w:tcW w:w="351" w:type="pct"/>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2750" w:type="pct"/>
            <w:gridSpan w:val="3"/>
            <w:tcBorders>
              <w:top w:val="single" w:color="000000" w:sz="4" w:space="0"/>
              <w:left w:val="single" w:color="000000" w:sz="4" w:space="0"/>
              <w:bottom w:val="single" w:color="000000" w:sz="4" w:space="0"/>
              <w:right w:val="single" w:color="000000" w:sz="4" w:space="0"/>
            </w:tcBorders>
            <w:noWrap/>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开展营商环境评价，“以评促改、以评促优、辅评结合”推动形成市（州）间竞相优化营商环境的良好氛围，更好地聚焦市场需求、改善监管服务、激发主体活力，打造具有示范效应的营商环境高地，为市场主体投资兴业营造稳定、公平、透明、可预期的法治化、国际化、便利化营商环境。同时，为四川省高质量发展综合绩效评价“营商便利度”指标提供评价依据，推动四川经济社会高质量发展。</w:t>
            </w:r>
          </w:p>
        </w:tc>
        <w:tc>
          <w:tcPr>
            <w:tcW w:w="1897" w:type="pct"/>
            <w:gridSpan w:val="2"/>
            <w:tcBorders>
              <w:top w:val="single" w:color="000000" w:sz="4" w:space="0"/>
              <w:left w:val="single" w:color="000000" w:sz="4" w:space="0"/>
              <w:bottom w:val="single" w:color="000000" w:sz="4" w:space="0"/>
              <w:right w:val="single" w:color="000000" w:sz="4" w:space="0"/>
            </w:tcBorders>
            <w:noWrap/>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完成营商环境评价，形成《四川省营商环境评价报告（2020年度）》《2020年四川省营商环境评价指标分册报告》，年度报告报送省政府通过。其他相关资料送市州政府，为各地优化营商环境提供决策依据。</w:t>
            </w:r>
          </w:p>
        </w:tc>
      </w:tr>
      <w:tr>
        <w:tblPrEx>
          <w:tblCellMar>
            <w:top w:w="0" w:type="dxa"/>
            <w:left w:w="108" w:type="dxa"/>
            <w:bottom w:w="0" w:type="dxa"/>
            <w:right w:w="108" w:type="dxa"/>
          </w:tblCellMar>
        </w:tblPrEx>
        <w:trPr>
          <w:trHeight w:val="574" w:hRule="atLeast"/>
          <w:jc w:val="center"/>
        </w:trPr>
        <w:tc>
          <w:tcPr>
            <w:tcW w:w="351" w:type="pct"/>
            <w:vMerge w:val="restart"/>
            <w:tcBorders>
              <w:top w:val="single" w:color="000000" w:sz="4" w:space="0"/>
              <w:left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年度绩效指标完成情况</w:t>
            </w:r>
          </w:p>
        </w:tc>
        <w:tc>
          <w:tcPr>
            <w:tcW w:w="658" w:type="pct"/>
            <w:tcBorders>
              <w:top w:val="single" w:color="000000" w:sz="4" w:space="0"/>
              <w:left w:val="nil"/>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一级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二级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29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三级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预期指标值</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实际完成指标值</w:t>
            </w:r>
          </w:p>
        </w:tc>
      </w:tr>
      <w:tr>
        <w:tblPrEx>
          <w:tblCellMar>
            <w:top w:w="0" w:type="dxa"/>
            <w:left w:w="108" w:type="dxa"/>
            <w:bottom w:w="0" w:type="dxa"/>
            <w:right w:w="108" w:type="dxa"/>
          </w:tblCellMar>
        </w:tblPrEx>
        <w:trPr>
          <w:trHeight w:val="1987" w:hRule="atLeast"/>
          <w:jc w:val="center"/>
        </w:trPr>
        <w:tc>
          <w:tcPr>
            <w:tcW w:w="351"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58" w:type="pct"/>
            <w:vMerge w:val="restart"/>
            <w:tcBorders>
              <w:top w:val="single" w:color="000000" w:sz="4" w:space="0"/>
              <w:left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完成</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数量指标</w:t>
            </w:r>
          </w:p>
        </w:tc>
        <w:tc>
          <w:tcPr>
            <w:tcW w:w="129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形成《四川省营商环境评价报告（2020年度）》《2020年四川省营商环境评价指标分册报告》</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形成《四川省营商环境评价报告（2020年度）》《2020年四川省营商环境评价指标分册报告》</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形成《四川省营商环境评价报告（2020年度）》《2020年四川省营商环境评价指标分册报告》</w:t>
            </w:r>
          </w:p>
        </w:tc>
      </w:tr>
      <w:tr>
        <w:tblPrEx>
          <w:tblCellMar>
            <w:top w:w="0" w:type="dxa"/>
            <w:left w:w="108" w:type="dxa"/>
            <w:bottom w:w="0" w:type="dxa"/>
            <w:right w:w="108" w:type="dxa"/>
          </w:tblCellMar>
        </w:tblPrEx>
        <w:trPr>
          <w:trHeight w:val="444" w:hRule="atLeast"/>
          <w:jc w:val="center"/>
        </w:trPr>
        <w:tc>
          <w:tcPr>
            <w:tcW w:w="351"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58"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79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质量指标</w:t>
            </w:r>
          </w:p>
        </w:tc>
        <w:tc>
          <w:tcPr>
            <w:tcW w:w="129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通过专家评审 </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通过专家评审</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通过专家评审 </w:t>
            </w:r>
          </w:p>
        </w:tc>
      </w:tr>
      <w:tr>
        <w:tblPrEx>
          <w:tblCellMar>
            <w:top w:w="0" w:type="dxa"/>
            <w:left w:w="108" w:type="dxa"/>
            <w:bottom w:w="0" w:type="dxa"/>
            <w:right w:w="108" w:type="dxa"/>
          </w:tblCellMar>
        </w:tblPrEx>
        <w:trPr>
          <w:trHeight w:val="574" w:hRule="atLeast"/>
          <w:jc w:val="center"/>
        </w:trPr>
        <w:tc>
          <w:tcPr>
            <w:tcW w:w="351"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58"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79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时效指标</w:t>
            </w:r>
          </w:p>
        </w:tc>
        <w:tc>
          <w:tcPr>
            <w:tcW w:w="129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按计划时间完成评价</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2021年3月报送省政府 </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2021年3月报送省政府 </w:t>
            </w:r>
          </w:p>
        </w:tc>
      </w:tr>
      <w:tr>
        <w:tblPrEx>
          <w:tblCellMar>
            <w:top w:w="0" w:type="dxa"/>
            <w:left w:w="108" w:type="dxa"/>
            <w:bottom w:w="0" w:type="dxa"/>
            <w:right w:w="108" w:type="dxa"/>
          </w:tblCellMar>
        </w:tblPrEx>
        <w:trPr>
          <w:trHeight w:val="574" w:hRule="atLeast"/>
          <w:jc w:val="center"/>
        </w:trPr>
        <w:tc>
          <w:tcPr>
            <w:tcW w:w="351"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58" w:type="pct"/>
            <w:vMerge w:val="continue"/>
            <w:tcBorders>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p>
        </w:tc>
        <w:tc>
          <w:tcPr>
            <w:tcW w:w="79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成本指标</w:t>
            </w:r>
          </w:p>
        </w:tc>
        <w:tc>
          <w:tcPr>
            <w:tcW w:w="129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控制在150万元以内 </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控制在150万元以内 </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146万 </w:t>
            </w:r>
          </w:p>
        </w:tc>
      </w:tr>
      <w:tr>
        <w:tblPrEx>
          <w:tblCellMar>
            <w:top w:w="0" w:type="dxa"/>
            <w:left w:w="108" w:type="dxa"/>
            <w:bottom w:w="0" w:type="dxa"/>
            <w:right w:w="108" w:type="dxa"/>
          </w:tblCellMar>
        </w:tblPrEx>
        <w:trPr>
          <w:trHeight w:val="857" w:hRule="atLeast"/>
          <w:jc w:val="center"/>
        </w:trPr>
        <w:tc>
          <w:tcPr>
            <w:tcW w:w="351"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58" w:type="pct"/>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效益</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社会效益</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w:t>
            </w:r>
          </w:p>
        </w:tc>
        <w:tc>
          <w:tcPr>
            <w:tcW w:w="129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促进地方经济社会高质量发展 </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促进地方经济社会高质量发展</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促进地方经济社会高质量发展</w:t>
            </w:r>
          </w:p>
        </w:tc>
      </w:tr>
      <w:tr>
        <w:tblPrEx>
          <w:tblCellMar>
            <w:top w:w="0" w:type="dxa"/>
            <w:left w:w="108" w:type="dxa"/>
            <w:bottom w:w="0" w:type="dxa"/>
            <w:right w:w="108" w:type="dxa"/>
          </w:tblCellMar>
        </w:tblPrEx>
        <w:trPr>
          <w:trHeight w:val="857" w:hRule="atLeast"/>
          <w:jc w:val="center"/>
        </w:trPr>
        <w:tc>
          <w:tcPr>
            <w:tcW w:w="351" w:type="pct"/>
            <w:vMerge w:val="continue"/>
            <w:tcBorders>
              <w:left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58" w:type="pct"/>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79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可持续影响指标</w:t>
            </w:r>
          </w:p>
        </w:tc>
        <w:tc>
          <w:tcPr>
            <w:tcW w:w="129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推动全省营商环境建设再上新台阶 </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推动全省营商环境建设再上新台阶 </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推动全省营商环境建设再上新台阶 </w:t>
            </w:r>
          </w:p>
        </w:tc>
      </w:tr>
      <w:tr>
        <w:tblPrEx>
          <w:tblCellMar>
            <w:top w:w="0" w:type="dxa"/>
            <w:left w:w="108" w:type="dxa"/>
            <w:bottom w:w="0" w:type="dxa"/>
            <w:right w:w="108" w:type="dxa"/>
          </w:tblCellMar>
        </w:tblPrEx>
        <w:trPr>
          <w:trHeight w:val="584" w:hRule="atLeast"/>
          <w:jc w:val="center"/>
        </w:trPr>
        <w:tc>
          <w:tcPr>
            <w:tcW w:w="351" w:type="pct"/>
            <w:vMerge w:val="continue"/>
            <w:tcBorders>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5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满意度指标</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w:t>
            </w:r>
          </w:p>
        </w:tc>
        <w:tc>
          <w:tcPr>
            <w:tcW w:w="129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满意度</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r>
    </w:tbl>
    <w:p>
      <w:pPr>
        <w:rPr>
          <w:rFonts w:hint="default" w:ascii="Times New Roman" w:hAnsi="Times New Roman" w:cs="Times New Roman"/>
          <w:color w:val="auto"/>
        </w:rPr>
      </w:pPr>
    </w:p>
    <w:tbl>
      <w:tblPr>
        <w:tblStyle w:val="21"/>
        <w:tblpPr w:leftFromText="180" w:rightFromText="180" w:vertAnchor="text" w:horzAnchor="page" w:tblpX="1361" w:tblpY="913"/>
        <w:tblOverlap w:val="never"/>
        <w:tblW w:w="5198" w:type="pct"/>
        <w:jc w:val="center"/>
        <w:tblLayout w:type="fixed"/>
        <w:tblCellMar>
          <w:top w:w="0" w:type="dxa"/>
          <w:left w:w="108" w:type="dxa"/>
          <w:bottom w:w="0" w:type="dxa"/>
          <w:right w:w="108" w:type="dxa"/>
        </w:tblCellMar>
      </w:tblPr>
      <w:tblGrid>
        <w:gridCol w:w="699"/>
        <w:gridCol w:w="1090"/>
        <w:gridCol w:w="1202"/>
        <w:gridCol w:w="2391"/>
        <w:gridCol w:w="1488"/>
        <w:gridCol w:w="2550"/>
      </w:tblGrid>
      <w:tr>
        <w:tblPrEx>
          <w:tblCellMar>
            <w:top w:w="0" w:type="dxa"/>
            <w:left w:w="108" w:type="dxa"/>
            <w:bottom w:w="0" w:type="dxa"/>
            <w:right w:w="108" w:type="dxa"/>
          </w:tblCellMar>
        </w:tblPrEx>
        <w:trPr>
          <w:trHeight w:val="1765" w:hRule="atLeast"/>
          <w:jc w:val="center"/>
        </w:trPr>
        <w:tc>
          <w:tcPr>
            <w:tcW w:w="5000" w:type="pct"/>
            <w:gridSpan w:val="6"/>
            <w:tcBorders>
              <w:top w:val="nil"/>
              <w:left w:val="nil"/>
              <w:bottom w:val="nil"/>
              <w:right w:val="nil"/>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方正小标宋简体" w:cs="Times New Roman"/>
                <w:bCs/>
                <w:color w:val="auto"/>
                <w:sz w:val="32"/>
                <w:szCs w:val="32"/>
              </w:rPr>
            </w:pPr>
            <w:r>
              <w:rPr>
                <w:rFonts w:hint="default" w:ascii="Times New Roman" w:hAnsi="Times New Roman" w:eastAsia="方正小标宋简体" w:cs="Times New Roman"/>
                <w:bCs/>
                <w:color w:val="auto"/>
                <w:sz w:val="28"/>
                <w:szCs w:val="28"/>
              </w:rPr>
              <w:t>2021年100万以上（含）特定目标类部门预算项目绩效目标自评</w:t>
            </w:r>
          </w:p>
          <w:p>
            <w:pPr>
              <w:pageBreakBefore w:val="0"/>
              <w:widowControl/>
              <w:kinsoku/>
              <w:wordWrap/>
              <w:overflowPunct/>
              <w:topLinePunct w:val="0"/>
              <w:bidi w:val="0"/>
              <w:spacing w:line="240" w:lineRule="auto"/>
              <w:jc w:val="center"/>
              <w:textAlignment w:val="center"/>
              <w:rPr>
                <w:rFonts w:hint="default" w:ascii="Times New Roman" w:hAnsi="Times New Roman" w:cs="Times New Roman"/>
                <w:b/>
                <w:color w:val="auto"/>
                <w:sz w:val="32"/>
                <w:szCs w:val="32"/>
              </w:rPr>
            </w:pPr>
            <w:r>
              <w:rPr>
                <w:rFonts w:hint="default" w:ascii="Times New Roman" w:hAnsi="Times New Roman" w:eastAsia="仿宋_GB2312" w:cs="Times New Roman"/>
                <w:bCs/>
                <w:color w:val="auto"/>
                <w:sz w:val="28"/>
                <w:szCs w:val="28"/>
              </w:rPr>
              <w:t>〔</w:t>
            </w:r>
            <w:r>
              <w:rPr>
                <w:rFonts w:hint="default" w:ascii="Times New Roman" w:hAnsi="Times New Roman" w:eastAsia="方正小标宋简体" w:cs="Times New Roman"/>
                <w:bCs/>
                <w:color w:val="auto"/>
                <w:sz w:val="28"/>
                <w:szCs w:val="28"/>
              </w:rPr>
              <w:t>省直机关办公用房维修专项项目（上年结转）</w:t>
            </w:r>
            <w:r>
              <w:rPr>
                <w:rFonts w:hint="default" w:ascii="Times New Roman" w:hAnsi="Times New Roman" w:eastAsia="仿宋_GB2312" w:cs="Times New Roman"/>
                <w:bCs/>
                <w:color w:val="auto"/>
                <w:sz w:val="28"/>
                <w:szCs w:val="28"/>
              </w:rPr>
              <w:t>〕</w:t>
            </w:r>
          </w:p>
        </w:tc>
      </w:tr>
      <w:tr>
        <w:tblPrEx>
          <w:tblCellMar>
            <w:top w:w="0" w:type="dxa"/>
            <w:left w:w="108" w:type="dxa"/>
            <w:bottom w:w="0" w:type="dxa"/>
            <w:right w:w="108" w:type="dxa"/>
          </w:tblCellMar>
        </w:tblPrEx>
        <w:trPr>
          <w:trHeight w:val="598" w:hRule="atLeast"/>
          <w:jc w:val="center"/>
        </w:trPr>
        <w:tc>
          <w:tcPr>
            <w:tcW w:w="949"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主管部门及代码</w:t>
            </w:r>
          </w:p>
        </w:tc>
        <w:tc>
          <w:tcPr>
            <w:tcW w:w="1907"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303-四川省发展和改革委员会</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实施单位</w:t>
            </w:r>
          </w:p>
        </w:tc>
        <w:tc>
          <w:tcPr>
            <w:tcW w:w="1353"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四川省发展和改革委员会机关</w:t>
            </w:r>
          </w:p>
        </w:tc>
      </w:tr>
      <w:tr>
        <w:tblPrEx>
          <w:tblCellMar>
            <w:top w:w="0" w:type="dxa"/>
            <w:left w:w="108" w:type="dxa"/>
            <w:bottom w:w="0" w:type="dxa"/>
            <w:right w:w="108" w:type="dxa"/>
          </w:tblCellMar>
        </w:tblPrEx>
        <w:trPr>
          <w:trHeight w:val="304" w:hRule="atLeast"/>
          <w:jc w:val="center"/>
        </w:trPr>
        <w:tc>
          <w:tcPr>
            <w:tcW w:w="949"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项目预算</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执行情况</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（万元）</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预算数：</w:t>
            </w:r>
          </w:p>
        </w:tc>
        <w:tc>
          <w:tcPr>
            <w:tcW w:w="126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1058.61</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执行数：</w:t>
            </w:r>
          </w:p>
        </w:tc>
        <w:tc>
          <w:tcPr>
            <w:tcW w:w="1353"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1011.25</w:t>
            </w:r>
          </w:p>
        </w:tc>
      </w:tr>
      <w:tr>
        <w:tblPrEx>
          <w:tblCellMar>
            <w:top w:w="0" w:type="dxa"/>
            <w:left w:w="108" w:type="dxa"/>
            <w:bottom w:w="0" w:type="dxa"/>
            <w:right w:w="108" w:type="dxa"/>
          </w:tblCellMar>
        </w:tblPrEx>
        <w:trPr>
          <w:trHeight w:val="598" w:hRule="atLeast"/>
          <w:jc w:val="center"/>
        </w:trPr>
        <w:tc>
          <w:tcPr>
            <w:tcW w:w="949"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126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1058.61</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1353"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1011.25</w:t>
            </w:r>
          </w:p>
        </w:tc>
      </w:tr>
      <w:tr>
        <w:tblPrEx>
          <w:tblCellMar>
            <w:top w:w="0" w:type="dxa"/>
            <w:left w:w="108" w:type="dxa"/>
            <w:bottom w:w="0" w:type="dxa"/>
            <w:right w:w="108" w:type="dxa"/>
          </w:tblCellMar>
        </w:tblPrEx>
        <w:trPr>
          <w:trHeight w:val="304" w:hRule="atLeast"/>
          <w:jc w:val="center"/>
        </w:trPr>
        <w:tc>
          <w:tcPr>
            <w:tcW w:w="949"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8"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126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p>
        </w:tc>
        <w:tc>
          <w:tcPr>
            <w:tcW w:w="78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1353"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p>
        </w:tc>
      </w:tr>
      <w:tr>
        <w:tblPrEx>
          <w:tblCellMar>
            <w:top w:w="0" w:type="dxa"/>
            <w:left w:w="108" w:type="dxa"/>
            <w:bottom w:w="0" w:type="dxa"/>
            <w:right w:w="108" w:type="dxa"/>
          </w:tblCellMar>
        </w:tblPrEx>
        <w:trPr>
          <w:trHeight w:val="304" w:hRule="atLeast"/>
          <w:jc w:val="center"/>
        </w:trPr>
        <w:tc>
          <w:tcPr>
            <w:tcW w:w="371" w:type="pct"/>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年度总体目标完成情况</w:t>
            </w:r>
          </w:p>
        </w:tc>
        <w:tc>
          <w:tcPr>
            <w:tcW w:w="2485" w:type="pct"/>
            <w:gridSpan w:val="3"/>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预期目标</w:t>
            </w:r>
          </w:p>
        </w:tc>
        <w:tc>
          <w:tcPr>
            <w:tcW w:w="2143"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目标实际完成情况</w:t>
            </w:r>
          </w:p>
        </w:tc>
      </w:tr>
      <w:tr>
        <w:tblPrEx>
          <w:tblCellMar>
            <w:top w:w="0" w:type="dxa"/>
            <w:left w:w="108" w:type="dxa"/>
            <w:bottom w:w="0" w:type="dxa"/>
            <w:right w:w="108" w:type="dxa"/>
          </w:tblCellMar>
        </w:tblPrEx>
        <w:trPr>
          <w:trHeight w:val="2068" w:hRule="atLeast"/>
          <w:jc w:val="center"/>
        </w:trPr>
        <w:tc>
          <w:tcPr>
            <w:tcW w:w="371" w:type="pct"/>
            <w:vMerge w:val="continue"/>
            <w:tcBorders>
              <w:top w:val="single" w:color="000000" w:sz="4" w:space="0"/>
              <w:left w:val="single" w:color="000000" w:sz="4" w:space="0"/>
              <w:bottom w:val="single" w:color="auto" w:sz="4" w:space="0"/>
              <w:right w:val="single" w:color="000000"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2485" w:type="pct"/>
            <w:gridSpan w:val="3"/>
            <w:tcBorders>
              <w:top w:val="single" w:color="000000" w:sz="4" w:space="0"/>
              <w:left w:val="single" w:color="000000" w:sz="4" w:space="0"/>
              <w:bottom w:val="single" w:color="auto" w:sz="4" w:space="0"/>
              <w:right w:val="single" w:color="000000" w:sz="4" w:space="0"/>
            </w:tcBorders>
            <w:noWrap/>
            <w:vAlign w:val="center"/>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都会风尚地下停车场改造：原混凝土地面维修、拉毛、环氧树脂地坪面层施工，停车场智能系统改造升级；发展大厦大楼内墙面装饰装修：对出现开裂、变形、霉变的墙体部位进行维修翻新；发展大厦中央空调：优化调整发展大厦中央空调整体布局，更换老化的设备、配件及盘管，新增中央空调智能运行控制系统。</w:t>
            </w:r>
          </w:p>
        </w:tc>
        <w:tc>
          <w:tcPr>
            <w:tcW w:w="2143" w:type="pct"/>
            <w:gridSpan w:val="2"/>
            <w:tcBorders>
              <w:top w:val="single" w:color="000000" w:sz="4" w:space="0"/>
              <w:left w:val="single" w:color="000000" w:sz="4" w:space="0"/>
              <w:bottom w:val="single" w:color="auto" w:sz="4" w:space="0"/>
              <w:right w:val="single" w:color="000000" w:sz="4" w:space="0"/>
            </w:tcBorders>
            <w:noWrap/>
            <w:vAlign w:val="center"/>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全部按照既定计划全面完成。</w:t>
            </w:r>
          </w:p>
        </w:tc>
      </w:tr>
      <w:tr>
        <w:tblPrEx>
          <w:tblCellMar>
            <w:top w:w="0" w:type="dxa"/>
            <w:left w:w="108" w:type="dxa"/>
            <w:bottom w:w="0" w:type="dxa"/>
            <w:right w:w="108" w:type="dxa"/>
          </w:tblCellMar>
        </w:tblPrEx>
        <w:trPr>
          <w:trHeight w:val="598" w:hRule="atLeast"/>
          <w:jc w:val="center"/>
        </w:trPr>
        <w:tc>
          <w:tcPr>
            <w:tcW w:w="371" w:type="pct"/>
            <w:vMerge w:val="restar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年度绩效指标完成情况</w:t>
            </w:r>
          </w:p>
        </w:tc>
        <w:tc>
          <w:tcPr>
            <w:tcW w:w="57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一级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3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二级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26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三级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78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预期指</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标值</w:t>
            </w:r>
          </w:p>
        </w:tc>
        <w:tc>
          <w:tcPr>
            <w:tcW w:w="135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实际完成指标值</w:t>
            </w:r>
          </w:p>
        </w:tc>
      </w:tr>
      <w:tr>
        <w:tblPrEx>
          <w:tblCellMar>
            <w:top w:w="0" w:type="dxa"/>
            <w:left w:w="108" w:type="dxa"/>
            <w:bottom w:w="0" w:type="dxa"/>
            <w:right w:w="108" w:type="dxa"/>
          </w:tblCellMar>
        </w:tblPrEx>
        <w:trPr>
          <w:trHeight w:val="1186" w:hRule="atLeast"/>
          <w:jc w:val="center"/>
        </w:trPr>
        <w:tc>
          <w:tcPr>
            <w:tcW w:w="371"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78" w:type="pct"/>
            <w:vMerge w:val="restar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完成</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38" w:type="pct"/>
            <w:vMerge w:val="restar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数量指标</w:t>
            </w:r>
          </w:p>
        </w:tc>
        <w:tc>
          <w:tcPr>
            <w:tcW w:w="126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都会风尚地下停车场面积</w:t>
            </w:r>
          </w:p>
        </w:tc>
        <w:tc>
          <w:tcPr>
            <w:tcW w:w="78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负2楼、负3楼</w:t>
            </w:r>
          </w:p>
        </w:tc>
        <w:tc>
          <w:tcPr>
            <w:tcW w:w="135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负2楼、负3楼及出口全部完成，完成面积8975.97平方米。</w:t>
            </w:r>
          </w:p>
        </w:tc>
      </w:tr>
      <w:tr>
        <w:tblPrEx>
          <w:tblCellMar>
            <w:top w:w="0" w:type="dxa"/>
            <w:left w:w="108" w:type="dxa"/>
            <w:bottom w:w="0" w:type="dxa"/>
            <w:right w:w="108" w:type="dxa"/>
          </w:tblCellMar>
        </w:tblPrEx>
        <w:trPr>
          <w:trHeight w:val="598" w:hRule="atLeast"/>
          <w:jc w:val="center"/>
        </w:trPr>
        <w:tc>
          <w:tcPr>
            <w:tcW w:w="371"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78"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8"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p>
        </w:tc>
        <w:tc>
          <w:tcPr>
            <w:tcW w:w="126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内墙面面积</w:t>
            </w:r>
          </w:p>
        </w:tc>
        <w:tc>
          <w:tcPr>
            <w:tcW w:w="78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36400平方米</w:t>
            </w:r>
          </w:p>
        </w:tc>
        <w:tc>
          <w:tcPr>
            <w:tcW w:w="135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实施完成44593.81平方米。</w:t>
            </w:r>
          </w:p>
        </w:tc>
      </w:tr>
      <w:tr>
        <w:tblPrEx>
          <w:tblCellMar>
            <w:top w:w="0" w:type="dxa"/>
            <w:left w:w="108" w:type="dxa"/>
            <w:bottom w:w="0" w:type="dxa"/>
            <w:right w:w="108" w:type="dxa"/>
          </w:tblCellMar>
        </w:tblPrEx>
        <w:trPr>
          <w:trHeight w:val="598" w:hRule="atLeast"/>
          <w:jc w:val="center"/>
        </w:trPr>
        <w:tc>
          <w:tcPr>
            <w:tcW w:w="371"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78"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8"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p>
        </w:tc>
        <w:tc>
          <w:tcPr>
            <w:tcW w:w="126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中央空调楼层</w:t>
            </w:r>
          </w:p>
        </w:tc>
        <w:tc>
          <w:tcPr>
            <w:tcW w:w="78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发展大厦1-23楼</w:t>
            </w:r>
          </w:p>
        </w:tc>
        <w:tc>
          <w:tcPr>
            <w:tcW w:w="135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按照设计及财政评审全部完成。</w:t>
            </w:r>
          </w:p>
        </w:tc>
      </w:tr>
      <w:tr>
        <w:tblPrEx>
          <w:tblCellMar>
            <w:top w:w="0" w:type="dxa"/>
            <w:left w:w="108" w:type="dxa"/>
            <w:bottom w:w="0" w:type="dxa"/>
            <w:right w:w="108" w:type="dxa"/>
          </w:tblCellMar>
        </w:tblPrEx>
        <w:trPr>
          <w:trHeight w:val="1153" w:hRule="atLeast"/>
          <w:jc w:val="center"/>
        </w:trPr>
        <w:tc>
          <w:tcPr>
            <w:tcW w:w="371"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78"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8" w:type="pct"/>
            <w:vMerge w:val="restart"/>
            <w:tcBorders>
              <w:top w:val="single" w:color="auto" w:sz="4" w:space="0"/>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质量指标</w:t>
            </w:r>
          </w:p>
        </w:tc>
        <w:tc>
          <w:tcPr>
            <w:tcW w:w="126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成都市房屋建筑和市政基础设施工程质量监督管理实施细则</w:t>
            </w:r>
          </w:p>
        </w:tc>
        <w:tc>
          <w:tcPr>
            <w:tcW w:w="78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符合基础设施工程质量相关规定标准</w:t>
            </w:r>
          </w:p>
        </w:tc>
        <w:tc>
          <w:tcPr>
            <w:tcW w:w="135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满足国家相关规范要求。</w:t>
            </w:r>
          </w:p>
        </w:tc>
      </w:tr>
      <w:tr>
        <w:tblPrEx>
          <w:tblCellMar>
            <w:top w:w="0" w:type="dxa"/>
            <w:left w:w="108" w:type="dxa"/>
            <w:bottom w:w="0" w:type="dxa"/>
            <w:right w:w="108" w:type="dxa"/>
          </w:tblCellMar>
        </w:tblPrEx>
        <w:trPr>
          <w:trHeight w:val="1153" w:hRule="atLeast"/>
          <w:jc w:val="center"/>
        </w:trPr>
        <w:tc>
          <w:tcPr>
            <w:tcW w:w="371"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78"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8" w:type="pct"/>
            <w:vMerge w:val="continue"/>
            <w:tcBorders>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p>
        </w:tc>
        <w:tc>
          <w:tcPr>
            <w:tcW w:w="126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成都市建设工程质量标准化监督管理规程</w:t>
            </w:r>
          </w:p>
        </w:tc>
        <w:tc>
          <w:tcPr>
            <w:tcW w:w="78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符合基础设施工程质量相关规定标准</w:t>
            </w:r>
          </w:p>
        </w:tc>
        <w:tc>
          <w:tcPr>
            <w:tcW w:w="135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满足国家相关规范要求。</w:t>
            </w:r>
          </w:p>
        </w:tc>
      </w:tr>
      <w:tr>
        <w:tblPrEx>
          <w:tblCellMar>
            <w:top w:w="0" w:type="dxa"/>
            <w:left w:w="108" w:type="dxa"/>
            <w:bottom w:w="0" w:type="dxa"/>
            <w:right w:w="108" w:type="dxa"/>
          </w:tblCellMar>
        </w:tblPrEx>
        <w:trPr>
          <w:trHeight w:val="598" w:hRule="atLeast"/>
          <w:jc w:val="center"/>
        </w:trPr>
        <w:tc>
          <w:tcPr>
            <w:tcW w:w="371"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78"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时效指标</w:t>
            </w:r>
          </w:p>
        </w:tc>
        <w:tc>
          <w:tcPr>
            <w:tcW w:w="126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2021年年底前竣工</w:t>
            </w:r>
          </w:p>
        </w:tc>
        <w:tc>
          <w:tcPr>
            <w:tcW w:w="78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按时竣工</w:t>
            </w:r>
          </w:p>
        </w:tc>
        <w:tc>
          <w:tcPr>
            <w:tcW w:w="135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按照合同约定完成。</w:t>
            </w:r>
          </w:p>
        </w:tc>
      </w:tr>
      <w:tr>
        <w:tblPrEx>
          <w:tblCellMar>
            <w:top w:w="0" w:type="dxa"/>
            <w:left w:w="108" w:type="dxa"/>
            <w:bottom w:w="0" w:type="dxa"/>
            <w:right w:w="108" w:type="dxa"/>
          </w:tblCellMar>
        </w:tblPrEx>
        <w:trPr>
          <w:trHeight w:val="892" w:hRule="atLeast"/>
          <w:jc w:val="center"/>
        </w:trPr>
        <w:tc>
          <w:tcPr>
            <w:tcW w:w="371"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78" w:type="pct"/>
            <w:vMerge w:val="restart"/>
            <w:tcBorders>
              <w:top w:val="single" w:color="auto" w:sz="4" w:space="0"/>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效益</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38" w:type="pct"/>
            <w:vMerge w:val="restart"/>
            <w:tcBorders>
              <w:top w:val="single" w:color="auto" w:sz="4" w:space="0"/>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可持续影响指标</w:t>
            </w:r>
          </w:p>
        </w:tc>
        <w:tc>
          <w:tcPr>
            <w:tcW w:w="126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停车场改造，延长使用寿命，增加通勤停车效率</w:t>
            </w:r>
          </w:p>
        </w:tc>
        <w:tc>
          <w:tcPr>
            <w:tcW w:w="78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5年</w:t>
            </w:r>
          </w:p>
        </w:tc>
        <w:tc>
          <w:tcPr>
            <w:tcW w:w="135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8年以上。</w:t>
            </w:r>
          </w:p>
        </w:tc>
      </w:tr>
      <w:tr>
        <w:tblPrEx>
          <w:tblCellMar>
            <w:top w:w="0" w:type="dxa"/>
            <w:left w:w="108" w:type="dxa"/>
            <w:bottom w:w="0" w:type="dxa"/>
            <w:right w:w="108" w:type="dxa"/>
          </w:tblCellMar>
        </w:tblPrEx>
        <w:trPr>
          <w:trHeight w:val="598" w:hRule="atLeast"/>
          <w:jc w:val="center"/>
        </w:trPr>
        <w:tc>
          <w:tcPr>
            <w:tcW w:w="371"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ind w:firstLine="555"/>
              <w:jc w:val="left"/>
              <w:textAlignment w:val="bottom"/>
              <w:rPr>
                <w:rFonts w:hint="default" w:ascii="Times New Roman" w:hAnsi="Times New Roman" w:eastAsia="仿宋_GB2312" w:cs="Times New Roman"/>
                <w:color w:val="auto"/>
                <w:sz w:val="32"/>
                <w:szCs w:val="32"/>
              </w:rPr>
            </w:pPr>
          </w:p>
        </w:tc>
        <w:tc>
          <w:tcPr>
            <w:tcW w:w="578" w:type="pct"/>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ind w:firstLine="555"/>
              <w:jc w:val="left"/>
              <w:textAlignment w:val="bottom"/>
              <w:rPr>
                <w:rFonts w:hint="default" w:ascii="Times New Roman" w:hAnsi="Times New Roman" w:eastAsia="仿宋_GB2312" w:cs="Times New Roman"/>
                <w:color w:val="auto"/>
                <w:sz w:val="32"/>
                <w:szCs w:val="32"/>
              </w:rPr>
            </w:pPr>
          </w:p>
        </w:tc>
        <w:tc>
          <w:tcPr>
            <w:tcW w:w="638" w:type="pct"/>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ind w:firstLine="555"/>
              <w:jc w:val="left"/>
              <w:textAlignment w:val="bottom"/>
              <w:rPr>
                <w:rFonts w:hint="default" w:ascii="Times New Roman" w:hAnsi="Times New Roman" w:eastAsia="仿宋_GB2312" w:cs="Times New Roman"/>
                <w:color w:val="auto"/>
                <w:sz w:val="32"/>
                <w:szCs w:val="32"/>
              </w:rPr>
            </w:pPr>
          </w:p>
        </w:tc>
        <w:tc>
          <w:tcPr>
            <w:tcW w:w="126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内墙面改造，满足办公需要</w:t>
            </w:r>
          </w:p>
        </w:tc>
        <w:tc>
          <w:tcPr>
            <w:tcW w:w="78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5年</w:t>
            </w:r>
          </w:p>
        </w:tc>
        <w:tc>
          <w:tcPr>
            <w:tcW w:w="135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ind w:firstLine="764" w:firstLineChars="364"/>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8-10年。</w:t>
            </w:r>
          </w:p>
        </w:tc>
      </w:tr>
      <w:tr>
        <w:tblPrEx>
          <w:tblCellMar>
            <w:top w:w="0" w:type="dxa"/>
            <w:left w:w="108" w:type="dxa"/>
            <w:bottom w:w="0" w:type="dxa"/>
            <w:right w:w="108" w:type="dxa"/>
          </w:tblCellMar>
        </w:tblPrEx>
        <w:trPr>
          <w:trHeight w:val="892" w:hRule="atLeast"/>
          <w:jc w:val="center"/>
        </w:trPr>
        <w:tc>
          <w:tcPr>
            <w:tcW w:w="371" w:type="pct"/>
            <w:vMerge w:val="continue"/>
            <w:tcBorders>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ind w:firstLine="555"/>
              <w:jc w:val="left"/>
              <w:textAlignment w:val="bottom"/>
              <w:rPr>
                <w:rFonts w:hint="default" w:ascii="Times New Roman" w:hAnsi="Times New Roman" w:eastAsia="仿宋_GB2312" w:cs="Times New Roman"/>
                <w:color w:val="auto"/>
                <w:szCs w:val="21"/>
              </w:rPr>
            </w:pPr>
          </w:p>
        </w:tc>
        <w:tc>
          <w:tcPr>
            <w:tcW w:w="578" w:type="pct"/>
            <w:vMerge w:val="continue"/>
            <w:tcBorders>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ind w:firstLine="555"/>
              <w:jc w:val="left"/>
              <w:textAlignment w:val="bottom"/>
              <w:rPr>
                <w:rFonts w:hint="default" w:ascii="Times New Roman" w:hAnsi="Times New Roman" w:eastAsia="仿宋_GB2312" w:cs="Times New Roman"/>
                <w:color w:val="auto"/>
                <w:szCs w:val="21"/>
              </w:rPr>
            </w:pPr>
          </w:p>
        </w:tc>
        <w:tc>
          <w:tcPr>
            <w:tcW w:w="638" w:type="pct"/>
            <w:vMerge w:val="continue"/>
            <w:tcBorders>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ind w:firstLine="555"/>
              <w:jc w:val="left"/>
              <w:textAlignment w:val="bottom"/>
              <w:rPr>
                <w:rFonts w:hint="default" w:ascii="Times New Roman" w:hAnsi="Times New Roman" w:eastAsia="仿宋_GB2312" w:cs="Times New Roman"/>
                <w:color w:val="auto"/>
                <w:szCs w:val="21"/>
              </w:rPr>
            </w:pPr>
          </w:p>
        </w:tc>
        <w:tc>
          <w:tcPr>
            <w:tcW w:w="126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中央空调改造，增加使用功率，节能及安全达到标准</w:t>
            </w:r>
          </w:p>
        </w:tc>
        <w:tc>
          <w:tcPr>
            <w:tcW w:w="78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5年</w:t>
            </w:r>
          </w:p>
        </w:tc>
        <w:tc>
          <w:tcPr>
            <w:tcW w:w="135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ind w:firstLine="555"/>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主机10年，其他5年以上。</w:t>
            </w:r>
          </w:p>
        </w:tc>
      </w:tr>
      <w:tr>
        <w:tblPrEx>
          <w:tblCellMar>
            <w:top w:w="0" w:type="dxa"/>
            <w:left w:w="108" w:type="dxa"/>
            <w:bottom w:w="0" w:type="dxa"/>
            <w:right w:w="108" w:type="dxa"/>
          </w:tblCellMar>
        </w:tblPrEx>
        <w:trPr>
          <w:trHeight w:val="607" w:hRule="atLeast"/>
          <w:jc w:val="center"/>
        </w:trPr>
        <w:tc>
          <w:tcPr>
            <w:tcW w:w="371"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7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3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26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服务对象满意度</w:t>
            </w:r>
          </w:p>
        </w:tc>
        <w:tc>
          <w:tcPr>
            <w:tcW w:w="78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100%</w:t>
            </w:r>
          </w:p>
        </w:tc>
        <w:tc>
          <w:tcPr>
            <w:tcW w:w="135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100%</w:t>
            </w:r>
          </w:p>
        </w:tc>
      </w:tr>
    </w:tbl>
    <w:p>
      <w:pPr>
        <w:pageBreakBefore w:val="0"/>
        <w:widowControl/>
        <w:kinsoku/>
        <w:wordWrap/>
        <w:overflowPunct/>
        <w:topLinePunct w:val="0"/>
        <w:bidi w:val="0"/>
        <w:spacing w:line="240" w:lineRule="auto"/>
        <w:jc w:val="center"/>
        <w:textAlignment w:val="center"/>
        <w:rPr>
          <w:rFonts w:hint="default" w:ascii="Times New Roman" w:hAnsi="Times New Roman" w:eastAsia="方正小标宋简体" w:cs="Times New Roman"/>
          <w:bCs/>
          <w:color w:val="auto"/>
          <w:sz w:val="28"/>
          <w:szCs w:val="28"/>
        </w:rPr>
      </w:pPr>
    </w:p>
    <w:tbl>
      <w:tblPr>
        <w:tblStyle w:val="21"/>
        <w:tblpPr w:leftFromText="180" w:rightFromText="180" w:vertAnchor="text" w:horzAnchor="page" w:tblpX="1556" w:tblpY="1060"/>
        <w:tblOverlap w:val="never"/>
        <w:tblW w:w="5000" w:type="pct"/>
        <w:jc w:val="center"/>
        <w:tblLayout w:type="fixed"/>
        <w:tblCellMar>
          <w:top w:w="0" w:type="dxa"/>
          <w:left w:w="108" w:type="dxa"/>
          <w:bottom w:w="0" w:type="dxa"/>
          <w:right w:w="108" w:type="dxa"/>
        </w:tblCellMar>
      </w:tblPr>
      <w:tblGrid>
        <w:gridCol w:w="660"/>
        <w:gridCol w:w="855"/>
        <w:gridCol w:w="1005"/>
        <w:gridCol w:w="2235"/>
        <w:gridCol w:w="1740"/>
        <w:gridCol w:w="2566"/>
      </w:tblGrid>
      <w:tr>
        <w:tblPrEx>
          <w:tblCellMar>
            <w:top w:w="0" w:type="dxa"/>
            <w:left w:w="108" w:type="dxa"/>
            <w:bottom w:w="0" w:type="dxa"/>
            <w:right w:w="108" w:type="dxa"/>
          </w:tblCellMar>
        </w:tblPrEx>
        <w:trPr>
          <w:trHeight w:val="675" w:hRule="atLeast"/>
          <w:jc w:val="center"/>
        </w:trPr>
        <w:tc>
          <w:tcPr>
            <w:tcW w:w="5000" w:type="pct"/>
            <w:gridSpan w:val="6"/>
            <w:tcBorders>
              <w:top w:val="nil"/>
              <w:left w:val="nil"/>
              <w:bottom w:val="nil"/>
              <w:right w:val="nil"/>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方正小标宋简体" w:cs="Times New Roman"/>
                <w:bCs/>
                <w:color w:val="auto"/>
                <w:sz w:val="32"/>
                <w:szCs w:val="32"/>
              </w:rPr>
            </w:pPr>
            <w:r>
              <w:rPr>
                <w:rFonts w:hint="default" w:ascii="Times New Roman" w:hAnsi="Times New Roman" w:eastAsia="方正小标宋简体" w:cs="Times New Roman"/>
                <w:bCs/>
                <w:color w:val="auto"/>
                <w:sz w:val="28"/>
                <w:szCs w:val="28"/>
              </w:rPr>
              <w:t>2021年100万以上（含）特定目标类部门预算项目绩效目标自评</w:t>
            </w:r>
          </w:p>
          <w:p>
            <w:pPr>
              <w:pageBreakBefore w:val="0"/>
              <w:widowControl/>
              <w:kinsoku/>
              <w:wordWrap/>
              <w:overflowPunct/>
              <w:topLinePunct w:val="0"/>
              <w:bidi w:val="0"/>
              <w:spacing w:line="240" w:lineRule="auto"/>
              <w:jc w:val="center"/>
              <w:textAlignment w:val="center"/>
              <w:rPr>
                <w:rFonts w:hint="default" w:ascii="Times New Roman" w:hAnsi="Times New Roman" w:eastAsia="方正小标宋简体" w:cs="Times New Roman"/>
                <w:b/>
                <w:color w:val="auto"/>
                <w:sz w:val="32"/>
                <w:szCs w:val="32"/>
              </w:rPr>
            </w:pPr>
            <w:r>
              <w:rPr>
                <w:rFonts w:hint="default" w:ascii="Times New Roman" w:hAnsi="Times New Roman" w:eastAsia="方正小标宋简体" w:cs="Times New Roman"/>
                <w:bCs/>
                <w:color w:val="auto"/>
                <w:sz w:val="28"/>
                <w:szCs w:val="28"/>
              </w:rPr>
              <w:t>（日元贷款还本付息项目）</w:t>
            </w:r>
          </w:p>
        </w:tc>
      </w:tr>
      <w:tr>
        <w:tblPrEx>
          <w:tblCellMar>
            <w:top w:w="0" w:type="dxa"/>
            <w:left w:w="108" w:type="dxa"/>
            <w:bottom w:w="0" w:type="dxa"/>
            <w:right w:w="108" w:type="dxa"/>
          </w:tblCellMar>
        </w:tblPrEx>
        <w:trPr>
          <w:trHeight w:val="254" w:hRule="atLeast"/>
          <w:jc w:val="center"/>
        </w:trPr>
        <w:tc>
          <w:tcPr>
            <w:tcW w:w="836"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主管部门及代码</w:t>
            </w:r>
          </w:p>
        </w:tc>
        <w:tc>
          <w:tcPr>
            <w:tcW w:w="1787"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303-四川省发展和改革委员会</w:t>
            </w:r>
          </w:p>
        </w:tc>
        <w:tc>
          <w:tcPr>
            <w:tcW w:w="96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实施单位</w:t>
            </w:r>
          </w:p>
        </w:tc>
        <w:tc>
          <w:tcPr>
            <w:tcW w:w="141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四川省县域经济研究中心</w:t>
            </w:r>
          </w:p>
        </w:tc>
      </w:tr>
      <w:tr>
        <w:tblPrEx>
          <w:tblCellMar>
            <w:top w:w="0" w:type="dxa"/>
            <w:left w:w="108" w:type="dxa"/>
            <w:bottom w:w="0" w:type="dxa"/>
            <w:right w:w="108" w:type="dxa"/>
          </w:tblCellMar>
        </w:tblPrEx>
        <w:trPr>
          <w:trHeight w:val="341" w:hRule="atLeast"/>
          <w:jc w:val="center"/>
        </w:trPr>
        <w:tc>
          <w:tcPr>
            <w:tcW w:w="836"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项目预算</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执行情况</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（万元）</w:t>
            </w:r>
          </w:p>
        </w:tc>
        <w:tc>
          <w:tcPr>
            <w:tcW w:w="554"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预算数：</w:t>
            </w:r>
          </w:p>
        </w:tc>
        <w:tc>
          <w:tcPr>
            <w:tcW w:w="1233"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400</w:t>
            </w:r>
          </w:p>
        </w:tc>
        <w:tc>
          <w:tcPr>
            <w:tcW w:w="96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执行数：</w:t>
            </w:r>
          </w:p>
        </w:tc>
        <w:tc>
          <w:tcPr>
            <w:tcW w:w="141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309</w:t>
            </w:r>
          </w:p>
        </w:tc>
      </w:tr>
      <w:tr>
        <w:tblPrEx>
          <w:tblCellMar>
            <w:top w:w="0" w:type="dxa"/>
            <w:left w:w="108" w:type="dxa"/>
            <w:bottom w:w="0" w:type="dxa"/>
            <w:right w:w="108" w:type="dxa"/>
          </w:tblCellMar>
        </w:tblPrEx>
        <w:trPr>
          <w:trHeight w:val="577" w:hRule="atLeast"/>
          <w:jc w:val="center"/>
        </w:trPr>
        <w:tc>
          <w:tcPr>
            <w:tcW w:w="836"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54"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1233"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0</w:t>
            </w:r>
          </w:p>
        </w:tc>
        <w:tc>
          <w:tcPr>
            <w:tcW w:w="96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141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0</w:t>
            </w:r>
          </w:p>
        </w:tc>
      </w:tr>
      <w:tr>
        <w:tblPrEx>
          <w:tblCellMar>
            <w:top w:w="0" w:type="dxa"/>
            <w:left w:w="108" w:type="dxa"/>
            <w:bottom w:w="0" w:type="dxa"/>
            <w:right w:w="108" w:type="dxa"/>
          </w:tblCellMar>
        </w:tblPrEx>
        <w:trPr>
          <w:trHeight w:val="341" w:hRule="atLeast"/>
          <w:jc w:val="center"/>
        </w:trPr>
        <w:tc>
          <w:tcPr>
            <w:tcW w:w="836"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54"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1233"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400</w:t>
            </w:r>
          </w:p>
        </w:tc>
        <w:tc>
          <w:tcPr>
            <w:tcW w:w="960"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1415"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309</w:t>
            </w:r>
          </w:p>
        </w:tc>
      </w:tr>
      <w:tr>
        <w:tblPrEx>
          <w:tblCellMar>
            <w:top w:w="0" w:type="dxa"/>
            <w:left w:w="108" w:type="dxa"/>
            <w:bottom w:w="0" w:type="dxa"/>
            <w:right w:w="108" w:type="dxa"/>
          </w:tblCellMar>
        </w:tblPrEx>
        <w:trPr>
          <w:trHeight w:val="217" w:hRule="atLeast"/>
          <w:jc w:val="center"/>
        </w:trPr>
        <w:tc>
          <w:tcPr>
            <w:tcW w:w="364" w:type="pct"/>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年度总体目标完成情况</w:t>
            </w:r>
          </w:p>
        </w:tc>
        <w:tc>
          <w:tcPr>
            <w:tcW w:w="2259" w:type="pct"/>
            <w:gridSpan w:val="3"/>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预期目标</w:t>
            </w:r>
          </w:p>
        </w:tc>
        <w:tc>
          <w:tcPr>
            <w:tcW w:w="2376"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目标实际完成情况</w:t>
            </w:r>
          </w:p>
        </w:tc>
      </w:tr>
      <w:tr>
        <w:tblPrEx>
          <w:tblCellMar>
            <w:top w:w="0" w:type="dxa"/>
            <w:left w:w="108" w:type="dxa"/>
            <w:bottom w:w="0" w:type="dxa"/>
            <w:right w:w="108" w:type="dxa"/>
          </w:tblCellMar>
        </w:tblPrEx>
        <w:trPr>
          <w:trHeight w:val="1480" w:hRule="atLeast"/>
          <w:jc w:val="center"/>
        </w:trPr>
        <w:tc>
          <w:tcPr>
            <w:tcW w:w="364" w:type="pct"/>
            <w:vMerge w:val="continue"/>
            <w:tcBorders>
              <w:top w:val="single" w:color="000000" w:sz="4" w:space="0"/>
              <w:left w:val="single" w:color="000000" w:sz="4" w:space="0"/>
              <w:bottom w:val="single" w:color="auto" w:sz="4" w:space="0"/>
              <w:right w:val="single" w:color="000000"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2259" w:type="pct"/>
            <w:gridSpan w:val="3"/>
            <w:tcBorders>
              <w:top w:val="single" w:color="000000" w:sz="4" w:space="0"/>
              <w:left w:val="single" w:color="000000" w:sz="4" w:space="0"/>
              <w:bottom w:val="single" w:color="auto" w:sz="4" w:space="0"/>
              <w:right w:val="single" w:color="000000" w:sz="4" w:space="0"/>
            </w:tcBorders>
            <w:noWrap/>
            <w:vAlign w:val="center"/>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项目总体日元贷款9.84亿日元，合同金额9.68亿日元，贷款以支持我省经济信息系统的建设。总共涉及24个单位。包括我省的17个市州、3个厅局和我中心以及重庆的3个区。</w:t>
            </w:r>
          </w:p>
        </w:tc>
        <w:tc>
          <w:tcPr>
            <w:tcW w:w="2376" w:type="pct"/>
            <w:gridSpan w:val="2"/>
            <w:tcBorders>
              <w:top w:val="single" w:color="000000" w:sz="4" w:space="0"/>
              <w:left w:val="single" w:color="000000" w:sz="4" w:space="0"/>
              <w:bottom w:val="single" w:color="auto" w:sz="4" w:space="0"/>
              <w:right w:val="single" w:color="000000" w:sz="4" w:space="0"/>
            </w:tcBorders>
            <w:noWrap/>
            <w:vAlign w:val="center"/>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项目总体日元贷款9.84亿日元，合同金额9.68亿日元，贷款以支持我省经济信息系统的建设。总共涉及24个单位。包括我省的17个市州、3个厅局和我中心以及重庆的3个区。</w:t>
            </w:r>
          </w:p>
        </w:tc>
      </w:tr>
      <w:tr>
        <w:tblPrEx>
          <w:tblCellMar>
            <w:top w:w="0" w:type="dxa"/>
            <w:left w:w="108" w:type="dxa"/>
            <w:bottom w:w="0" w:type="dxa"/>
            <w:right w:w="108" w:type="dxa"/>
          </w:tblCellMar>
        </w:tblPrEx>
        <w:trPr>
          <w:trHeight w:val="578" w:hRule="atLeast"/>
          <w:jc w:val="center"/>
        </w:trPr>
        <w:tc>
          <w:tcPr>
            <w:tcW w:w="364" w:type="pct"/>
            <w:vMerge w:val="restar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年度绩效指标完成情况</w:t>
            </w:r>
          </w:p>
        </w:tc>
        <w:tc>
          <w:tcPr>
            <w:tcW w:w="471"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一级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554"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二级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23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三级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96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预期指</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标值</w:t>
            </w:r>
          </w:p>
        </w:tc>
        <w:tc>
          <w:tcPr>
            <w:tcW w:w="141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实际完成指标值</w:t>
            </w:r>
          </w:p>
        </w:tc>
      </w:tr>
      <w:tr>
        <w:tblPrEx>
          <w:tblCellMar>
            <w:top w:w="0" w:type="dxa"/>
            <w:left w:w="108" w:type="dxa"/>
            <w:bottom w:w="0" w:type="dxa"/>
            <w:right w:w="108" w:type="dxa"/>
          </w:tblCellMar>
        </w:tblPrEx>
        <w:trPr>
          <w:trHeight w:val="397" w:hRule="atLeast"/>
          <w:jc w:val="center"/>
        </w:trPr>
        <w:tc>
          <w:tcPr>
            <w:tcW w:w="36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71" w:type="pct"/>
            <w:vMerge w:val="restart"/>
            <w:tcBorders>
              <w:top w:val="single" w:color="auto" w:sz="4" w:space="0"/>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完成</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554" w:type="pct"/>
            <w:vMerge w:val="restart"/>
            <w:tcBorders>
              <w:top w:val="single" w:color="auto" w:sz="4" w:space="0"/>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数量指标</w:t>
            </w:r>
          </w:p>
        </w:tc>
        <w:tc>
          <w:tcPr>
            <w:tcW w:w="123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还款次数</w:t>
            </w:r>
          </w:p>
        </w:tc>
        <w:tc>
          <w:tcPr>
            <w:tcW w:w="96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一年四次</w:t>
            </w:r>
          </w:p>
        </w:tc>
        <w:tc>
          <w:tcPr>
            <w:tcW w:w="141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一年四次</w:t>
            </w:r>
          </w:p>
        </w:tc>
      </w:tr>
      <w:tr>
        <w:tblPrEx>
          <w:tblCellMar>
            <w:top w:w="0" w:type="dxa"/>
            <w:left w:w="108" w:type="dxa"/>
            <w:bottom w:w="0" w:type="dxa"/>
            <w:right w:w="108" w:type="dxa"/>
          </w:tblCellMar>
        </w:tblPrEx>
        <w:trPr>
          <w:trHeight w:val="397" w:hRule="atLeast"/>
          <w:jc w:val="center"/>
        </w:trPr>
        <w:tc>
          <w:tcPr>
            <w:tcW w:w="36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71" w:type="pct"/>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54" w:type="pct"/>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p>
        </w:tc>
        <w:tc>
          <w:tcPr>
            <w:tcW w:w="123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还款金额</w:t>
            </w:r>
          </w:p>
        </w:tc>
        <w:tc>
          <w:tcPr>
            <w:tcW w:w="96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309万元人民币</w:t>
            </w:r>
          </w:p>
        </w:tc>
        <w:tc>
          <w:tcPr>
            <w:tcW w:w="141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309万元人民币</w:t>
            </w:r>
          </w:p>
        </w:tc>
      </w:tr>
      <w:tr>
        <w:tblPrEx>
          <w:tblCellMar>
            <w:top w:w="0" w:type="dxa"/>
            <w:left w:w="108" w:type="dxa"/>
            <w:bottom w:w="0" w:type="dxa"/>
            <w:right w:w="108" w:type="dxa"/>
          </w:tblCellMar>
        </w:tblPrEx>
        <w:trPr>
          <w:trHeight w:val="397" w:hRule="atLeast"/>
          <w:jc w:val="center"/>
        </w:trPr>
        <w:tc>
          <w:tcPr>
            <w:tcW w:w="36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71" w:type="pct"/>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54" w:type="pct"/>
            <w:vMerge w:val="continue"/>
            <w:tcBorders>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p>
        </w:tc>
        <w:tc>
          <w:tcPr>
            <w:tcW w:w="123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项目参加单位</w:t>
            </w:r>
          </w:p>
        </w:tc>
        <w:tc>
          <w:tcPr>
            <w:tcW w:w="96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23个</w:t>
            </w:r>
          </w:p>
        </w:tc>
        <w:tc>
          <w:tcPr>
            <w:tcW w:w="141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23个</w:t>
            </w:r>
          </w:p>
        </w:tc>
      </w:tr>
      <w:tr>
        <w:tblPrEx>
          <w:tblCellMar>
            <w:top w:w="0" w:type="dxa"/>
            <w:left w:w="108" w:type="dxa"/>
            <w:bottom w:w="0" w:type="dxa"/>
            <w:right w:w="108" w:type="dxa"/>
          </w:tblCellMar>
        </w:tblPrEx>
        <w:trPr>
          <w:trHeight w:val="397" w:hRule="atLeast"/>
          <w:jc w:val="center"/>
        </w:trPr>
        <w:tc>
          <w:tcPr>
            <w:tcW w:w="36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71" w:type="pct"/>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54" w:type="pct"/>
            <w:vMerge w:val="restart"/>
            <w:tcBorders>
              <w:top w:val="single" w:color="auto" w:sz="4" w:space="0"/>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质量指标</w:t>
            </w:r>
          </w:p>
        </w:tc>
        <w:tc>
          <w:tcPr>
            <w:tcW w:w="123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全省提款额度</w:t>
            </w:r>
          </w:p>
        </w:tc>
        <w:tc>
          <w:tcPr>
            <w:tcW w:w="96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968620107日元</w:t>
            </w:r>
          </w:p>
        </w:tc>
        <w:tc>
          <w:tcPr>
            <w:tcW w:w="141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968620107日元</w:t>
            </w:r>
          </w:p>
        </w:tc>
      </w:tr>
      <w:tr>
        <w:tblPrEx>
          <w:tblCellMar>
            <w:top w:w="0" w:type="dxa"/>
            <w:left w:w="108" w:type="dxa"/>
            <w:bottom w:w="0" w:type="dxa"/>
            <w:right w:w="108" w:type="dxa"/>
          </w:tblCellMar>
        </w:tblPrEx>
        <w:trPr>
          <w:trHeight w:val="397" w:hRule="atLeast"/>
          <w:jc w:val="center"/>
        </w:trPr>
        <w:tc>
          <w:tcPr>
            <w:tcW w:w="36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71" w:type="pct"/>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54" w:type="pct"/>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p>
        </w:tc>
        <w:tc>
          <w:tcPr>
            <w:tcW w:w="123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省本级用款额度</w:t>
            </w:r>
          </w:p>
        </w:tc>
        <w:tc>
          <w:tcPr>
            <w:tcW w:w="96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392927696日元</w:t>
            </w:r>
          </w:p>
        </w:tc>
        <w:tc>
          <w:tcPr>
            <w:tcW w:w="141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392927696日元</w:t>
            </w:r>
          </w:p>
        </w:tc>
      </w:tr>
      <w:tr>
        <w:tblPrEx>
          <w:tblCellMar>
            <w:top w:w="0" w:type="dxa"/>
            <w:left w:w="108" w:type="dxa"/>
            <w:bottom w:w="0" w:type="dxa"/>
            <w:right w:w="108" w:type="dxa"/>
          </w:tblCellMar>
        </w:tblPrEx>
        <w:trPr>
          <w:trHeight w:val="397" w:hRule="atLeast"/>
          <w:jc w:val="center"/>
        </w:trPr>
        <w:tc>
          <w:tcPr>
            <w:tcW w:w="36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71" w:type="pct"/>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54" w:type="pct"/>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p>
        </w:tc>
        <w:tc>
          <w:tcPr>
            <w:tcW w:w="123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各市州用款额度</w:t>
            </w:r>
          </w:p>
        </w:tc>
        <w:tc>
          <w:tcPr>
            <w:tcW w:w="96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276805770日元</w:t>
            </w:r>
          </w:p>
        </w:tc>
        <w:tc>
          <w:tcPr>
            <w:tcW w:w="141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276805770日元</w:t>
            </w:r>
          </w:p>
        </w:tc>
      </w:tr>
      <w:tr>
        <w:tblPrEx>
          <w:tblCellMar>
            <w:top w:w="0" w:type="dxa"/>
            <w:left w:w="108" w:type="dxa"/>
            <w:bottom w:w="0" w:type="dxa"/>
            <w:right w:w="108" w:type="dxa"/>
          </w:tblCellMar>
        </w:tblPrEx>
        <w:trPr>
          <w:trHeight w:val="397" w:hRule="atLeast"/>
          <w:jc w:val="center"/>
        </w:trPr>
        <w:tc>
          <w:tcPr>
            <w:tcW w:w="36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71" w:type="pct"/>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54" w:type="pct"/>
            <w:vMerge w:val="continue"/>
            <w:tcBorders>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p>
        </w:tc>
        <w:tc>
          <w:tcPr>
            <w:tcW w:w="123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成都市贷款额度</w:t>
            </w:r>
          </w:p>
        </w:tc>
        <w:tc>
          <w:tcPr>
            <w:tcW w:w="96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298886641日元</w:t>
            </w:r>
          </w:p>
        </w:tc>
        <w:tc>
          <w:tcPr>
            <w:tcW w:w="141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298886641日元</w:t>
            </w:r>
          </w:p>
        </w:tc>
      </w:tr>
      <w:tr>
        <w:tblPrEx>
          <w:tblCellMar>
            <w:top w:w="0" w:type="dxa"/>
            <w:left w:w="108" w:type="dxa"/>
            <w:bottom w:w="0" w:type="dxa"/>
            <w:right w:w="108" w:type="dxa"/>
          </w:tblCellMar>
        </w:tblPrEx>
        <w:trPr>
          <w:trHeight w:val="893" w:hRule="atLeast"/>
          <w:jc w:val="center"/>
        </w:trPr>
        <w:tc>
          <w:tcPr>
            <w:tcW w:w="36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71" w:type="pct"/>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54" w:type="pct"/>
            <w:vMerge w:val="restart"/>
            <w:tcBorders>
              <w:top w:val="single" w:color="auto" w:sz="4" w:space="0"/>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时效指标</w:t>
            </w:r>
          </w:p>
        </w:tc>
        <w:tc>
          <w:tcPr>
            <w:tcW w:w="123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项目完成节点</w:t>
            </w:r>
          </w:p>
        </w:tc>
        <w:tc>
          <w:tcPr>
            <w:tcW w:w="96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当年支付利息，到2025年本息全部付清</w:t>
            </w:r>
          </w:p>
        </w:tc>
        <w:tc>
          <w:tcPr>
            <w:tcW w:w="141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当年支付利息，到2025年本息全部付清</w:t>
            </w:r>
          </w:p>
        </w:tc>
      </w:tr>
      <w:tr>
        <w:tblPrEx>
          <w:tblCellMar>
            <w:top w:w="0" w:type="dxa"/>
            <w:left w:w="108" w:type="dxa"/>
            <w:bottom w:w="0" w:type="dxa"/>
            <w:right w:w="108" w:type="dxa"/>
          </w:tblCellMar>
        </w:tblPrEx>
        <w:trPr>
          <w:trHeight w:val="430" w:hRule="atLeast"/>
          <w:jc w:val="center"/>
        </w:trPr>
        <w:tc>
          <w:tcPr>
            <w:tcW w:w="36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71" w:type="pct"/>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54" w:type="pct"/>
            <w:vMerge w:val="continue"/>
            <w:tcBorders>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p>
        </w:tc>
        <w:tc>
          <w:tcPr>
            <w:tcW w:w="123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资金支付进度</w:t>
            </w:r>
          </w:p>
        </w:tc>
        <w:tc>
          <w:tcPr>
            <w:tcW w:w="96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按贷款需求</w:t>
            </w:r>
          </w:p>
        </w:tc>
        <w:tc>
          <w:tcPr>
            <w:tcW w:w="141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按贷款需求</w:t>
            </w:r>
          </w:p>
        </w:tc>
      </w:tr>
      <w:tr>
        <w:tblPrEx>
          <w:tblCellMar>
            <w:top w:w="0" w:type="dxa"/>
            <w:left w:w="108" w:type="dxa"/>
            <w:bottom w:w="0" w:type="dxa"/>
            <w:right w:w="108" w:type="dxa"/>
          </w:tblCellMar>
        </w:tblPrEx>
        <w:trPr>
          <w:trHeight w:val="420" w:hRule="atLeast"/>
          <w:jc w:val="center"/>
        </w:trPr>
        <w:tc>
          <w:tcPr>
            <w:tcW w:w="36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71" w:type="pct"/>
            <w:vMerge w:val="continue"/>
            <w:tcBorders>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p>
        </w:tc>
        <w:tc>
          <w:tcPr>
            <w:tcW w:w="554"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成本指标</w:t>
            </w:r>
          </w:p>
        </w:tc>
        <w:tc>
          <w:tcPr>
            <w:tcW w:w="123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支付利息</w:t>
            </w:r>
          </w:p>
        </w:tc>
        <w:tc>
          <w:tcPr>
            <w:tcW w:w="96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年息2.3%</w:t>
            </w:r>
          </w:p>
        </w:tc>
        <w:tc>
          <w:tcPr>
            <w:tcW w:w="141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b/>
                <w:bCs/>
                <w:color w:val="auto"/>
                <w:kern w:val="0"/>
                <w:szCs w:val="21"/>
              </w:rPr>
            </w:pPr>
            <w:r>
              <w:rPr>
                <w:rFonts w:hint="default" w:ascii="Times New Roman" w:hAnsi="Times New Roman" w:eastAsia="仿宋_GB2312" w:cs="Times New Roman"/>
                <w:color w:val="auto"/>
                <w:kern w:val="0"/>
                <w:szCs w:val="21"/>
              </w:rPr>
              <w:t>年息2.3%</w:t>
            </w:r>
          </w:p>
        </w:tc>
      </w:tr>
      <w:tr>
        <w:tblPrEx>
          <w:tblCellMar>
            <w:top w:w="0" w:type="dxa"/>
            <w:left w:w="108" w:type="dxa"/>
            <w:bottom w:w="0" w:type="dxa"/>
            <w:right w:w="108" w:type="dxa"/>
          </w:tblCellMar>
        </w:tblPrEx>
        <w:trPr>
          <w:trHeight w:val="1000" w:hRule="atLeast"/>
          <w:jc w:val="center"/>
        </w:trPr>
        <w:tc>
          <w:tcPr>
            <w:tcW w:w="36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71" w:type="pct"/>
            <w:vMerge w:val="restart"/>
            <w:tcBorders>
              <w:top w:val="single" w:color="auto" w:sz="4" w:space="0"/>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效益指标</w:t>
            </w:r>
          </w:p>
        </w:tc>
        <w:tc>
          <w:tcPr>
            <w:tcW w:w="554" w:type="pct"/>
            <w:vMerge w:val="restart"/>
            <w:tcBorders>
              <w:top w:val="single" w:color="auto" w:sz="4" w:space="0"/>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经济效益指标</w:t>
            </w:r>
          </w:p>
        </w:tc>
        <w:tc>
          <w:tcPr>
            <w:tcW w:w="123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提升信息化水平</w:t>
            </w:r>
          </w:p>
        </w:tc>
        <w:tc>
          <w:tcPr>
            <w:tcW w:w="96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各市州使用日元贷款购置硬件软件设备等</w:t>
            </w:r>
          </w:p>
        </w:tc>
        <w:tc>
          <w:tcPr>
            <w:tcW w:w="141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各市州使用日元贷款购置硬件软件设备等</w:t>
            </w:r>
          </w:p>
        </w:tc>
      </w:tr>
      <w:tr>
        <w:tblPrEx>
          <w:tblCellMar>
            <w:top w:w="0" w:type="dxa"/>
            <w:left w:w="108" w:type="dxa"/>
            <w:bottom w:w="0" w:type="dxa"/>
            <w:right w:w="108" w:type="dxa"/>
          </w:tblCellMar>
        </w:tblPrEx>
        <w:trPr>
          <w:trHeight w:val="1475" w:hRule="atLeast"/>
          <w:jc w:val="center"/>
        </w:trPr>
        <w:tc>
          <w:tcPr>
            <w:tcW w:w="36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71" w:type="pct"/>
            <w:vMerge w:val="continue"/>
            <w:tcBorders>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p>
        </w:tc>
        <w:tc>
          <w:tcPr>
            <w:tcW w:w="554" w:type="pct"/>
            <w:vMerge w:val="continue"/>
            <w:tcBorders>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p>
        </w:tc>
        <w:tc>
          <w:tcPr>
            <w:tcW w:w="123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提供资金保障</w:t>
            </w:r>
          </w:p>
        </w:tc>
        <w:tc>
          <w:tcPr>
            <w:tcW w:w="96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本项目的执行，为四川省经济信息建设的设备采购和技术人员培训提供了资金</w:t>
            </w:r>
          </w:p>
        </w:tc>
        <w:tc>
          <w:tcPr>
            <w:tcW w:w="141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本项目的执行，为四川省经济信息建设的设备采购和技术人员培训提供了资金</w:t>
            </w:r>
          </w:p>
        </w:tc>
      </w:tr>
      <w:tr>
        <w:tblPrEx>
          <w:tblCellMar>
            <w:top w:w="0" w:type="dxa"/>
            <w:left w:w="108" w:type="dxa"/>
            <w:bottom w:w="0" w:type="dxa"/>
            <w:right w:w="108" w:type="dxa"/>
          </w:tblCellMar>
        </w:tblPrEx>
        <w:trPr>
          <w:trHeight w:val="990" w:hRule="atLeast"/>
          <w:jc w:val="center"/>
        </w:trPr>
        <w:tc>
          <w:tcPr>
            <w:tcW w:w="36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71" w:type="pct"/>
            <w:vMerge w:val="restart"/>
            <w:tcBorders>
              <w:top w:val="single" w:color="auto" w:sz="4" w:space="0"/>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效益指标</w:t>
            </w:r>
          </w:p>
        </w:tc>
        <w:tc>
          <w:tcPr>
            <w:tcW w:w="554" w:type="pct"/>
            <w:vMerge w:val="restart"/>
            <w:tcBorders>
              <w:top w:val="single" w:color="auto" w:sz="4" w:space="0"/>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社会效益指标</w:t>
            </w:r>
          </w:p>
        </w:tc>
        <w:tc>
          <w:tcPr>
            <w:tcW w:w="123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为政府宏观决策服务</w:t>
            </w:r>
          </w:p>
        </w:tc>
        <w:tc>
          <w:tcPr>
            <w:tcW w:w="96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贷款为国家中心汇总分析全国宏观经济运行状况提供了有力支持，特别是每季度的经济形势分析、我省经济发展中重大问题的研究、经济走势的预测分析等信息，为省内各级政府和国家有关部门的宏观决策和调控服务起到了积极作用</w:t>
            </w:r>
          </w:p>
        </w:tc>
        <w:tc>
          <w:tcPr>
            <w:tcW w:w="141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贷款为国家中心汇总分析全国宏观经济运行状况提供了有力支持，特别是每季度的经济形势分析、我省经济发展中重大问题的研究、经济走势的预测分析等信息，为省内各级政府和国家有关部门的宏观决策和调控服务起到了积极作用</w:t>
            </w:r>
          </w:p>
        </w:tc>
      </w:tr>
      <w:tr>
        <w:tblPrEx>
          <w:tblCellMar>
            <w:top w:w="0" w:type="dxa"/>
            <w:left w:w="108" w:type="dxa"/>
            <w:bottom w:w="0" w:type="dxa"/>
            <w:right w:w="108" w:type="dxa"/>
          </w:tblCellMar>
        </w:tblPrEx>
        <w:trPr>
          <w:trHeight w:val="760" w:hRule="atLeast"/>
          <w:jc w:val="center"/>
        </w:trPr>
        <w:tc>
          <w:tcPr>
            <w:tcW w:w="36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71" w:type="pct"/>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p>
        </w:tc>
        <w:tc>
          <w:tcPr>
            <w:tcW w:w="554" w:type="pct"/>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p>
        </w:tc>
        <w:tc>
          <w:tcPr>
            <w:tcW w:w="123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促进全省经济信息工作开展</w:t>
            </w:r>
          </w:p>
        </w:tc>
        <w:tc>
          <w:tcPr>
            <w:tcW w:w="96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支持全省经济信息系统建设</w:t>
            </w:r>
          </w:p>
        </w:tc>
        <w:tc>
          <w:tcPr>
            <w:tcW w:w="141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支持全省经济信息系统建设</w:t>
            </w:r>
          </w:p>
        </w:tc>
      </w:tr>
      <w:tr>
        <w:tblPrEx>
          <w:tblCellMar>
            <w:top w:w="0" w:type="dxa"/>
            <w:left w:w="108" w:type="dxa"/>
            <w:bottom w:w="0" w:type="dxa"/>
            <w:right w:w="108" w:type="dxa"/>
          </w:tblCellMar>
        </w:tblPrEx>
        <w:trPr>
          <w:trHeight w:val="990" w:hRule="atLeast"/>
          <w:jc w:val="center"/>
        </w:trPr>
        <w:tc>
          <w:tcPr>
            <w:tcW w:w="36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71" w:type="pct"/>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p>
        </w:tc>
        <w:tc>
          <w:tcPr>
            <w:tcW w:w="554" w:type="pct"/>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p>
        </w:tc>
        <w:tc>
          <w:tcPr>
            <w:tcW w:w="123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使管理手段更现代化</w:t>
            </w:r>
          </w:p>
        </w:tc>
        <w:tc>
          <w:tcPr>
            <w:tcW w:w="96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利用贷款建设的信息平台对我省经济信息管理手段现代化和管理方法科学化具有促进作用</w:t>
            </w:r>
          </w:p>
        </w:tc>
        <w:tc>
          <w:tcPr>
            <w:tcW w:w="141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利用贷款建设的信息平台对我省经济信息管理手段现代化和管理方法科学化具有促进作用</w:t>
            </w:r>
          </w:p>
        </w:tc>
      </w:tr>
      <w:tr>
        <w:tblPrEx>
          <w:tblCellMar>
            <w:top w:w="0" w:type="dxa"/>
            <w:left w:w="108" w:type="dxa"/>
            <w:bottom w:w="0" w:type="dxa"/>
            <w:right w:w="108" w:type="dxa"/>
          </w:tblCellMar>
        </w:tblPrEx>
        <w:trPr>
          <w:trHeight w:val="990" w:hRule="atLeast"/>
          <w:jc w:val="center"/>
        </w:trPr>
        <w:tc>
          <w:tcPr>
            <w:tcW w:w="36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71" w:type="pct"/>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p>
        </w:tc>
        <w:tc>
          <w:tcPr>
            <w:tcW w:w="554" w:type="pct"/>
            <w:vMerge w:val="continue"/>
            <w:tcBorders>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p>
        </w:tc>
        <w:tc>
          <w:tcPr>
            <w:tcW w:w="123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加快电子政务建设</w:t>
            </w:r>
          </w:p>
        </w:tc>
        <w:tc>
          <w:tcPr>
            <w:tcW w:w="96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利用资金为政务公开提供网络支持</w:t>
            </w:r>
          </w:p>
        </w:tc>
        <w:tc>
          <w:tcPr>
            <w:tcW w:w="141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利用资金为政务公开提供网络支持</w:t>
            </w:r>
          </w:p>
        </w:tc>
      </w:tr>
      <w:tr>
        <w:tblPrEx>
          <w:tblCellMar>
            <w:top w:w="0" w:type="dxa"/>
            <w:left w:w="108" w:type="dxa"/>
            <w:bottom w:w="0" w:type="dxa"/>
            <w:right w:w="108" w:type="dxa"/>
          </w:tblCellMar>
        </w:tblPrEx>
        <w:trPr>
          <w:trHeight w:val="990" w:hRule="atLeast"/>
          <w:jc w:val="center"/>
        </w:trPr>
        <w:tc>
          <w:tcPr>
            <w:tcW w:w="36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71" w:type="pct"/>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p>
        </w:tc>
        <w:tc>
          <w:tcPr>
            <w:tcW w:w="554"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生态效益</w:t>
            </w:r>
          </w:p>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w:t>
            </w:r>
          </w:p>
        </w:tc>
        <w:tc>
          <w:tcPr>
            <w:tcW w:w="123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无纸化办公</w:t>
            </w:r>
          </w:p>
        </w:tc>
        <w:tc>
          <w:tcPr>
            <w:tcW w:w="96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建设办公平台，购买计算机硬件推进无纸化办公</w:t>
            </w:r>
          </w:p>
        </w:tc>
        <w:tc>
          <w:tcPr>
            <w:tcW w:w="141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建设办公平台，购买计算机硬件推进无纸化办公</w:t>
            </w:r>
          </w:p>
        </w:tc>
      </w:tr>
      <w:tr>
        <w:tblPrEx>
          <w:tblCellMar>
            <w:top w:w="0" w:type="dxa"/>
            <w:left w:w="108" w:type="dxa"/>
            <w:bottom w:w="0" w:type="dxa"/>
            <w:right w:w="108" w:type="dxa"/>
          </w:tblCellMar>
        </w:tblPrEx>
        <w:trPr>
          <w:trHeight w:val="397" w:hRule="atLeast"/>
          <w:jc w:val="center"/>
        </w:trPr>
        <w:tc>
          <w:tcPr>
            <w:tcW w:w="36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71" w:type="pct"/>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p>
        </w:tc>
        <w:tc>
          <w:tcPr>
            <w:tcW w:w="554" w:type="pct"/>
            <w:vMerge w:val="restart"/>
            <w:tcBorders>
              <w:top w:val="single" w:color="auto" w:sz="4" w:space="0"/>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可持续影响指标</w:t>
            </w:r>
          </w:p>
        </w:tc>
        <w:tc>
          <w:tcPr>
            <w:tcW w:w="123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运行情况</w:t>
            </w:r>
          </w:p>
        </w:tc>
        <w:tc>
          <w:tcPr>
            <w:tcW w:w="96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良好</w:t>
            </w:r>
          </w:p>
        </w:tc>
        <w:tc>
          <w:tcPr>
            <w:tcW w:w="141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ind w:firstLine="420" w:firstLineChars="200"/>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良好</w:t>
            </w:r>
          </w:p>
        </w:tc>
      </w:tr>
      <w:tr>
        <w:tblPrEx>
          <w:tblCellMar>
            <w:top w:w="0" w:type="dxa"/>
            <w:left w:w="108" w:type="dxa"/>
            <w:bottom w:w="0" w:type="dxa"/>
            <w:right w:w="108" w:type="dxa"/>
          </w:tblCellMar>
        </w:tblPrEx>
        <w:trPr>
          <w:trHeight w:val="397" w:hRule="atLeast"/>
          <w:jc w:val="center"/>
        </w:trPr>
        <w:tc>
          <w:tcPr>
            <w:tcW w:w="36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71" w:type="pct"/>
            <w:vMerge w:val="continue"/>
            <w:tcBorders>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p>
        </w:tc>
        <w:tc>
          <w:tcPr>
            <w:tcW w:w="554" w:type="pct"/>
            <w:vMerge w:val="continue"/>
            <w:tcBorders>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p>
        </w:tc>
        <w:tc>
          <w:tcPr>
            <w:tcW w:w="123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剩余持续年限</w:t>
            </w:r>
          </w:p>
        </w:tc>
        <w:tc>
          <w:tcPr>
            <w:tcW w:w="96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5年</w:t>
            </w:r>
          </w:p>
        </w:tc>
        <w:tc>
          <w:tcPr>
            <w:tcW w:w="141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ind w:firstLine="420" w:firstLineChars="200"/>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5年</w:t>
            </w:r>
          </w:p>
        </w:tc>
      </w:tr>
      <w:tr>
        <w:tblPrEx>
          <w:tblCellMar>
            <w:top w:w="0" w:type="dxa"/>
            <w:left w:w="108" w:type="dxa"/>
            <w:bottom w:w="0" w:type="dxa"/>
            <w:right w:w="108" w:type="dxa"/>
          </w:tblCellMar>
        </w:tblPrEx>
        <w:trPr>
          <w:trHeight w:val="685" w:hRule="atLeast"/>
          <w:jc w:val="center"/>
        </w:trPr>
        <w:tc>
          <w:tcPr>
            <w:tcW w:w="364"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471"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554"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w:t>
            </w:r>
          </w:p>
        </w:tc>
        <w:tc>
          <w:tcPr>
            <w:tcW w:w="1233"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服务对象满意度</w:t>
            </w:r>
          </w:p>
        </w:tc>
        <w:tc>
          <w:tcPr>
            <w:tcW w:w="960"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c>
          <w:tcPr>
            <w:tcW w:w="1415"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ind w:firstLine="420" w:firstLineChars="200"/>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r>
    </w:tbl>
    <w:p>
      <w:pPr>
        <w:pStyle w:val="7"/>
        <w:pageBreakBefore w:val="0"/>
        <w:kinsoku/>
        <w:wordWrap/>
        <w:overflowPunct/>
        <w:topLinePunct w:val="0"/>
        <w:bidi w:val="0"/>
        <w:spacing w:line="560" w:lineRule="exact"/>
        <w:rPr>
          <w:rFonts w:hint="default" w:ascii="Times New Roman" w:hAnsi="Times New Roman" w:cs="Times New Roman"/>
          <w:color w:val="auto"/>
        </w:rPr>
      </w:pPr>
    </w:p>
    <w:p>
      <w:pPr>
        <w:rPr>
          <w:rFonts w:hint="default" w:ascii="Times New Roman" w:hAnsi="Times New Roman" w:cs="Times New Roman"/>
          <w:color w:val="auto"/>
        </w:rPr>
      </w:pPr>
    </w:p>
    <w:tbl>
      <w:tblPr>
        <w:tblStyle w:val="21"/>
        <w:tblpPr w:leftFromText="180" w:rightFromText="180" w:vertAnchor="text" w:horzAnchor="page" w:tblpXSpec="center" w:tblpY="221"/>
        <w:tblOverlap w:val="never"/>
        <w:tblW w:w="5000" w:type="pct"/>
        <w:jc w:val="center"/>
        <w:tblLayout w:type="fixed"/>
        <w:tblCellMar>
          <w:top w:w="0" w:type="dxa"/>
          <w:left w:w="108" w:type="dxa"/>
          <w:bottom w:w="0" w:type="dxa"/>
          <w:right w:w="108" w:type="dxa"/>
        </w:tblCellMar>
      </w:tblPr>
      <w:tblGrid>
        <w:gridCol w:w="641"/>
        <w:gridCol w:w="710"/>
        <w:gridCol w:w="217"/>
        <w:gridCol w:w="1029"/>
        <w:gridCol w:w="120"/>
        <w:gridCol w:w="2153"/>
        <w:gridCol w:w="1629"/>
        <w:gridCol w:w="2562"/>
      </w:tblGrid>
      <w:tr>
        <w:tblPrEx>
          <w:tblCellMar>
            <w:top w:w="0" w:type="dxa"/>
            <w:left w:w="108" w:type="dxa"/>
            <w:bottom w:w="0" w:type="dxa"/>
            <w:right w:w="108" w:type="dxa"/>
          </w:tblCellMar>
        </w:tblPrEx>
        <w:trPr>
          <w:trHeight w:val="900" w:hRule="atLeast"/>
          <w:jc w:val="center"/>
        </w:trPr>
        <w:tc>
          <w:tcPr>
            <w:tcW w:w="5000" w:type="pct"/>
            <w:gridSpan w:val="8"/>
            <w:tcBorders>
              <w:top w:val="nil"/>
              <w:left w:val="nil"/>
              <w:bottom w:val="nil"/>
              <w:right w:val="nil"/>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方正小标宋简体" w:cs="Times New Roman"/>
                <w:bCs/>
                <w:color w:val="auto"/>
                <w:sz w:val="32"/>
                <w:szCs w:val="32"/>
              </w:rPr>
            </w:pPr>
            <w:r>
              <w:rPr>
                <w:rFonts w:hint="default" w:ascii="Times New Roman" w:hAnsi="Times New Roman" w:eastAsia="方正小标宋简体" w:cs="Times New Roman"/>
                <w:bCs/>
                <w:color w:val="auto"/>
                <w:sz w:val="28"/>
                <w:szCs w:val="28"/>
              </w:rPr>
              <w:t>2021年100万以上（含）特定目标类部门预算项目绩效目标自评</w:t>
            </w:r>
          </w:p>
          <w:p>
            <w:pPr>
              <w:pageBreakBefore w:val="0"/>
              <w:widowControl/>
              <w:kinsoku/>
              <w:wordWrap/>
              <w:overflowPunct/>
              <w:topLinePunct w:val="0"/>
              <w:bidi w:val="0"/>
              <w:spacing w:line="240" w:lineRule="auto"/>
              <w:jc w:val="center"/>
              <w:textAlignment w:val="center"/>
              <w:rPr>
                <w:rFonts w:hint="default" w:ascii="Times New Roman" w:hAnsi="Times New Roman" w:eastAsia="方正小标宋简体" w:cs="Times New Roman"/>
                <w:b/>
                <w:color w:val="auto"/>
                <w:sz w:val="32"/>
                <w:szCs w:val="32"/>
              </w:rPr>
            </w:pPr>
            <w:r>
              <w:rPr>
                <w:rFonts w:hint="default" w:ascii="Times New Roman" w:hAnsi="Times New Roman" w:eastAsia="方正小标宋简体" w:cs="Times New Roman"/>
                <w:bCs/>
                <w:color w:val="auto"/>
                <w:sz w:val="28"/>
                <w:szCs w:val="28"/>
              </w:rPr>
              <w:t>（信息化建设项目）</w:t>
            </w:r>
          </w:p>
        </w:tc>
      </w:tr>
      <w:tr>
        <w:tblPrEx>
          <w:tblCellMar>
            <w:top w:w="0" w:type="dxa"/>
            <w:left w:w="108" w:type="dxa"/>
            <w:bottom w:w="0" w:type="dxa"/>
            <w:right w:w="108" w:type="dxa"/>
          </w:tblCellMar>
        </w:tblPrEx>
        <w:trPr>
          <w:trHeight w:val="254" w:hRule="atLeast"/>
          <w:jc w:val="center"/>
        </w:trPr>
        <w:tc>
          <w:tcPr>
            <w:tcW w:w="745"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主管部门及代码</w:t>
            </w:r>
          </w:p>
        </w:tc>
        <w:tc>
          <w:tcPr>
            <w:tcW w:w="1942" w:type="pct"/>
            <w:gridSpan w:val="4"/>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303-四川省发展和改革委员会</w:t>
            </w:r>
          </w:p>
        </w:tc>
        <w:tc>
          <w:tcPr>
            <w:tcW w:w="89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实施单位</w:t>
            </w:r>
          </w:p>
        </w:tc>
        <w:tc>
          <w:tcPr>
            <w:tcW w:w="141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四川省县域经济研究中心</w:t>
            </w:r>
          </w:p>
        </w:tc>
      </w:tr>
      <w:tr>
        <w:tblPrEx>
          <w:tblCellMar>
            <w:top w:w="0" w:type="dxa"/>
            <w:left w:w="108" w:type="dxa"/>
            <w:bottom w:w="0" w:type="dxa"/>
            <w:right w:w="108" w:type="dxa"/>
          </w:tblCellMar>
        </w:tblPrEx>
        <w:trPr>
          <w:trHeight w:val="341" w:hRule="atLeast"/>
          <w:jc w:val="center"/>
        </w:trPr>
        <w:tc>
          <w:tcPr>
            <w:tcW w:w="745"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项目预算</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执行情况</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（万元）</w:t>
            </w:r>
          </w:p>
        </w:tc>
        <w:tc>
          <w:tcPr>
            <w:tcW w:w="688"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预算数：</w:t>
            </w:r>
          </w:p>
        </w:tc>
        <w:tc>
          <w:tcPr>
            <w:tcW w:w="1253"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750.32</w:t>
            </w:r>
          </w:p>
        </w:tc>
        <w:tc>
          <w:tcPr>
            <w:tcW w:w="89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执行数：</w:t>
            </w:r>
          </w:p>
        </w:tc>
        <w:tc>
          <w:tcPr>
            <w:tcW w:w="141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748.12</w:t>
            </w:r>
          </w:p>
        </w:tc>
      </w:tr>
      <w:tr>
        <w:tblPrEx>
          <w:tblCellMar>
            <w:top w:w="0" w:type="dxa"/>
            <w:left w:w="108" w:type="dxa"/>
            <w:bottom w:w="0" w:type="dxa"/>
            <w:right w:w="108" w:type="dxa"/>
          </w:tblCellMar>
        </w:tblPrEx>
        <w:trPr>
          <w:trHeight w:val="577" w:hRule="atLeast"/>
          <w:jc w:val="center"/>
        </w:trPr>
        <w:tc>
          <w:tcPr>
            <w:tcW w:w="745"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88"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1253"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750.32</w:t>
            </w:r>
          </w:p>
        </w:tc>
        <w:tc>
          <w:tcPr>
            <w:tcW w:w="89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财政拨款</w:t>
            </w:r>
          </w:p>
        </w:tc>
        <w:tc>
          <w:tcPr>
            <w:tcW w:w="141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748.12</w:t>
            </w:r>
          </w:p>
        </w:tc>
      </w:tr>
      <w:tr>
        <w:tblPrEx>
          <w:tblCellMar>
            <w:top w:w="0" w:type="dxa"/>
            <w:left w:w="108" w:type="dxa"/>
            <w:bottom w:w="0" w:type="dxa"/>
            <w:right w:w="108" w:type="dxa"/>
          </w:tblCellMar>
        </w:tblPrEx>
        <w:trPr>
          <w:trHeight w:val="341" w:hRule="atLeast"/>
          <w:jc w:val="center"/>
        </w:trPr>
        <w:tc>
          <w:tcPr>
            <w:tcW w:w="745"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88"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1253"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p>
        </w:tc>
        <w:tc>
          <w:tcPr>
            <w:tcW w:w="899"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其他资金</w:t>
            </w:r>
          </w:p>
        </w:tc>
        <w:tc>
          <w:tcPr>
            <w:tcW w:w="1412" w:type="pc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p>
        </w:tc>
      </w:tr>
      <w:tr>
        <w:tblPrEx>
          <w:tblCellMar>
            <w:top w:w="0" w:type="dxa"/>
            <w:left w:w="108" w:type="dxa"/>
            <w:bottom w:w="0" w:type="dxa"/>
            <w:right w:w="108" w:type="dxa"/>
          </w:tblCellMar>
        </w:tblPrEx>
        <w:trPr>
          <w:trHeight w:val="217" w:hRule="atLeast"/>
          <w:jc w:val="center"/>
        </w:trPr>
        <w:tc>
          <w:tcPr>
            <w:tcW w:w="353" w:type="pct"/>
            <w:vMerge w:val="restart"/>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年度总体目标完成情况</w:t>
            </w:r>
          </w:p>
        </w:tc>
        <w:tc>
          <w:tcPr>
            <w:tcW w:w="2334" w:type="pct"/>
            <w:gridSpan w:val="5"/>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预期目标</w:t>
            </w:r>
          </w:p>
        </w:tc>
        <w:tc>
          <w:tcPr>
            <w:tcW w:w="2312" w:type="pct"/>
            <w:gridSpan w:val="2"/>
            <w:tcBorders>
              <w:top w:val="single" w:color="000000" w:sz="4" w:space="0"/>
              <w:left w:val="single" w:color="000000" w:sz="4" w:space="0"/>
              <w:bottom w:val="single" w:color="000000" w:sz="4" w:space="0"/>
              <w:right w:val="single" w:color="000000"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目标实际完成情况</w:t>
            </w:r>
          </w:p>
        </w:tc>
      </w:tr>
      <w:tr>
        <w:tblPrEx>
          <w:tblCellMar>
            <w:top w:w="0" w:type="dxa"/>
            <w:left w:w="108" w:type="dxa"/>
            <w:bottom w:w="0" w:type="dxa"/>
            <w:right w:w="108" w:type="dxa"/>
          </w:tblCellMar>
        </w:tblPrEx>
        <w:trPr>
          <w:trHeight w:val="1835" w:hRule="atLeast"/>
          <w:jc w:val="center"/>
        </w:trPr>
        <w:tc>
          <w:tcPr>
            <w:tcW w:w="353" w:type="pct"/>
            <w:vMerge w:val="continue"/>
            <w:tcBorders>
              <w:top w:val="single" w:color="000000" w:sz="4" w:space="0"/>
              <w:left w:val="single" w:color="000000" w:sz="4" w:space="0"/>
              <w:bottom w:val="single" w:color="auto" w:sz="4" w:space="0"/>
              <w:right w:val="single" w:color="000000"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2334" w:type="pct"/>
            <w:gridSpan w:val="5"/>
            <w:tcBorders>
              <w:top w:val="single" w:color="000000" w:sz="4" w:space="0"/>
              <w:left w:val="single" w:color="000000" w:sz="4" w:space="0"/>
              <w:bottom w:val="single" w:color="auto" w:sz="4" w:space="0"/>
              <w:right w:val="single" w:color="000000" w:sz="4" w:space="0"/>
            </w:tcBorders>
            <w:noWrap/>
            <w:vAlign w:val="center"/>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1.经济热点、难点分析工作；2.编制年度四川经济展望；3.省发改委门户网站、微博、微信、OA系统等系统运行维护、安全保障及信息采编；4.委信息系统开发建设、升级改造。</w:t>
            </w:r>
          </w:p>
        </w:tc>
        <w:tc>
          <w:tcPr>
            <w:tcW w:w="2312" w:type="pct"/>
            <w:gridSpan w:val="2"/>
            <w:tcBorders>
              <w:top w:val="single" w:color="000000" w:sz="4" w:space="0"/>
              <w:left w:val="single" w:color="000000" w:sz="4" w:space="0"/>
              <w:bottom w:val="single" w:color="auto" w:sz="4" w:space="0"/>
              <w:right w:val="single" w:color="000000" w:sz="4" w:space="0"/>
            </w:tcBorders>
            <w:noWrap/>
            <w:vAlign w:val="center"/>
          </w:tcPr>
          <w:p>
            <w:pPr>
              <w:pageBreakBefore w:val="0"/>
              <w:widowControl/>
              <w:kinsoku/>
              <w:wordWrap/>
              <w:overflowPunct/>
              <w:topLinePunct w:val="0"/>
              <w:bidi w:val="0"/>
              <w:spacing w:line="240" w:lineRule="auto"/>
              <w:ind w:firstLine="420" w:firstLineChars="200"/>
              <w:jc w:val="left"/>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1.完成经济热点、难点分析工作；2.完成年度四川经济展望编制；3.完成省发改委门户网站、微博、微信、OA系统等系统运行维护、安全保障及信息采编；4.基本完成委信息系统开发建设、升级改造。</w:t>
            </w:r>
          </w:p>
        </w:tc>
      </w:tr>
      <w:tr>
        <w:tblPrEx>
          <w:tblCellMar>
            <w:top w:w="0" w:type="dxa"/>
            <w:left w:w="108" w:type="dxa"/>
            <w:bottom w:w="0" w:type="dxa"/>
            <w:right w:w="108" w:type="dxa"/>
          </w:tblCellMar>
        </w:tblPrEx>
        <w:trPr>
          <w:trHeight w:val="738" w:hRule="atLeast"/>
          <w:jc w:val="center"/>
        </w:trPr>
        <w:tc>
          <w:tcPr>
            <w:tcW w:w="353" w:type="pct"/>
            <w:vMerge w:val="restar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年度绩效指标完成情况</w:t>
            </w:r>
          </w:p>
        </w:tc>
        <w:tc>
          <w:tcPr>
            <w:tcW w:w="512" w:type="pct"/>
            <w:gridSpan w:val="2"/>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一级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34" w:type="pct"/>
            <w:gridSpan w:val="2"/>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二级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118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三级</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89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预期指</w:t>
            </w:r>
          </w:p>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标值</w:t>
            </w:r>
          </w:p>
        </w:tc>
        <w:tc>
          <w:tcPr>
            <w:tcW w:w="1412"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实际完成指标值</w:t>
            </w:r>
          </w:p>
        </w:tc>
      </w:tr>
      <w:tr>
        <w:tblPrEx>
          <w:tblCellMar>
            <w:top w:w="0" w:type="dxa"/>
            <w:left w:w="108" w:type="dxa"/>
            <w:bottom w:w="0" w:type="dxa"/>
            <w:right w:w="108" w:type="dxa"/>
          </w:tblCellMar>
        </w:tblPrEx>
        <w:trPr>
          <w:trHeight w:val="1285" w:hRule="atLeast"/>
          <w:jc w:val="center"/>
        </w:trPr>
        <w:tc>
          <w:tcPr>
            <w:tcW w:w="353"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12" w:type="pct"/>
            <w:gridSpan w:val="2"/>
            <w:vMerge w:val="restart"/>
            <w:tcBorders>
              <w:top w:val="single" w:color="auto" w:sz="4" w:space="0"/>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完成</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34" w:type="pct"/>
            <w:gridSpan w:val="2"/>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数量指标</w:t>
            </w:r>
          </w:p>
        </w:tc>
        <w:tc>
          <w:tcPr>
            <w:tcW w:w="118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1.完成2个经济研究项目；2.2个信息刊物编辑；3.发改委网络系统安全运维；4.8个系统的招投标。</w:t>
            </w:r>
          </w:p>
        </w:tc>
        <w:tc>
          <w:tcPr>
            <w:tcW w:w="89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75%完成</w:t>
            </w:r>
          </w:p>
        </w:tc>
        <w:tc>
          <w:tcPr>
            <w:tcW w:w="1412"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r>
      <w:tr>
        <w:tblPrEx>
          <w:tblCellMar>
            <w:top w:w="0" w:type="dxa"/>
            <w:left w:w="108" w:type="dxa"/>
            <w:bottom w:w="0" w:type="dxa"/>
            <w:right w:w="108" w:type="dxa"/>
          </w:tblCellMar>
        </w:tblPrEx>
        <w:trPr>
          <w:trHeight w:val="519" w:hRule="atLeast"/>
          <w:jc w:val="center"/>
        </w:trPr>
        <w:tc>
          <w:tcPr>
            <w:tcW w:w="353"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12" w:type="pct"/>
            <w:gridSpan w:val="2"/>
            <w:vMerge w:val="continue"/>
            <w:tcBorders>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4" w:type="pct"/>
            <w:gridSpan w:val="2"/>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质量指标</w:t>
            </w:r>
          </w:p>
        </w:tc>
        <w:tc>
          <w:tcPr>
            <w:tcW w:w="118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按期完成率</w:t>
            </w:r>
          </w:p>
        </w:tc>
        <w:tc>
          <w:tcPr>
            <w:tcW w:w="89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c>
          <w:tcPr>
            <w:tcW w:w="1412"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r>
      <w:tr>
        <w:tblPrEx>
          <w:tblCellMar>
            <w:top w:w="0" w:type="dxa"/>
            <w:left w:w="108" w:type="dxa"/>
            <w:bottom w:w="0" w:type="dxa"/>
            <w:right w:w="108" w:type="dxa"/>
          </w:tblCellMar>
        </w:tblPrEx>
        <w:trPr>
          <w:trHeight w:val="685" w:hRule="atLeast"/>
          <w:jc w:val="center"/>
        </w:trPr>
        <w:tc>
          <w:tcPr>
            <w:tcW w:w="353"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12" w:type="pct"/>
            <w:gridSpan w:val="2"/>
            <w:vMerge w:val="continue"/>
            <w:tcBorders>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634" w:type="pct"/>
            <w:gridSpan w:val="2"/>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成本指标</w:t>
            </w:r>
          </w:p>
        </w:tc>
        <w:tc>
          <w:tcPr>
            <w:tcW w:w="118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完成计划项目工作</w:t>
            </w:r>
          </w:p>
        </w:tc>
        <w:tc>
          <w:tcPr>
            <w:tcW w:w="89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项目费用不高于预算</w:t>
            </w:r>
          </w:p>
        </w:tc>
        <w:tc>
          <w:tcPr>
            <w:tcW w:w="1412"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项目费用不高于预算</w:t>
            </w:r>
          </w:p>
        </w:tc>
      </w:tr>
      <w:tr>
        <w:tblPrEx>
          <w:tblCellMar>
            <w:top w:w="0" w:type="dxa"/>
            <w:left w:w="108" w:type="dxa"/>
            <w:bottom w:w="0" w:type="dxa"/>
            <w:right w:w="108" w:type="dxa"/>
          </w:tblCellMar>
        </w:tblPrEx>
        <w:trPr>
          <w:trHeight w:val="1165" w:hRule="atLeast"/>
          <w:jc w:val="center"/>
        </w:trPr>
        <w:tc>
          <w:tcPr>
            <w:tcW w:w="353"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12" w:type="pct"/>
            <w:gridSpan w:val="2"/>
            <w:vMerge w:val="restart"/>
            <w:tcBorders>
              <w:top w:val="single" w:color="auto" w:sz="4" w:space="0"/>
              <w:left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效益</w:t>
            </w:r>
          </w:p>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指标</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p>
        </w:tc>
        <w:tc>
          <w:tcPr>
            <w:tcW w:w="634" w:type="pct"/>
            <w:gridSpan w:val="2"/>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社会效益指标</w:t>
            </w:r>
          </w:p>
        </w:tc>
        <w:tc>
          <w:tcPr>
            <w:tcW w:w="118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left"/>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1.经济研究项目符合课题要求；2.信息刊物获得领导签批；3.发改委网络系统安全运行；4.承担的系统开发验收合格。</w:t>
            </w:r>
          </w:p>
        </w:tc>
        <w:tc>
          <w:tcPr>
            <w:tcW w:w="89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合格</w:t>
            </w:r>
            <w:r>
              <w:rPr>
                <w:rFonts w:hint="eastAsia" w:eastAsia="仿宋_GB2312" w:cs="Times New Roman"/>
                <w:color w:val="auto"/>
                <w:kern w:val="0"/>
                <w:szCs w:val="21"/>
                <w:lang w:eastAsia="zh-CN"/>
              </w:rPr>
              <w:t>率</w:t>
            </w:r>
            <w:r>
              <w:rPr>
                <w:rFonts w:hint="default" w:ascii="Times New Roman" w:hAnsi="Times New Roman" w:eastAsia="仿宋_GB2312" w:cs="Times New Roman"/>
                <w:color w:val="auto"/>
                <w:kern w:val="0"/>
                <w:szCs w:val="21"/>
              </w:rPr>
              <w:t>100%</w:t>
            </w:r>
          </w:p>
        </w:tc>
        <w:tc>
          <w:tcPr>
            <w:tcW w:w="1412"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r>
      <w:tr>
        <w:tblPrEx>
          <w:tblCellMar>
            <w:top w:w="0" w:type="dxa"/>
            <w:left w:w="108" w:type="dxa"/>
            <w:bottom w:w="0" w:type="dxa"/>
            <w:right w:w="108" w:type="dxa"/>
          </w:tblCellMar>
        </w:tblPrEx>
        <w:trPr>
          <w:trHeight w:val="713" w:hRule="atLeast"/>
          <w:jc w:val="center"/>
        </w:trPr>
        <w:tc>
          <w:tcPr>
            <w:tcW w:w="353"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12" w:type="pct"/>
            <w:gridSpan w:val="2"/>
            <w:vMerge w:val="continue"/>
            <w:tcBorders>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p>
        </w:tc>
        <w:tc>
          <w:tcPr>
            <w:tcW w:w="634" w:type="pct"/>
            <w:gridSpan w:val="2"/>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可持续影响指标</w:t>
            </w:r>
          </w:p>
        </w:tc>
        <w:tc>
          <w:tcPr>
            <w:tcW w:w="118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持续发挥作用的期限</w:t>
            </w:r>
          </w:p>
        </w:tc>
        <w:tc>
          <w:tcPr>
            <w:tcW w:w="89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≥10年</w:t>
            </w:r>
          </w:p>
        </w:tc>
        <w:tc>
          <w:tcPr>
            <w:tcW w:w="1412"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≥10年</w:t>
            </w:r>
          </w:p>
        </w:tc>
      </w:tr>
      <w:tr>
        <w:tblPrEx>
          <w:tblCellMar>
            <w:top w:w="0" w:type="dxa"/>
            <w:left w:w="108" w:type="dxa"/>
            <w:bottom w:w="0" w:type="dxa"/>
            <w:right w:w="108" w:type="dxa"/>
          </w:tblCellMar>
        </w:tblPrEx>
        <w:trPr>
          <w:trHeight w:val="777" w:hRule="atLeast"/>
          <w:jc w:val="center"/>
        </w:trPr>
        <w:tc>
          <w:tcPr>
            <w:tcW w:w="353" w:type="pct"/>
            <w:vMerge w:val="continue"/>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rPr>
                <w:rFonts w:hint="default" w:ascii="Times New Roman" w:hAnsi="Times New Roman" w:eastAsia="仿宋_GB2312" w:cs="Times New Roman"/>
                <w:color w:val="auto"/>
                <w:szCs w:val="21"/>
              </w:rPr>
            </w:pPr>
          </w:p>
        </w:tc>
        <w:tc>
          <w:tcPr>
            <w:tcW w:w="512" w:type="pct"/>
            <w:gridSpan w:val="2"/>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pageBreakBefore w:val="0"/>
              <w:widowControl/>
              <w:kinsoku/>
              <w:wordWrap/>
              <w:overflowPunct/>
              <w:topLinePunct w:val="0"/>
              <w:bidi w:val="0"/>
              <w:spacing w:line="240" w:lineRule="auto"/>
              <w:jc w:val="center"/>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指标</w:t>
            </w:r>
          </w:p>
        </w:tc>
        <w:tc>
          <w:tcPr>
            <w:tcW w:w="634" w:type="pct"/>
            <w:gridSpan w:val="2"/>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w:t>
            </w:r>
          </w:p>
        </w:tc>
        <w:tc>
          <w:tcPr>
            <w:tcW w:w="1188"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承担的各项工作按照计划完成</w:t>
            </w:r>
          </w:p>
        </w:tc>
        <w:tc>
          <w:tcPr>
            <w:tcW w:w="899"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项目使用方满意率≥90%</w:t>
            </w:r>
          </w:p>
        </w:tc>
        <w:tc>
          <w:tcPr>
            <w:tcW w:w="1412" w:type="pct"/>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240" w:lineRule="auto"/>
              <w:ind w:firstLine="420" w:firstLineChars="200"/>
              <w:jc w:val="center"/>
              <w:textAlignment w:val="top"/>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使用方满意率≥95%</w:t>
            </w:r>
          </w:p>
        </w:tc>
      </w:tr>
    </w:tbl>
    <w:p>
      <w:pPr>
        <w:pageBreakBefore w:val="0"/>
        <w:widowControl/>
        <w:kinsoku/>
        <w:wordWrap/>
        <w:overflowPunct/>
        <w:topLinePunct w:val="0"/>
        <w:bidi w:val="0"/>
        <w:spacing w:line="560" w:lineRule="exact"/>
        <w:textAlignment w:val="top"/>
        <w:rPr>
          <w:rFonts w:hint="default" w:ascii="Times New Roman" w:hAnsi="Times New Roman" w:eastAsia="仿宋_GB2312" w:cs="Times New Roman"/>
          <w:color w:val="auto"/>
          <w:kern w:val="0"/>
          <w:szCs w:val="21"/>
        </w:rPr>
      </w:pPr>
    </w:p>
    <w:p>
      <w:pPr>
        <w:pageBreakBefore w:val="0"/>
        <w:kinsoku/>
        <w:wordWrap/>
        <w:overflowPunct/>
        <w:topLinePunct w:val="0"/>
        <w:bidi w:val="0"/>
        <w:spacing w:line="560" w:lineRule="exact"/>
        <w:rPr>
          <w:rFonts w:hint="default" w:ascii="Times New Roman" w:hAnsi="Times New Roman" w:eastAsia="仿宋_GB2312" w:cs="Times New Roman"/>
          <w:color w:val="auto"/>
          <w:szCs w:val="21"/>
          <w:lang w:val="zh-CN"/>
        </w:rPr>
      </w:pPr>
    </w:p>
    <w:p>
      <w:pPr>
        <w:pageBreakBefore w:val="0"/>
        <w:kinsoku/>
        <w:wordWrap/>
        <w:overflowPunct/>
        <w:topLinePunct w:val="0"/>
        <w:bidi w:val="0"/>
        <w:spacing w:line="560" w:lineRule="exact"/>
        <w:jc w:val="center"/>
        <w:outlineLvl w:val="0"/>
        <w:rPr>
          <w:rFonts w:hint="default" w:ascii="Times New Roman" w:hAnsi="Times New Roman" w:eastAsia="黑体" w:cs="Times New Roman"/>
          <w:color w:val="auto"/>
          <w:sz w:val="44"/>
          <w:szCs w:val="44"/>
        </w:rPr>
      </w:pPr>
      <w:bookmarkStart w:id="103" w:name="_Toc15396618"/>
      <w:bookmarkStart w:id="104" w:name="_Toc112248422"/>
    </w:p>
    <w:p>
      <w:pPr>
        <w:pStyle w:val="7"/>
        <w:rPr>
          <w:rFonts w:hint="default" w:ascii="Times New Roman" w:hAnsi="Times New Roman" w:cs="Times New Roman"/>
          <w:color w:val="auto"/>
        </w:rPr>
      </w:pPr>
    </w:p>
    <w:p>
      <w:pPr>
        <w:pageBreakBefore w:val="0"/>
        <w:kinsoku/>
        <w:wordWrap/>
        <w:overflowPunct/>
        <w:topLinePunct w:val="0"/>
        <w:bidi w:val="0"/>
        <w:spacing w:line="560" w:lineRule="exact"/>
        <w:jc w:val="center"/>
        <w:outlineLvl w:val="0"/>
        <w:rPr>
          <w:rFonts w:hint="default" w:ascii="Times New Roman" w:hAnsi="Times New Roman" w:eastAsia="黑体" w:cs="Times New Roman"/>
          <w:color w:val="auto"/>
          <w:sz w:val="44"/>
          <w:szCs w:val="44"/>
        </w:rPr>
      </w:pPr>
    </w:p>
    <w:p>
      <w:pPr>
        <w:pageBreakBefore w:val="0"/>
        <w:kinsoku/>
        <w:wordWrap/>
        <w:overflowPunct/>
        <w:topLinePunct w:val="0"/>
        <w:bidi w:val="0"/>
        <w:spacing w:line="560" w:lineRule="exact"/>
        <w:jc w:val="center"/>
        <w:outlineLvl w:val="0"/>
        <w:rPr>
          <w:rFonts w:hint="default" w:ascii="Times New Roman" w:hAnsi="Times New Roman" w:eastAsia="黑体" w:cs="Times New Roman"/>
          <w:color w:val="auto"/>
          <w:sz w:val="44"/>
          <w:szCs w:val="44"/>
        </w:rPr>
      </w:pPr>
    </w:p>
    <w:p>
      <w:pPr>
        <w:pageBreakBefore w:val="0"/>
        <w:kinsoku/>
        <w:wordWrap/>
        <w:overflowPunct/>
        <w:topLinePunct w:val="0"/>
        <w:bidi w:val="0"/>
        <w:spacing w:line="560" w:lineRule="exact"/>
        <w:jc w:val="center"/>
        <w:outlineLvl w:val="0"/>
        <w:rPr>
          <w:rStyle w:val="33"/>
          <w:rFonts w:hint="default" w:ascii="Times New Roman" w:hAnsi="Times New Roman" w:eastAsia="黑体" w:cs="Times New Roman"/>
          <w:b w:val="0"/>
          <w:color w:val="auto"/>
        </w:rPr>
      </w:pPr>
      <w:r>
        <w:rPr>
          <w:rFonts w:hint="default" w:ascii="Times New Roman" w:hAnsi="Times New Roman" w:eastAsia="黑体" w:cs="Times New Roman"/>
          <w:color w:val="auto"/>
          <w:sz w:val="44"/>
          <w:szCs w:val="44"/>
        </w:rPr>
        <w:t>第</w:t>
      </w:r>
      <w:r>
        <w:rPr>
          <w:rStyle w:val="33"/>
          <w:rFonts w:hint="default" w:ascii="Times New Roman" w:hAnsi="Times New Roman" w:eastAsia="黑体" w:cs="Times New Roman"/>
          <w:b w:val="0"/>
          <w:color w:val="auto"/>
        </w:rPr>
        <w:t>五部分 附表</w:t>
      </w:r>
      <w:bookmarkEnd w:id="100"/>
      <w:bookmarkEnd w:id="103"/>
      <w:bookmarkEnd w:id="104"/>
      <w:bookmarkStart w:id="105" w:name="_Toc15396619"/>
    </w:p>
    <w:p>
      <w:pPr>
        <w:pStyle w:val="4"/>
        <w:pageBreakBefore w:val="0"/>
        <w:widowControl w:val="0"/>
        <w:kinsoku/>
        <w:wordWrap/>
        <w:overflowPunct/>
        <w:topLinePunct w:val="0"/>
        <w:autoSpaceDE/>
        <w:autoSpaceDN/>
        <w:bidi w:val="0"/>
        <w:adjustRightInd/>
        <w:snapToGrid w:val="0"/>
        <w:spacing w:before="0" w:after="0" w:line="560" w:lineRule="exact"/>
        <w:textAlignment w:val="auto"/>
        <w:rPr>
          <w:rFonts w:hint="default" w:ascii="Times New Roman" w:hAnsi="Times New Roman" w:eastAsia="仿宋" w:cs="Times New Roman"/>
          <w:b w:val="0"/>
          <w:color w:val="auto"/>
        </w:rPr>
      </w:pPr>
      <w:bookmarkStart w:id="106" w:name="_Toc112248423"/>
    </w:p>
    <w:p>
      <w:pPr>
        <w:pStyle w:val="4"/>
        <w:pageBreakBefore w:val="0"/>
        <w:widowControl w:val="0"/>
        <w:kinsoku/>
        <w:wordWrap/>
        <w:overflowPunct/>
        <w:topLinePunct w:val="0"/>
        <w:autoSpaceDE/>
        <w:autoSpaceDN/>
        <w:bidi w:val="0"/>
        <w:adjustRightInd/>
        <w:snapToGrid w:val="0"/>
        <w:spacing w:before="0" w:after="0" w:line="560" w:lineRule="exact"/>
        <w:textAlignment w:val="auto"/>
        <w:rPr>
          <w:rStyle w:val="34"/>
          <w:rFonts w:hint="eastAsia" w:ascii="仿宋_GB2312" w:hAnsi="仿宋_GB2312" w:eastAsia="仿宋_GB2312" w:cs="仿宋_GB2312"/>
          <w:b w:val="0"/>
          <w:bCs w:val="0"/>
          <w:color w:val="auto"/>
        </w:rPr>
      </w:pPr>
      <w:r>
        <w:rPr>
          <w:rFonts w:hint="eastAsia" w:ascii="仿宋_GB2312" w:hAnsi="仿宋_GB2312" w:eastAsia="仿宋_GB2312" w:cs="仿宋_GB2312"/>
          <w:b w:val="0"/>
          <w:color w:val="auto"/>
        </w:rPr>
        <w:t>一、收</w:t>
      </w:r>
      <w:r>
        <w:rPr>
          <w:rStyle w:val="34"/>
          <w:rFonts w:hint="eastAsia" w:ascii="仿宋_GB2312" w:hAnsi="仿宋_GB2312" w:eastAsia="仿宋_GB2312" w:cs="仿宋_GB2312"/>
          <w:b w:val="0"/>
          <w:bCs w:val="0"/>
          <w:color w:val="auto"/>
        </w:rPr>
        <w:t>入支出决算总表</w:t>
      </w:r>
      <w:bookmarkEnd w:id="105"/>
      <w:bookmarkEnd w:id="106"/>
      <w:bookmarkStart w:id="107" w:name="_Toc112248424"/>
      <w:bookmarkStart w:id="108" w:name="_Toc15396620"/>
    </w:p>
    <w:p>
      <w:pPr>
        <w:pStyle w:val="4"/>
        <w:pageBreakBefore w:val="0"/>
        <w:widowControl w:val="0"/>
        <w:kinsoku/>
        <w:wordWrap/>
        <w:overflowPunct/>
        <w:topLinePunct w:val="0"/>
        <w:autoSpaceDE/>
        <w:autoSpaceDN/>
        <w:bidi w:val="0"/>
        <w:adjustRightInd/>
        <w:snapToGrid w:val="0"/>
        <w:spacing w:before="0" w:after="0" w:line="560" w:lineRule="exact"/>
        <w:textAlignment w:val="auto"/>
        <w:rPr>
          <w:rFonts w:hint="eastAsia" w:ascii="仿宋_GB2312" w:hAnsi="仿宋_GB2312" w:eastAsia="仿宋_GB2312" w:cs="仿宋_GB2312"/>
          <w:color w:val="auto"/>
        </w:rPr>
      </w:pPr>
      <w:r>
        <w:rPr>
          <w:rFonts w:hint="eastAsia" w:ascii="仿宋_GB2312" w:hAnsi="仿宋_GB2312" w:eastAsia="仿宋_GB2312" w:cs="仿宋_GB2312"/>
          <w:b w:val="0"/>
          <w:color w:val="auto"/>
        </w:rPr>
        <w:t>二、收</w:t>
      </w:r>
      <w:r>
        <w:rPr>
          <w:rStyle w:val="34"/>
          <w:rFonts w:hint="eastAsia" w:ascii="仿宋_GB2312" w:hAnsi="仿宋_GB2312" w:eastAsia="仿宋_GB2312" w:cs="仿宋_GB2312"/>
          <w:b w:val="0"/>
          <w:bCs w:val="0"/>
          <w:color w:val="auto"/>
        </w:rPr>
        <w:t>入决算表</w:t>
      </w:r>
      <w:bookmarkEnd w:id="107"/>
      <w:bookmarkEnd w:id="108"/>
    </w:p>
    <w:p>
      <w:pPr>
        <w:pStyle w:val="4"/>
        <w:pageBreakBefore w:val="0"/>
        <w:widowControl w:val="0"/>
        <w:kinsoku/>
        <w:wordWrap/>
        <w:overflowPunct/>
        <w:topLinePunct w:val="0"/>
        <w:autoSpaceDE/>
        <w:autoSpaceDN/>
        <w:bidi w:val="0"/>
        <w:adjustRightInd/>
        <w:snapToGrid w:val="0"/>
        <w:spacing w:before="0" w:after="0" w:line="560" w:lineRule="exact"/>
        <w:textAlignment w:val="auto"/>
        <w:rPr>
          <w:rFonts w:hint="eastAsia" w:ascii="仿宋_GB2312" w:hAnsi="仿宋_GB2312" w:eastAsia="仿宋_GB2312" w:cs="仿宋_GB2312"/>
          <w:color w:val="auto"/>
        </w:rPr>
      </w:pPr>
      <w:bookmarkStart w:id="109" w:name="_Toc112248425"/>
      <w:bookmarkStart w:id="110" w:name="_Toc15396621"/>
      <w:r>
        <w:rPr>
          <w:rStyle w:val="34"/>
          <w:rFonts w:hint="eastAsia" w:ascii="仿宋_GB2312" w:hAnsi="仿宋_GB2312" w:eastAsia="仿宋_GB2312" w:cs="仿宋_GB2312"/>
          <w:b w:val="0"/>
          <w:bCs w:val="0"/>
          <w:color w:val="auto"/>
        </w:rPr>
        <w:t>三、</w:t>
      </w:r>
      <w:r>
        <w:rPr>
          <w:rFonts w:hint="eastAsia" w:ascii="仿宋_GB2312" w:hAnsi="仿宋_GB2312" w:eastAsia="仿宋_GB2312" w:cs="仿宋_GB2312"/>
          <w:b w:val="0"/>
          <w:color w:val="auto"/>
        </w:rPr>
        <w:t>支</w:t>
      </w:r>
      <w:r>
        <w:rPr>
          <w:rStyle w:val="34"/>
          <w:rFonts w:hint="eastAsia" w:ascii="仿宋_GB2312" w:hAnsi="仿宋_GB2312" w:eastAsia="仿宋_GB2312" w:cs="仿宋_GB2312"/>
          <w:b w:val="0"/>
          <w:bCs w:val="0"/>
          <w:color w:val="auto"/>
        </w:rPr>
        <w:t>出决算表</w:t>
      </w:r>
      <w:bookmarkEnd w:id="109"/>
      <w:bookmarkEnd w:id="110"/>
    </w:p>
    <w:p>
      <w:pPr>
        <w:pStyle w:val="4"/>
        <w:pageBreakBefore w:val="0"/>
        <w:widowControl w:val="0"/>
        <w:kinsoku/>
        <w:wordWrap/>
        <w:overflowPunct/>
        <w:topLinePunct w:val="0"/>
        <w:autoSpaceDE/>
        <w:autoSpaceDN/>
        <w:bidi w:val="0"/>
        <w:adjustRightInd/>
        <w:snapToGrid w:val="0"/>
        <w:spacing w:before="0" w:after="0" w:line="560" w:lineRule="exact"/>
        <w:textAlignment w:val="auto"/>
        <w:rPr>
          <w:rFonts w:hint="eastAsia" w:ascii="仿宋_GB2312" w:hAnsi="仿宋_GB2312" w:eastAsia="仿宋_GB2312" w:cs="仿宋_GB2312"/>
          <w:b w:val="0"/>
          <w:color w:val="auto"/>
        </w:rPr>
      </w:pPr>
      <w:bookmarkStart w:id="111" w:name="_Toc15396622"/>
      <w:bookmarkStart w:id="112" w:name="_Toc112248426"/>
      <w:r>
        <w:rPr>
          <w:rStyle w:val="34"/>
          <w:rFonts w:hint="eastAsia" w:ascii="仿宋_GB2312" w:hAnsi="仿宋_GB2312" w:eastAsia="仿宋_GB2312" w:cs="仿宋_GB2312"/>
          <w:b w:val="0"/>
          <w:bCs w:val="0"/>
          <w:color w:val="auto"/>
        </w:rPr>
        <w:t>四、</w:t>
      </w:r>
      <w:r>
        <w:rPr>
          <w:rFonts w:hint="eastAsia" w:ascii="仿宋_GB2312" w:hAnsi="仿宋_GB2312" w:eastAsia="仿宋_GB2312" w:cs="仿宋_GB2312"/>
          <w:b w:val="0"/>
          <w:color w:val="auto"/>
        </w:rPr>
        <w:t>财</w:t>
      </w:r>
      <w:r>
        <w:rPr>
          <w:rStyle w:val="34"/>
          <w:rFonts w:hint="eastAsia" w:ascii="仿宋_GB2312" w:hAnsi="仿宋_GB2312" w:eastAsia="仿宋_GB2312" w:cs="仿宋_GB2312"/>
          <w:b w:val="0"/>
          <w:bCs w:val="0"/>
          <w:color w:val="auto"/>
        </w:rPr>
        <w:t>政拨款收入支出决算总表</w:t>
      </w:r>
      <w:bookmarkEnd w:id="111"/>
      <w:bookmarkEnd w:id="112"/>
    </w:p>
    <w:p>
      <w:pPr>
        <w:pStyle w:val="4"/>
        <w:pageBreakBefore w:val="0"/>
        <w:widowControl w:val="0"/>
        <w:kinsoku/>
        <w:wordWrap/>
        <w:overflowPunct/>
        <w:topLinePunct w:val="0"/>
        <w:autoSpaceDE/>
        <w:autoSpaceDN/>
        <w:bidi w:val="0"/>
        <w:adjustRightInd/>
        <w:snapToGrid w:val="0"/>
        <w:spacing w:before="0" w:after="0" w:line="560" w:lineRule="exact"/>
        <w:textAlignment w:val="auto"/>
        <w:rPr>
          <w:rStyle w:val="34"/>
          <w:rFonts w:hint="eastAsia" w:ascii="仿宋_GB2312" w:hAnsi="仿宋_GB2312" w:eastAsia="仿宋_GB2312" w:cs="仿宋_GB2312"/>
          <w:b w:val="0"/>
          <w:bCs w:val="0"/>
          <w:color w:val="auto"/>
        </w:rPr>
      </w:pPr>
      <w:bookmarkStart w:id="113" w:name="_Toc112248427"/>
      <w:bookmarkStart w:id="114" w:name="_Toc15396623"/>
      <w:r>
        <w:rPr>
          <w:rStyle w:val="34"/>
          <w:rFonts w:hint="eastAsia" w:ascii="仿宋_GB2312" w:hAnsi="仿宋_GB2312" w:eastAsia="仿宋_GB2312" w:cs="仿宋_GB2312"/>
          <w:b w:val="0"/>
          <w:bCs w:val="0"/>
          <w:color w:val="auto"/>
        </w:rPr>
        <w:t>五、</w:t>
      </w:r>
      <w:r>
        <w:rPr>
          <w:rFonts w:hint="eastAsia" w:ascii="仿宋_GB2312" w:hAnsi="仿宋_GB2312" w:eastAsia="仿宋_GB2312" w:cs="仿宋_GB2312"/>
          <w:b w:val="0"/>
          <w:color w:val="auto"/>
        </w:rPr>
        <w:t>财</w:t>
      </w:r>
      <w:r>
        <w:rPr>
          <w:rStyle w:val="34"/>
          <w:rFonts w:hint="eastAsia" w:ascii="仿宋_GB2312" w:hAnsi="仿宋_GB2312" w:eastAsia="仿宋_GB2312" w:cs="仿宋_GB2312"/>
          <w:b w:val="0"/>
          <w:bCs w:val="0"/>
          <w:color w:val="auto"/>
        </w:rPr>
        <w:t>政拨款支出决算明细表</w:t>
      </w:r>
      <w:bookmarkEnd w:id="113"/>
      <w:bookmarkEnd w:id="114"/>
      <w:bookmarkStart w:id="115" w:name="_Toc15396624"/>
    </w:p>
    <w:p>
      <w:pPr>
        <w:pStyle w:val="4"/>
        <w:pageBreakBefore w:val="0"/>
        <w:widowControl w:val="0"/>
        <w:kinsoku/>
        <w:wordWrap/>
        <w:overflowPunct/>
        <w:topLinePunct w:val="0"/>
        <w:autoSpaceDE/>
        <w:autoSpaceDN/>
        <w:bidi w:val="0"/>
        <w:adjustRightInd/>
        <w:snapToGrid w:val="0"/>
        <w:spacing w:before="0" w:after="0" w:line="560" w:lineRule="exact"/>
        <w:textAlignment w:val="auto"/>
        <w:rPr>
          <w:rFonts w:hint="eastAsia" w:ascii="仿宋_GB2312" w:hAnsi="仿宋_GB2312" w:eastAsia="仿宋_GB2312" w:cs="仿宋_GB2312"/>
          <w:color w:val="auto"/>
        </w:rPr>
      </w:pPr>
      <w:bookmarkStart w:id="116" w:name="_Toc112248428"/>
      <w:r>
        <w:rPr>
          <w:rStyle w:val="34"/>
          <w:rFonts w:hint="eastAsia" w:ascii="仿宋_GB2312" w:hAnsi="仿宋_GB2312" w:eastAsia="仿宋_GB2312" w:cs="仿宋_GB2312"/>
          <w:b w:val="0"/>
          <w:bCs w:val="0"/>
          <w:color w:val="auto"/>
        </w:rPr>
        <w:t>六、</w:t>
      </w:r>
      <w:r>
        <w:rPr>
          <w:rFonts w:hint="eastAsia" w:ascii="仿宋_GB2312" w:hAnsi="仿宋_GB2312" w:eastAsia="仿宋_GB2312" w:cs="仿宋_GB2312"/>
          <w:b w:val="0"/>
          <w:color w:val="auto"/>
        </w:rPr>
        <w:t>一</w:t>
      </w:r>
      <w:r>
        <w:rPr>
          <w:rStyle w:val="34"/>
          <w:rFonts w:hint="eastAsia" w:ascii="仿宋_GB2312" w:hAnsi="仿宋_GB2312" w:eastAsia="仿宋_GB2312" w:cs="仿宋_GB2312"/>
          <w:b w:val="0"/>
          <w:bCs w:val="0"/>
          <w:color w:val="auto"/>
        </w:rPr>
        <w:t>般公共预算财政拨款支出决算表</w:t>
      </w:r>
      <w:bookmarkEnd w:id="115"/>
      <w:bookmarkEnd w:id="116"/>
    </w:p>
    <w:p>
      <w:pPr>
        <w:pStyle w:val="4"/>
        <w:pageBreakBefore w:val="0"/>
        <w:widowControl w:val="0"/>
        <w:kinsoku/>
        <w:wordWrap/>
        <w:overflowPunct/>
        <w:topLinePunct w:val="0"/>
        <w:autoSpaceDE/>
        <w:autoSpaceDN/>
        <w:bidi w:val="0"/>
        <w:adjustRightInd/>
        <w:snapToGrid w:val="0"/>
        <w:spacing w:before="0" w:after="0" w:line="560" w:lineRule="exact"/>
        <w:textAlignment w:val="auto"/>
        <w:rPr>
          <w:rFonts w:hint="eastAsia" w:ascii="仿宋_GB2312" w:hAnsi="仿宋_GB2312" w:eastAsia="仿宋_GB2312" w:cs="仿宋_GB2312"/>
          <w:color w:val="auto"/>
        </w:rPr>
      </w:pPr>
      <w:bookmarkStart w:id="117" w:name="_Toc112248429"/>
      <w:bookmarkStart w:id="118" w:name="_Toc15396625"/>
      <w:r>
        <w:rPr>
          <w:rStyle w:val="34"/>
          <w:rFonts w:hint="eastAsia" w:ascii="仿宋_GB2312" w:hAnsi="仿宋_GB2312" w:eastAsia="仿宋_GB2312" w:cs="仿宋_GB2312"/>
          <w:b w:val="0"/>
          <w:bCs w:val="0"/>
          <w:color w:val="auto"/>
        </w:rPr>
        <w:t>七、</w:t>
      </w:r>
      <w:r>
        <w:rPr>
          <w:rFonts w:hint="eastAsia" w:ascii="仿宋_GB2312" w:hAnsi="仿宋_GB2312" w:eastAsia="仿宋_GB2312" w:cs="仿宋_GB2312"/>
          <w:b w:val="0"/>
          <w:color w:val="auto"/>
        </w:rPr>
        <w:t>一</w:t>
      </w:r>
      <w:r>
        <w:rPr>
          <w:rStyle w:val="34"/>
          <w:rFonts w:hint="eastAsia" w:ascii="仿宋_GB2312" w:hAnsi="仿宋_GB2312" w:eastAsia="仿宋_GB2312" w:cs="仿宋_GB2312"/>
          <w:b w:val="0"/>
          <w:bCs w:val="0"/>
          <w:color w:val="auto"/>
        </w:rPr>
        <w:t>般公共预算财政拨款支出决算明细表</w:t>
      </w:r>
      <w:bookmarkEnd w:id="117"/>
      <w:bookmarkEnd w:id="118"/>
    </w:p>
    <w:p>
      <w:pPr>
        <w:pStyle w:val="4"/>
        <w:pageBreakBefore w:val="0"/>
        <w:widowControl w:val="0"/>
        <w:kinsoku/>
        <w:wordWrap/>
        <w:overflowPunct/>
        <w:topLinePunct w:val="0"/>
        <w:autoSpaceDE/>
        <w:autoSpaceDN/>
        <w:bidi w:val="0"/>
        <w:adjustRightInd/>
        <w:snapToGrid w:val="0"/>
        <w:spacing w:before="0" w:after="0" w:line="560" w:lineRule="exact"/>
        <w:textAlignment w:val="auto"/>
        <w:rPr>
          <w:rFonts w:hint="eastAsia" w:ascii="仿宋_GB2312" w:hAnsi="仿宋_GB2312" w:eastAsia="仿宋_GB2312" w:cs="仿宋_GB2312"/>
          <w:color w:val="auto"/>
        </w:rPr>
      </w:pPr>
      <w:bookmarkStart w:id="119" w:name="_Toc112248430"/>
      <w:bookmarkStart w:id="120" w:name="_Toc15396626"/>
      <w:r>
        <w:rPr>
          <w:rStyle w:val="34"/>
          <w:rFonts w:hint="eastAsia" w:ascii="仿宋_GB2312" w:hAnsi="仿宋_GB2312" w:eastAsia="仿宋_GB2312" w:cs="仿宋_GB2312"/>
          <w:b w:val="0"/>
          <w:bCs w:val="0"/>
          <w:color w:val="auto"/>
        </w:rPr>
        <w:t>八、</w:t>
      </w:r>
      <w:r>
        <w:rPr>
          <w:rFonts w:hint="eastAsia" w:ascii="仿宋_GB2312" w:hAnsi="仿宋_GB2312" w:eastAsia="仿宋_GB2312" w:cs="仿宋_GB2312"/>
          <w:b w:val="0"/>
          <w:color w:val="auto"/>
        </w:rPr>
        <w:t>一</w:t>
      </w:r>
      <w:r>
        <w:rPr>
          <w:rStyle w:val="34"/>
          <w:rFonts w:hint="eastAsia" w:ascii="仿宋_GB2312" w:hAnsi="仿宋_GB2312" w:eastAsia="仿宋_GB2312" w:cs="仿宋_GB2312"/>
          <w:b w:val="0"/>
          <w:bCs w:val="0"/>
          <w:color w:val="auto"/>
        </w:rPr>
        <w:t>般公共预算财政拨款基本支出决算表</w:t>
      </w:r>
      <w:bookmarkEnd w:id="119"/>
      <w:bookmarkEnd w:id="120"/>
    </w:p>
    <w:p>
      <w:pPr>
        <w:pStyle w:val="4"/>
        <w:pageBreakBefore w:val="0"/>
        <w:widowControl w:val="0"/>
        <w:kinsoku/>
        <w:wordWrap/>
        <w:overflowPunct/>
        <w:topLinePunct w:val="0"/>
        <w:autoSpaceDE/>
        <w:autoSpaceDN/>
        <w:bidi w:val="0"/>
        <w:adjustRightInd/>
        <w:snapToGrid w:val="0"/>
        <w:spacing w:before="0" w:after="0" w:line="560" w:lineRule="exact"/>
        <w:textAlignment w:val="auto"/>
        <w:rPr>
          <w:rFonts w:hint="eastAsia" w:ascii="仿宋_GB2312" w:hAnsi="仿宋_GB2312" w:eastAsia="仿宋_GB2312" w:cs="仿宋_GB2312"/>
          <w:color w:val="auto"/>
        </w:rPr>
      </w:pPr>
      <w:bookmarkStart w:id="121" w:name="_Toc112248431"/>
      <w:bookmarkStart w:id="122" w:name="_Toc15396627"/>
      <w:r>
        <w:rPr>
          <w:rStyle w:val="34"/>
          <w:rFonts w:hint="eastAsia" w:ascii="仿宋_GB2312" w:hAnsi="仿宋_GB2312" w:eastAsia="仿宋_GB2312" w:cs="仿宋_GB2312"/>
          <w:b w:val="0"/>
          <w:bCs w:val="0"/>
          <w:color w:val="auto"/>
        </w:rPr>
        <w:t>九、</w:t>
      </w:r>
      <w:r>
        <w:rPr>
          <w:rFonts w:hint="eastAsia" w:ascii="仿宋_GB2312" w:hAnsi="仿宋_GB2312" w:eastAsia="仿宋_GB2312" w:cs="仿宋_GB2312"/>
          <w:b w:val="0"/>
          <w:color w:val="auto"/>
        </w:rPr>
        <w:t>一</w:t>
      </w:r>
      <w:r>
        <w:rPr>
          <w:rStyle w:val="34"/>
          <w:rFonts w:hint="eastAsia" w:ascii="仿宋_GB2312" w:hAnsi="仿宋_GB2312" w:eastAsia="仿宋_GB2312" w:cs="仿宋_GB2312"/>
          <w:b w:val="0"/>
          <w:bCs w:val="0"/>
          <w:color w:val="auto"/>
        </w:rPr>
        <w:t>般公共预算财政拨款项目支出决算表</w:t>
      </w:r>
      <w:bookmarkEnd w:id="121"/>
      <w:bookmarkEnd w:id="122"/>
    </w:p>
    <w:p>
      <w:pPr>
        <w:pStyle w:val="4"/>
        <w:pageBreakBefore w:val="0"/>
        <w:widowControl w:val="0"/>
        <w:kinsoku/>
        <w:wordWrap/>
        <w:overflowPunct/>
        <w:topLinePunct w:val="0"/>
        <w:autoSpaceDE/>
        <w:autoSpaceDN/>
        <w:bidi w:val="0"/>
        <w:adjustRightInd/>
        <w:snapToGrid w:val="0"/>
        <w:spacing w:before="0" w:after="0" w:line="560" w:lineRule="exact"/>
        <w:textAlignment w:val="auto"/>
        <w:rPr>
          <w:rFonts w:hint="eastAsia" w:ascii="仿宋_GB2312" w:hAnsi="仿宋_GB2312" w:eastAsia="仿宋_GB2312" w:cs="仿宋_GB2312"/>
          <w:color w:val="auto"/>
        </w:rPr>
      </w:pPr>
      <w:bookmarkStart w:id="123" w:name="_Toc112248432"/>
      <w:bookmarkStart w:id="124" w:name="_Toc15396628"/>
      <w:r>
        <w:rPr>
          <w:rStyle w:val="34"/>
          <w:rFonts w:hint="eastAsia" w:ascii="仿宋_GB2312" w:hAnsi="仿宋_GB2312" w:eastAsia="仿宋_GB2312" w:cs="仿宋_GB2312"/>
          <w:b w:val="0"/>
          <w:bCs w:val="0"/>
          <w:color w:val="auto"/>
        </w:rPr>
        <w:t>十、</w:t>
      </w:r>
      <w:r>
        <w:rPr>
          <w:rFonts w:hint="eastAsia" w:ascii="仿宋_GB2312" w:hAnsi="仿宋_GB2312" w:eastAsia="仿宋_GB2312" w:cs="仿宋_GB2312"/>
          <w:b w:val="0"/>
          <w:color w:val="auto"/>
        </w:rPr>
        <w:t>一</w:t>
      </w:r>
      <w:r>
        <w:rPr>
          <w:rStyle w:val="34"/>
          <w:rFonts w:hint="eastAsia" w:ascii="仿宋_GB2312" w:hAnsi="仿宋_GB2312" w:eastAsia="仿宋_GB2312" w:cs="仿宋_GB2312"/>
          <w:b w:val="0"/>
          <w:bCs w:val="0"/>
          <w:color w:val="auto"/>
        </w:rPr>
        <w:t>般公共预算财政拨款“三公”经费支出决算表</w:t>
      </w:r>
      <w:bookmarkEnd w:id="123"/>
      <w:bookmarkEnd w:id="124"/>
    </w:p>
    <w:p>
      <w:pPr>
        <w:pStyle w:val="4"/>
        <w:pageBreakBefore w:val="0"/>
        <w:widowControl w:val="0"/>
        <w:kinsoku/>
        <w:wordWrap/>
        <w:overflowPunct/>
        <w:topLinePunct w:val="0"/>
        <w:autoSpaceDE/>
        <w:autoSpaceDN/>
        <w:bidi w:val="0"/>
        <w:adjustRightInd/>
        <w:snapToGrid w:val="0"/>
        <w:spacing w:before="0" w:after="0" w:line="560" w:lineRule="exact"/>
        <w:textAlignment w:val="auto"/>
        <w:rPr>
          <w:rFonts w:hint="eastAsia" w:ascii="仿宋_GB2312" w:hAnsi="仿宋_GB2312" w:eastAsia="仿宋_GB2312" w:cs="仿宋_GB2312"/>
          <w:color w:val="auto"/>
        </w:rPr>
      </w:pPr>
      <w:bookmarkStart w:id="125" w:name="_Toc112248433"/>
      <w:bookmarkStart w:id="126" w:name="_Toc15396629"/>
      <w:r>
        <w:rPr>
          <w:rStyle w:val="34"/>
          <w:rFonts w:hint="eastAsia" w:ascii="仿宋_GB2312" w:hAnsi="仿宋_GB2312" w:eastAsia="仿宋_GB2312" w:cs="仿宋_GB2312"/>
          <w:b w:val="0"/>
          <w:bCs w:val="0"/>
          <w:color w:val="auto"/>
        </w:rPr>
        <w:t>十一、</w:t>
      </w:r>
      <w:r>
        <w:rPr>
          <w:rFonts w:hint="eastAsia" w:ascii="仿宋_GB2312" w:hAnsi="仿宋_GB2312" w:eastAsia="仿宋_GB2312" w:cs="仿宋_GB2312"/>
          <w:b w:val="0"/>
          <w:color w:val="auto"/>
        </w:rPr>
        <w:t>政</w:t>
      </w:r>
      <w:r>
        <w:rPr>
          <w:rStyle w:val="34"/>
          <w:rFonts w:hint="eastAsia" w:ascii="仿宋_GB2312" w:hAnsi="仿宋_GB2312" w:eastAsia="仿宋_GB2312" w:cs="仿宋_GB2312"/>
          <w:b w:val="0"/>
          <w:bCs w:val="0"/>
          <w:color w:val="auto"/>
        </w:rPr>
        <w:t>府性基金预算财政拨款收入支出决算表</w:t>
      </w:r>
      <w:bookmarkEnd w:id="125"/>
      <w:bookmarkEnd w:id="126"/>
    </w:p>
    <w:p>
      <w:pPr>
        <w:pStyle w:val="4"/>
        <w:pageBreakBefore w:val="0"/>
        <w:widowControl w:val="0"/>
        <w:kinsoku/>
        <w:wordWrap/>
        <w:overflowPunct/>
        <w:topLinePunct w:val="0"/>
        <w:autoSpaceDE/>
        <w:autoSpaceDN/>
        <w:bidi w:val="0"/>
        <w:adjustRightInd/>
        <w:snapToGrid w:val="0"/>
        <w:spacing w:before="0" w:after="0" w:line="560" w:lineRule="exact"/>
        <w:textAlignment w:val="auto"/>
        <w:rPr>
          <w:rFonts w:hint="eastAsia" w:ascii="仿宋_GB2312" w:hAnsi="仿宋_GB2312" w:eastAsia="仿宋_GB2312" w:cs="仿宋_GB2312"/>
          <w:color w:val="auto"/>
        </w:rPr>
      </w:pPr>
      <w:bookmarkStart w:id="127" w:name="_Toc112248434"/>
      <w:bookmarkStart w:id="128" w:name="_Toc15396630"/>
      <w:r>
        <w:rPr>
          <w:rStyle w:val="34"/>
          <w:rFonts w:hint="eastAsia" w:ascii="仿宋_GB2312" w:hAnsi="仿宋_GB2312" w:eastAsia="仿宋_GB2312" w:cs="仿宋_GB2312"/>
          <w:b w:val="0"/>
          <w:bCs w:val="0"/>
          <w:color w:val="auto"/>
        </w:rPr>
        <w:t>十二、</w:t>
      </w:r>
      <w:r>
        <w:rPr>
          <w:rFonts w:hint="eastAsia" w:ascii="仿宋_GB2312" w:hAnsi="仿宋_GB2312" w:eastAsia="仿宋_GB2312" w:cs="仿宋_GB2312"/>
          <w:b w:val="0"/>
          <w:color w:val="auto"/>
        </w:rPr>
        <w:t>政</w:t>
      </w:r>
      <w:r>
        <w:rPr>
          <w:rStyle w:val="34"/>
          <w:rFonts w:hint="eastAsia" w:ascii="仿宋_GB2312" w:hAnsi="仿宋_GB2312" w:eastAsia="仿宋_GB2312" w:cs="仿宋_GB2312"/>
          <w:b w:val="0"/>
          <w:bCs w:val="0"/>
          <w:color w:val="auto"/>
        </w:rPr>
        <w:t>府性基金预算财政拨款“三公”经费支出决算表</w:t>
      </w:r>
      <w:bookmarkEnd w:id="127"/>
      <w:bookmarkEnd w:id="128"/>
    </w:p>
    <w:p>
      <w:pPr>
        <w:pStyle w:val="4"/>
        <w:pageBreakBefore w:val="0"/>
        <w:widowControl w:val="0"/>
        <w:kinsoku/>
        <w:wordWrap/>
        <w:overflowPunct/>
        <w:topLinePunct w:val="0"/>
        <w:autoSpaceDE/>
        <w:autoSpaceDN/>
        <w:bidi w:val="0"/>
        <w:adjustRightInd/>
        <w:snapToGrid w:val="0"/>
        <w:spacing w:before="0" w:after="0" w:line="560" w:lineRule="exact"/>
        <w:textAlignment w:val="auto"/>
        <w:rPr>
          <w:rStyle w:val="34"/>
          <w:rFonts w:hint="eastAsia" w:ascii="仿宋_GB2312" w:hAnsi="仿宋_GB2312" w:eastAsia="仿宋_GB2312" w:cs="仿宋_GB2312"/>
          <w:b w:val="0"/>
          <w:bCs w:val="0"/>
          <w:color w:val="auto"/>
        </w:rPr>
      </w:pPr>
      <w:bookmarkStart w:id="129" w:name="_Toc15396631"/>
      <w:bookmarkStart w:id="130" w:name="_Toc112248435"/>
      <w:r>
        <w:rPr>
          <w:rStyle w:val="34"/>
          <w:rFonts w:hint="eastAsia" w:ascii="仿宋_GB2312" w:hAnsi="仿宋_GB2312" w:eastAsia="仿宋_GB2312" w:cs="仿宋_GB2312"/>
          <w:b w:val="0"/>
          <w:bCs w:val="0"/>
          <w:color w:val="auto"/>
        </w:rPr>
        <w:t>十三、</w:t>
      </w:r>
      <w:r>
        <w:rPr>
          <w:rFonts w:hint="eastAsia" w:ascii="仿宋_GB2312" w:hAnsi="仿宋_GB2312" w:eastAsia="仿宋_GB2312" w:cs="仿宋_GB2312"/>
          <w:b w:val="0"/>
          <w:color w:val="auto"/>
        </w:rPr>
        <w:t>国</w:t>
      </w:r>
      <w:r>
        <w:rPr>
          <w:rStyle w:val="34"/>
          <w:rFonts w:hint="eastAsia" w:ascii="仿宋_GB2312" w:hAnsi="仿宋_GB2312" w:eastAsia="仿宋_GB2312" w:cs="仿宋_GB2312"/>
          <w:b w:val="0"/>
          <w:bCs w:val="0"/>
          <w:color w:val="auto"/>
        </w:rPr>
        <w:t>有资本经营预算财政拨款收入支出决算表</w:t>
      </w:r>
      <w:bookmarkEnd w:id="129"/>
      <w:bookmarkEnd w:id="130"/>
    </w:p>
    <w:p>
      <w:pPr>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rPr>
      </w:pPr>
      <w:bookmarkStart w:id="131" w:name="_Toc112248436"/>
      <w:r>
        <w:rPr>
          <w:rStyle w:val="34"/>
          <w:rFonts w:hint="eastAsia" w:ascii="仿宋_GB2312" w:hAnsi="仿宋_GB2312" w:eastAsia="仿宋_GB2312" w:cs="仿宋_GB2312"/>
          <w:b w:val="0"/>
          <w:bCs w:val="0"/>
          <w:color w:val="auto"/>
        </w:rPr>
        <w:t>十四、国有资本经营预算财政拨款支出决算表</w:t>
      </w:r>
      <w:bookmarkEnd w:id="131"/>
    </w:p>
    <w:sectPr>
      <w:footerReference r:id="rId6" w:type="first"/>
      <w:headerReference r:id="rId4" w:type="default"/>
      <w:footerReference r:id="rId5" w:type="default"/>
      <w:pgSz w:w="11906" w:h="16838"/>
      <w:pgMar w:top="2098" w:right="1474" w:bottom="1984" w:left="1587" w:header="851" w:footer="992" w:gutter="0"/>
      <w:pgNumType w:fmt="decimal"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3"/>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t xml:space="preserve"> —</w:t>
                          </w:r>
                        </w:p>
                      </w:txbxContent>
                    </wps:txbx>
                    <wps:bodyPr vert="horz" wrap="none" lIns="0" tIns="0" rIns="0" bIns="0" anchor="t" anchorCtr="false" upright="fals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9aBHjyAEAAHsDAAAOAAAAAAAA&#10;AAEAIAAAADQBAABkcnMvZTJvRG9jLnhtbFBLBQYAAAAABgAGAFkBAABuBQAAAAA=&#10;">
              <v:fill on="f" focussize="0,0"/>
              <v:stroke on="f"/>
              <v:imagedata o:title=""/>
              <o:lock v:ext="edit" aspectratio="f"/>
              <v:textbox inset="0mm,0mm,0mm,0mm" style="mso-fit-shape-to-text:t;">
                <w:txbxContent>
                  <w:p>
                    <w:pPr>
                      <w:pStyle w:val="13"/>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t xml:space="preserve"> —</w:t>
                    </w:r>
                  </w:p>
                </w:txbxContent>
              </v:textbox>
            </v:shape>
          </w:pict>
        </mc:Fallback>
      </mc:AlternateContent>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13"/>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t xml:space="preserve"> —</w:t>
                          </w:r>
                        </w:p>
                      </w:txbxContent>
                    </wps:txbx>
                    <wps:bodyPr vert="horz" wrap="none" lIns="0" tIns="0" rIns="0" bIns="0" anchor="t" anchorCtr="false" upright="false">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oDbZbdIBAACE&#10;AwAADgAAAAAAAAABACAAAAA0AQAAZHJzL2Uyb0RvYy54bWxQSwUGAAAAAAYABgBZAQAAeAUAAAAA&#10;">
              <v:fill on="f" focussize="0,0"/>
              <v:stroke on="f"/>
              <v:imagedata o:title=""/>
              <o:lock v:ext="edit" aspectratio="f"/>
              <v:textbox inset="0mm,0mm,0mm,0mm" style="mso-fit-shape-to-text:t;">
                <w:txbxContent>
                  <w:p>
                    <w:pPr>
                      <w:pStyle w:val="13"/>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40873109"/>
    <w:multiLevelType w:val="singleLevel"/>
    <w:tmpl w:val="40873109"/>
    <w:lvl w:ilvl="0" w:tentative="0">
      <w:start w:val="1"/>
      <w:numFmt w:val="chineseCounting"/>
      <w:suff w:val="nothing"/>
      <w:lvlText w:val="（%1）"/>
      <w:lvlJc w:val="left"/>
      <w:rPr>
        <w:rFonts w:hint="eastAsia"/>
      </w:rPr>
    </w:lvl>
  </w:abstractNum>
  <w:abstractNum w:abstractNumId="3">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abstractNum w:abstractNumId="4">
    <w:nsid w:val="75BF0947"/>
    <w:multiLevelType w:val="singleLevel"/>
    <w:tmpl w:val="75BF0947"/>
    <w:lvl w:ilvl="0" w:tentative="0">
      <w:start w:val="1"/>
      <w:numFmt w:val="chineseCounting"/>
      <w:suff w:val="nothing"/>
      <w:lvlText w:val="%1、"/>
      <w:lvlJc w:val="left"/>
      <w:rPr>
        <w:rFonts w:hint="eastAsi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NWYzN2VlZGU4ZWZkZWNmMjczM2QzYjA5MmU4OWQifQ=="/>
  </w:docVars>
  <w:rsids>
    <w:rsidRoot w:val="00F1361C"/>
    <w:rsid w:val="000222C6"/>
    <w:rsid w:val="00024C46"/>
    <w:rsid w:val="0002549F"/>
    <w:rsid w:val="0003003F"/>
    <w:rsid w:val="000468DB"/>
    <w:rsid w:val="00057A67"/>
    <w:rsid w:val="0006487A"/>
    <w:rsid w:val="00065F8F"/>
    <w:rsid w:val="00070A43"/>
    <w:rsid w:val="000768F2"/>
    <w:rsid w:val="0009184B"/>
    <w:rsid w:val="00094236"/>
    <w:rsid w:val="000949C3"/>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20C09"/>
    <w:rsid w:val="00130590"/>
    <w:rsid w:val="00142216"/>
    <w:rsid w:val="00144D6A"/>
    <w:rsid w:val="0014729F"/>
    <w:rsid w:val="00157BAB"/>
    <w:rsid w:val="00165112"/>
    <w:rsid w:val="001654D1"/>
    <w:rsid w:val="00174518"/>
    <w:rsid w:val="0018106D"/>
    <w:rsid w:val="001877A7"/>
    <w:rsid w:val="00191536"/>
    <w:rsid w:val="00196687"/>
    <w:rsid w:val="001A6A61"/>
    <w:rsid w:val="001C0962"/>
    <w:rsid w:val="001D7531"/>
    <w:rsid w:val="001E737D"/>
    <w:rsid w:val="001F0592"/>
    <w:rsid w:val="001F7506"/>
    <w:rsid w:val="00200494"/>
    <w:rsid w:val="002006CD"/>
    <w:rsid w:val="00202B36"/>
    <w:rsid w:val="00204B7A"/>
    <w:rsid w:val="00204CDE"/>
    <w:rsid w:val="0021101A"/>
    <w:rsid w:val="00214DC1"/>
    <w:rsid w:val="002166A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05E7D"/>
    <w:rsid w:val="003216A9"/>
    <w:rsid w:val="0033309F"/>
    <w:rsid w:val="00335A74"/>
    <w:rsid w:val="00343D3E"/>
    <w:rsid w:val="0036561B"/>
    <w:rsid w:val="0037013F"/>
    <w:rsid w:val="00380C92"/>
    <w:rsid w:val="00384606"/>
    <w:rsid w:val="003846EC"/>
    <w:rsid w:val="003A484F"/>
    <w:rsid w:val="003A4883"/>
    <w:rsid w:val="003B0BE0"/>
    <w:rsid w:val="003B0C1B"/>
    <w:rsid w:val="003B688C"/>
    <w:rsid w:val="003B7BF1"/>
    <w:rsid w:val="003C0291"/>
    <w:rsid w:val="003C39AE"/>
    <w:rsid w:val="003C7B60"/>
    <w:rsid w:val="003D0C0F"/>
    <w:rsid w:val="003D1FB2"/>
    <w:rsid w:val="003D66DA"/>
    <w:rsid w:val="003E1310"/>
    <w:rsid w:val="003E2E75"/>
    <w:rsid w:val="003E6F55"/>
    <w:rsid w:val="003E74D4"/>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822"/>
    <w:rsid w:val="004F0FBD"/>
    <w:rsid w:val="004F47C5"/>
    <w:rsid w:val="004F79D3"/>
    <w:rsid w:val="00505A47"/>
    <w:rsid w:val="00512FDA"/>
    <w:rsid w:val="00516D75"/>
    <w:rsid w:val="00520DA0"/>
    <w:rsid w:val="005664BB"/>
    <w:rsid w:val="00566FFA"/>
    <w:rsid w:val="0057481D"/>
    <w:rsid w:val="0058486E"/>
    <w:rsid w:val="00585B33"/>
    <w:rsid w:val="0059014D"/>
    <w:rsid w:val="00592A44"/>
    <w:rsid w:val="005B5C64"/>
    <w:rsid w:val="005C5337"/>
    <w:rsid w:val="005C5835"/>
    <w:rsid w:val="005C6BD0"/>
    <w:rsid w:val="005D1C8B"/>
    <w:rsid w:val="005D37AC"/>
    <w:rsid w:val="005D468D"/>
    <w:rsid w:val="005D5CED"/>
    <w:rsid w:val="005F1A4C"/>
    <w:rsid w:val="00605688"/>
    <w:rsid w:val="006070AF"/>
    <w:rsid w:val="00607E6C"/>
    <w:rsid w:val="006101B1"/>
    <w:rsid w:val="00614E44"/>
    <w:rsid w:val="0062270A"/>
    <w:rsid w:val="00622830"/>
    <w:rsid w:val="00623DA0"/>
    <w:rsid w:val="00624DC2"/>
    <w:rsid w:val="00626CF4"/>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E450D"/>
    <w:rsid w:val="006F020C"/>
    <w:rsid w:val="007127B7"/>
    <w:rsid w:val="0071798E"/>
    <w:rsid w:val="0073334C"/>
    <w:rsid w:val="00733909"/>
    <w:rsid w:val="007416B6"/>
    <w:rsid w:val="00746945"/>
    <w:rsid w:val="00746F48"/>
    <w:rsid w:val="0075404D"/>
    <w:rsid w:val="007615BE"/>
    <w:rsid w:val="0076182A"/>
    <w:rsid w:val="00767B7E"/>
    <w:rsid w:val="00770B84"/>
    <w:rsid w:val="007770C3"/>
    <w:rsid w:val="00784D24"/>
    <w:rsid w:val="00785FBA"/>
    <w:rsid w:val="00786E4A"/>
    <w:rsid w:val="007875EB"/>
    <w:rsid w:val="0079426B"/>
    <w:rsid w:val="007A46F0"/>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7357"/>
    <w:rsid w:val="00847874"/>
    <w:rsid w:val="00850625"/>
    <w:rsid w:val="00853718"/>
    <w:rsid w:val="00855221"/>
    <w:rsid w:val="00860645"/>
    <w:rsid w:val="00871F71"/>
    <w:rsid w:val="00872FD8"/>
    <w:rsid w:val="00885AF4"/>
    <w:rsid w:val="008939CD"/>
    <w:rsid w:val="008B75CB"/>
    <w:rsid w:val="008B768C"/>
    <w:rsid w:val="008C4DB1"/>
    <w:rsid w:val="008C4EAF"/>
    <w:rsid w:val="008C5176"/>
    <w:rsid w:val="008C7FD0"/>
    <w:rsid w:val="008E1DE7"/>
    <w:rsid w:val="008E707C"/>
    <w:rsid w:val="00900B08"/>
    <w:rsid w:val="00902155"/>
    <w:rsid w:val="00902FA3"/>
    <w:rsid w:val="009113D7"/>
    <w:rsid w:val="00923564"/>
    <w:rsid w:val="0092392E"/>
    <w:rsid w:val="009315F9"/>
    <w:rsid w:val="00933499"/>
    <w:rsid w:val="00935C98"/>
    <w:rsid w:val="00936F5D"/>
    <w:rsid w:val="00946945"/>
    <w:rsid w:val="00951248"/>
    <w:rsid w:val="0095152F"/>
    <w:rsid w:val="00954C49"/>
    <w:rsid w:val="00955E37"/>
    <w:rsid w:val="0097099F"/>
    <w:rsid w:val="00971997"/>
    <w:rsid w:val="00971FFC"/>
    <w:rsid w:val="00975E29"/>
    <w:rsid w:val="00985107"/>
    <w:rsid w:val="0098660A"/>
    <w:rsid w:val="009931C3"/>
    <w:rsid w:val="009B2C43"/>
    <w:rsid w:val="009B4EAE"/>
    <w:rsid w:val="009B7573"/>
    <w:rsid w:val="009C22F4"/>
    <w:rsid w:val="009C2A4B"/>
    <w:rsid w:val="009C2E98"/>
    <w:rsid w:val="009C584D"/>
    <w:rsid w:val="009D3447"/>
    <w:rsid w:val="009D4696"/>
    <w:rsid w:val="009D4711"/>
    <w:rsid w:val="009E2C08"/>
    <w:rsid w:val="009E74D4"/>
    <w:rsid w:val="009F1185"/>
    <w:rsid w:val="009F18CD"/>
    <w:rsid w:val="009F1A5E"/>
    <w:rsid w:val="009F2A13"/>
    <w:rsid w:val="009F7527"/>
    <w:rsid w:val="00A04EB0"/>
    <w:rsid w:val="00A13CC1"/>
    <w:rsid w:val="00A16847"/>
    <w:rsid w:val="00A237D8"/>
    <w:rsid w:val="00A268C4"/>
    <w:rsid w:val="00A307CD"/>
    <w:rsid w:val="00A331C8"/>
    <w:rsid w:val="00A40A00"/>
    <w:rsid w:val="00A4142F"/>
    <w:rsid w:val="00A422EB"/>
    <w:rsid w:val="00A45BB7"/>
    <w:rsid w:val="00A517A3"/>
    <w:rsid w:val="00A56DF2"/>
    <w:rsid w:val="00A56E6E"/>
    <w:rsid w:val="00A67AB5"/>
    <w:rsid w:val="00A733B2"/>
    <w:rsid w:val="00A740CC"/>
    <w:rsid w:val="00A741C2"/>
    <w:rsid w:val="00A84D25"/>
    <w:rsid w:val="00A91760"/>
    <w:rsid w:val="00A93B00"/>
    <w:rsid w:val="00A93C21"/>
    <w:rsid w:val="00AB64C9"/>
    <w:rsid w:val="00AC3C6A"/>
    <w:rsid w:val="00AD5620"/>
    <w:rsid w:val="00AD656B"/>
    <w:rsid w:val="00AD7C1B"/>
    <w:rsid w:val="00AE16BA"/>
    <w:rsid w:val="00AE1EBE"/>
    <w:rsid w:val="00AF7DA4"/>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B6AB8"/>
    <w:rsid w:val="00BC289F"/>
    <w:rsid w:val="00BC2D50"/>
    <w:rsid w:val="00BC5361"/>
    <w:rsid w:val="00BC5460"/>
    <w:rsid w:val="00BC6B50"/>
    <w:rsid w:val="00BD0E25"/>
    <w:rsid w:val="00BF5BD6"/>
    <w:rsid w:val="00C03E31"/>
    <w:rsid w:val="00C303A4"/>
    <w:rsid w:val="00C32C8F"/>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1D76"/>
    <w:rsid w:val="00CC469C"/>
    <w:rsid w:val="00CC666F"/>
    <w:rsid w:val="00CD1E3F"/>
    <w:rsid w:val="00CE1BBC"/>
    <w:rsid w:val="00CE44F6"/>
    <w:rsid w:val="00CE49DA"/>
    <w:rsid w:val="00CE7B61"/>
    <w:rsid w:val="00CF7B9F"/>
    <w:rsid w:val="00D00095"/>
    <w:rsid w:val="00D07A73"/>
    <w:rsid w:val="00D114F0"/>
    <w:rsid w:val="00D17D8F"/>
    <w:rsid w:val="00D20620"/>
    <w:rsid w:val="00D254F7"/>
    <w:rsid w:val="00D26091"/>
    <w:rsid w:val="00D2685C"/>
    <w:rsid w:val="00D34E7C"/>
    <w:rsid w:val="00D35489"/>
    <w:rsid w:val="00D36AFE"/>
    <w:rsid w:val="00D42807"/>
    <w:rsid w:val="00D51276"/>
    <w:rsid w:val="00D7035F"/>
    <w:rsid w:val="00DA634F"/>
    <w:rsid w:val="00DA65AC"/>
    <w:rsid w:val="00DB1913"/>
    <w:rsid w:val="00DC410D"/>
    <w:rsid w:val="00DC5A81"/>
    <w:rsid w:val="00DC68CA"/>
    <w:rsid w:val="00DC7CBA"/>
    <w:rsid w:val="00DD73B7"/>
    <w:rsid w:val="00DE7951"/>
    <w:rsid w:val="00DF28BC"/>
    <w:rsid w:val="00DF34B9"/>
    <w:rsid w:val="00E01053"/>
    <w:rsid w:val="00E07ACF"/>
    <w:rsid w:val="00E331A1"/>
    <w:rsid w:val="00E33202"/>
    <w:rsid w:val="00E336A9"/>
    <w:rsid w:val="00E41244"/>
    <w:rsid w:val="00E472B1"/>
    <w:rsid w:val="00E50624"/>
    <w:rsid w:val="00E5492D"/>
    <w:rsid w:val="00E55D88"/>
    <w:rsid w:val="00E568DF"/>
    <w:rsid w:val="00E64269"/>
    <w:rsid w:val="00E737EA"/>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4503"/>
    <w:rsid w:val="00F156F0"/>
    <w:rsid w:val="00F160C7"/>
    <w:rsid w:val="00F1777A"/>
    <w:rsid w:val="00F2408F"/>
    <w:rsid w:val="00F240E9"/>
    <w:rsid w:val="00F36D8F"/>
    <w:rsid w:val="00F417B1"/>
    <w:rsid w:val="00F45853"/>
    <w:rsid w:val="00F5199E"/>
    <w:rsid w:val="00F602DF"/>
    <w:rsid w:val="00F71E4B"/>
    <w:rsid w:val="00F73BBA"/>
    <w:rsid w:val="00F754A1"/>
    <w:rsid w:val="00F81FD9"/>
    <w:rsid w:val="00F841AA"/>
    <w:rsid w:val="00F84A94"/>
    <w:rsid w:val="00F86CDF"/>
    <w:rsid w:val="00F87E96"/>
    <w:rsid w:val="00FA23E8"/>
    <w:rsid w:val="00FC580A"/>
    <w:rsid w:val="00FD3CC1"/>
    <w:rsid w:val="00FF1E02"/>
    <w:rsid w:val="00FF30B4"/>
    <w:rsid w:val="06026309"/>
    <w:rsid w:val="066E0107"/>
    <w:rsid w:val="073A2B42"/>
    <w:rsid w:val="07996F6E"/>
    <w:rsid w:val="09503B68"/>
    <w:rsid w:val="0A2032A3"/>
    <w:rsid w:val="0ACA0DD9"/>
    <w:rsid w:val="0B093D05"/>
    <w:rsid w:val="0BAE2FD5"/>
    <w:rsid w:val="0DC161D1"/>
    <w:rsid w:val="0DDF3E53"/>
    <w:rsid w:val="0EEF3211"/>
    <w:rsid w:val="101860EC"/>
    <w:rsid w:val="10A71F48"/>
    <w:rsid w:val="10C055FF"/>
    <w:rsid w:val="118107EC"/>
    <w:rsid w:val="1246139A"/>
    <w:rsid w:val="12E80189"/>
    <w:rsid w:val="13C22CA3"/>
    <w:rsid w:val="13D50BC4"/>
    <w:rsid w:val="141C16B6"/>
    <w:rsid w:val="159B19FD"/>
    <w:rsid w:val="162D630C"/>
    <w:rsid w:val="16BB723D"/>
    <w:rsid w:val="16D72C46"/>
    <w:rsid w:val="17E23913"/>
    <w:rsid w:val="18B370C1"/>
    <w:rsid w:val="198A504E"/>
    <w:rsid w:val="1A5125C5"/>
    <w:rsid w:val="1BE8440E"/>
    <w:rsid w:val="1BFF6BEE"/>
    <w:rsid w:val="1C556DAA"/>
    <w:rsid w:val="1D085BCA"/>
    <w:rsid w:val="1D155CEE"/>
    <w:rsid w:val="1D2D21E6"/>
    <w:rsid w:val="1FF7F8E9"/>
    <w:rsid w:val="213B4094"/>
    <w:rsid w:val="213C1917"/>
    <w:rsid w:val="23602029"/>
    <w:rsid w:val="23860B96"/>
    <w:rsid w:val="240371BF"/>
    <w:rsid w:val="24F75C03"/>
    <w:rsid w:val="260333D3"/>
    <w:rsid w:val="26BB5A5B"/>
    <w:rsid w:val="27FBE73B"/>
    <w:rsid w:val="28A11761"/>
    <w:rsid w:val="29FD04D3"/>
    <w:rsid w:val="2A3C5105"/>
    <w:rsid w:val="2B33E5FF"/>
    <w:rsid w:val="2C8A61B5"/>
    <w:rsid w:val="2D173C07"/>
    <w:rsid w:val="2DF04E50"/>
    <w:rsid w:val="2EF7217F"/>
    <w:rsid w:val="2F416D1A"/>
    <w:rsid w:val="2F6C4D73"/>
    <w:rsid w:val="2FFDD6AD"/>
    <w:rsid w:val="319F7F4E"/>
    <w:rsid w:val="31FCCF4E"/>
    <w:rsid w:val="337E678E"/>
    <w:rsid w:val="33DC5263"/>
    <w:rsid w:val="3402116D"/>
    <w:rsid w:val="34D710DE"/>
    <w:rsid w:val="35683252"/>
    <w:rsid w:val="35B9265D"/>
    <w:rsid w:val="36694E60"/>
    <w:rsid w:val="36AA5135"/>
    <w:rsid w:val="36D93CDC"/>
    <w:rsid w:val="36EDA3DA"/>
    <w:rsid w:val="377D7339"/>
    <w:rsid w:val="37E16F03"/>
    <w:rsid w:val="37FCD8B0"/>
    <w:rsid w:val="392D268A"/>
    <w:rsid w:val="3ACD244A"/>
    <w:rsid w:val="3BBE1D0A"/>
    <w:rsid w:val="3BF7221B"/>
    <w:rsid w:val="3C8666B4"/>
    <w:rsid w:val="3C974AA2"/>
    <w:rsid w:val="3D11096C"/>
    <w:rsid w:val="3D98207C"/>
    <w:rsid w:val="3E5FD83A"/>
    <w:rsid w:val="3E611499"/>
    <w:rsid w:val="3E7322D6"/>
    <w:rsid w:val="3E7C7E12"/>
    <w:rsid w:val="3EAA6B30"/>
    <w:rsid w:val="3EAD43CC"/>
    <w:rsid w:val="3F4F0FDF"/>
    <w:rsid w:val="3FBF6DE6"/>
    <w:rsid w:val="3FF7A1FF"/>
    <w:rsid w:val="409A183A"/>
    <w:rsid w:val="43946847"/>
    <w:rsid w:val="44E268DA"/>
    <w:rsid w:val="47675309"/>
    <w:rsid w:val="49E35DD2"/>
    <w:rsid w:val="4A627F82"/>
    <w:rsid w:val="4A7F4E6E"/>
    <w:rsid w:val="4B4F25DA"/>
    <w:rsid w:val="4BE068DB"/>
    <w:rsid w:val="4C061CD9"/>
    <w:rsid w:val="4C1C493F"/>
    <w:rsid w:val="4D577224"/>
    <w:rsid w:val="4E577EB0"/>
    <w:rsid w:val="4EAB630A"/>
    <w:rsid w:val="4ECE2238"/>
    <w:rsid w:val="4F3465F2"/>
    <w:rsid w:val="4F583EE0"/>
    <w:rsid w:val="4F7CDE38"/>
    <w:rsid w:val="4F9EEFB2"/>
    <w:rsid w:val="4FF56916"/>
    <w:rsid w:val="50164E76"/>
    <w:rsid w:val="51114097"/>
    <w:rsid w:val="519A7F79"/>
    <w:rsid w:val="51AD4F1F"/>
    <w:rsid w:val="52086F4F"/>
    <w:rsid w:val="52CD3ACC"/>
    <w:rsid w:val="53AC666F"/>
    <w:rsid w:val="5582110F"/>
    <w:rsid w:val="564E2FBB"/>
    <w:rsid w:val="56B60923"/>
    <w:rsid w:val="57FEC5FF"/>
    <w:rsid w:val="58AE4B70"/>
    <w:rsid w:val="59255D71"/>
    <w:rsid w:val="5AF92295"/>
    <w:rsid w:val="5BFFFC14"/>
    <w:rsid w:val="5C1F374B"/>
    <w:rsid w:val="5CD71FC4"/>
    <w:rsid w:val="5E5F6BB9"/>
    <w:rsid w:val="5FFDAF4D"/>
    <w:rsid w:val="60A734A9"/>
    <w:rsid w:val="61B02055"/>
    <w:rsid w:val="6396140B"/>
    <w:rsid w:val="64437466"/>
    <w:rsid w:val="64D618A7"/>
    <w:rsid w:val="65FFC58C"/>
    <w:rsid w:val="66AD79CA"/>
    <w:rsid w:val="69180510"/>
    <w:rsid w:val="69D9075E"/>
    <w:rsid w:val="6A5478C4"/>
    <w:rsid w:val="6A7015EF"/>
    <w:rsid w:val="6AFB93A4"/>
    <w:rsid w:val="6BFF110A"/>
    <w:rsid w:val="6C4A05C8"/>
    <w:rsid w:val="6DD048FC"/>
    <w:rsid w:val="6E7E3605"/>
    <w:rsid w:val="6EBA13E0"/>
    <w:rsid w:val="6EBC4C70"/>
    <w:rsid w:val="6F3F1B91"/>
    <w:rsid w:val="6FBFCC0A"/>
    <w:rsid w:val="6FF5CC65"/>
    <w:rsid w:val="715C0E4B"/>
    <w:rsid w:val="719C5A56"/>
    <w:rsid w:val="71F989B9"/>
    <w:rsid w:val="721675B7"/>
    <w:rsid w:val="72541E8D"/>
    <w:rsid w:val="72734D90"/>
    <w:rsid w:val="739D1911"/>
    <w:rsid w:val="73AD73D5"/>
    <w:rsid w:val="73B6EB34"/>
    <w:rsid w:val="73EBB2C5"/>
    <w:rsid w:val="73FD239E"/>
    <w:rsid w:val="75F8A662"/>
    <w:rsid w:val="75FF1306"/>
    <w:rsid w:val="762A5D19"/>
    <w:rsid w:val="771704F4"/>
    <w:rsid w:val="777F237D"/>
    <w:rsid w:val="77BB687A"/>
    <w:rsid w:val="77D5BA23"/>
    <w:rsid w:val="78D935D3"/>
    <w:rsid w:val="79EE5BA4"/>
    <w:rsid w:val="79F7A501"/>
    <w:rsid w:val="79FF67A9"/>
    <w:rsid w:val="7A894339"/>
    <w:rsid w:val="7B9D47E9"/>
    <w:rsid w:val="7BADAF06"/>
    <w:rsid w:val="7D007C3E"/>
    <w:rsid w:val="7DFFB85A"/>
    <w:rsid w:val="7E3B927B"/>
    <w:rsid w:val="7EEF11D3"/>
    <w:rsid w:val="7F2B76DD"/>
    <w:rsid w:val="7F3B7DC2"/>
    <w:rsid w:val="7F4F49F2"/>
    <w:rsid w:val="7F5776F6"/>
    <w:rsid w:val="7FA30C79"/>
    <w:rsid w:val="7FC96657"/>
    <w:rsid w:val="7FD55A58"/>
    <w:rsid w:val="7FF266E2"/>
    <w:rsid w:val="7FFE4BD7"/>
    <w:rsid w:val="7FFF157D"/>
    <w:rsid w:val="86AD38B1"/>
    <w:rsid w:val="87FF30AE"/>
    <w:rsid w:val="9FD56F26"/>
    <w:rsid w:val="A68E24F7"/>
    <w:rsid w:val="A7FE50B9"/>
    <w:rsid w:val="B9D1F72E"/>
    <w:rsid w:val="BF8FB98B"/>
    <w:rsid w:val="C1EE1DA1"/>
    <w:rsid w:val="C72BA5E7"/>
    <w:rsid w:val="CD6D348B"/>
    <w:rsid w:val="CE72BF79"/>
    <w:rsid w:val="CE8DB8A6"/>
    <w:rsid w:val="D7DC299E"/>
    <w:rsid w:val="D7F74392"/>
    <w:rsid w:val="D8D6DB89"/>
    <w:rsid w:val="D8E3756A"/>
    <w:rsid w:val="DB6F4CAB"/>
    <w:rsid w:val="DBBF85A6"/>
    <w:rsid w:val="DD5766F9"/>
    <w:rsid w:val="DD9B8C13"/>
    <w:rsid w:val="DDDF3D91"/>
    <w:rsid w:val="DF6F9789"/>
    <w:rsid w:val="DFB780EE"/>
    <w:rsid w:val="DFDFC32F"/>
    <w:rsid w:val="DFEC8F7C"/>
    <w:rsid w:val="DFFA5BEF"/>
    <w:rsid w:val="E3BF3BA0"/>
    <w:rsid w:val="E7FF5824"/>
    <w:rsid w:val="EBFD79A7"/>
    <w:rsid w:val="EE97FA3E"/>
    <w:rsid w:val="EFCB554D"/>
    <w:rsid w:val="EFCF6180"/>
    <w:rsid w:val="F57B5D35"/>
    <w:rsid w:val="F773F4DA"/>
    <w:rsid w:val="F776EF13"/>
    <w:rsid w:val="F77F9957"/>
    <w:rsid w:val="F78169E7"/>
    <w:rsid w:val="F7DB3C37"/>
    <w:rsid w:val="F7F5D6DD"/>
    <w:rsid w:val="F9AB36F8"/>
    <w:rsid w:val="FB7FC309"/>
    <w:rsid w:val="FDBBC71A"/>
    <w:rsid w:val="FDBDF78E"/>
    <w:rsid w:val="FDDFE1A7"/>
    <w:rsid w:val="FDFF81A3"/>
    <w:rsid w:val="FE984473"/>
    <w:rsid w:val="FEF54EAD"/>
    <w:rsid w:val="FF6B37A2"/>
    <w:rsid w:val="FFAF1269"/>
    <w:rsid w:val="FFDDBA39"/>
    <w:rsid w:val="FFDF9518"/>
    <w:rsid w:val="FFF7865A"/>
    <w:rsid w:val="FFFF743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7"/>
    <w:unhideWhenUsed/>
    <w:qFormat/>
    <w:uiPriority w:val="9"/>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pPr>
    <w:rPr>
      <w:sz w:val="21"/>
      <w:szCs w:val="22"/>
    </w:rPr>
  </w:style>
  <w:style w:type="paragraph" w:styleId="6">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7">
    <w:name w:val="Salutation"/>
    <w:basedOn w:val="1"/>
    <w:next w:val="1"/>
    <w:link w:val="40"/>
    <w:unhideWhenUsed/>
    <w:qFormat/>
    <w:uiPriority w:val="99"/>
    <w:rPr>
      <w:rFonts w:eastAsia="仿宋_GB2312"/>
      <w:sz w:val="32"/>
      <w:szCs w:val="32"/>
    </w:rPr>
  </w:style>
  <w:style w:type="paragraph" w:styleId="8">
    <w:name w:val="Body Text"/>
    <w:basedOn w:val="1"/>
    <w:link w:val="30"/>
    <w:qFormat/>
    <w:uiPriority w:val="0"/>
    <w:pPr>
      <w:spacing w:beforeLines="30"/>
    </w:pPr>
    <w:rPr>
      <w:rFonts w:ascii="仿宋_GB2312" w:eastAsia="仿宋_GB2312"/>
      <w:kern w:val="0"/>
      <w:sz w:val="30"/>
    </w:rPr>
  </w:style>
  <w:style w:type="paragraph" w:styleId="9">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0">
    <w:name w:val="toc 3"/>
    <w:basedOn w:val="1"/>
    <w:next w:val="1"/>
    <w:unhideWhenUsed/>
    <w:qFormat/>
    <w:uiPriority w:val="39"/>
    <w:pPr>
      <w:tabs>
        <w:tab w:val="right" w:leader="dot" w:pos="8296"/>
      </w:tabs>
      <w:ind w:left="840" w:leftChars="400"/>
    </w:pPr>
  </w:style>
  <w:style w:type="paragraph" w:styleId="11">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2">
    <w:name w:val="Balloon Text"/>
    <w:basedOn w:val="1"/>
    <w:link w:val="36"/>
    <w:semiHidden/>
    <w:unhideWhenUsed/>
    <w:qFormat/>
    <w:uiPriority w:val="99"/>
    <w:rPr>
      <w:sz w:val="18"/>
      <w:szCs w:val="18"/>
    </w:rPr>
  </w:style>
  <w:style w:type="paragraph" w:styleId="13">
    <w:name w:val="footer"/>
    <w:basedOn w:val="1"/>
    <w:link w:val="28"/>
    <w:qFormat/>
    <w:uiPriority w:val="0"/>
    <w:pPr>
      <w:tabs>
        <w:tab w:val="center" w:pos="4153"/>
        <w:tab w:val="right" w:pos="8306"/>
      </w:tabs>
      <w:snapToGrid w:val="0"/>
      <w:jc w:val="left"/>
    </w:pPr>
    <w:rPr>
      <w:rFonts w:ascii="Calibri" w:hAnsi="Calibri"/>
      <w:kern w:val="0"/>
      <w:sz w:val="18"/>
      <w:szCs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5">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6">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17">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18">
    <w:name w:val="toc 2"/>
    <w:basedOn w:val="1"/>
    <w:next w:val="1"/>
    <w:unhideWhenUsed/>
    <w:qFormat/>
    <w:uiPriority w:val="39"/>
    <w:pPr>
      <w:tabs>
        <w:tab w:val="right" w:leader="dot" w:pos="8296"/>
      </w:tabs>
      <w:ind w:left="420" w:leftChars="200"/>
    </w:pPr>
  </w:style>
  <w:style w:type="paragraph" w:styleId="19">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0">
    <w:name w:val="Normal (Web)"/>
    <w:basedOn w:val="1"/>
    <w:unhideWhenUsed/>
    <w:qFormat/>
    <w:uiPriority w:val="0"/>
    <w:pPr>
      <w:spacing w:beforeAutospacing="1" w:afterAutospacing="1"/>
      <w:jc w:val="left"/>
    </w:pPr>
    <w:rPr>
      <w:kern w:val="0"/>
      <w:sz w:val="24"/>
    </w:rPr>
  </w:style>
  <w:style w:type="character" w:styleId="23">
    <w:name w:val="Strong"/>
    <w:basedOn w:val="22"/>
    <w:qFormat/>
    <w:uiPriority w:val="99"/>
    <w:rPr>
      <w:b/>
    </w:rPr>
  </w:style>
  <w:style w:type="character" w:styleId="24">
    <w:name w:val="Hyperlink"/>
    <w:basedOn w:val="22"/>
    <w:unhideWhenUsed/>
    <w:qFormat/>
    <w:uiPriority w:val="99"/>
    <w:rPr>
      <w:color w:val="0000FF" w:themeColor="hyperlink"/>
      <w:u w:val="single"/>
      <w14:textFill>
        <w14:solidFill>
          <w14:schemeClr w14:val="hlink"/>
        </w14:solidFill>
      </w14:textFill>
    </w:rPr>
  </w:style>
  <w:style w:type="character" w:customStyle="1" w:styleId="25">
    <w:name w:val="Header Char"/>
    <w:basedOn w:val="22"/>
    <w:semiHidden/>
    <w:qFormat/>
    <w:uiPriority w:val="99"/>
    <w:rPr>
      <w:rFonts w:ascii="Times New Roman" w:hAnsi="Times New Roman"/>
      <w:sz w:val="18"/>
      <w:szCs w:val="18"/>
    </w:rPr>
  </w:style>
  <w:style w:type="character" w:customStyle="1" w:styleId="26">
    <w:name w:val="页眉 Char"/>
    <w:link w:val="14"/>
    <w:semiHidden/>
    <w:qFormat/>
    <w:locked/>
    <w:uiPriority w:val="99"/>
    <w:rPr>
      <w:sz w:val="18"/>
    </w:rPr>
  </w:style>
  <w:style w:type="character" w:customStyle="1" w:styleId="27">
    <w:name w:val="Footer Char"/>
    <w:basedOn w:val="22"/>
    <w:semiHidden/>
    <w:qFormat/>
    <w:uiPriority w:val="99"/>
    <w:rPr>
      <w:rFonts w:ascii="Times New Roman" w:hAnsi="Times New Roman"/>
      <w:sz w:val="18"/>
      <w:szCs w:val="18"/>
    </w:rPr>
  </w:style>
  <w:style w:type="character" w:customStyle="1" w:styleId="28">
    <w:name w:val="页脚 Char"/>
    <w:link w:val="13"/>
    <w:qFormat/>
    <w:locked/>
    <w:uiPriority w:val="99"/>
    <w:rPr>
      <w:sz w:val="18"/>
    </w:rPr>
  </w:style>
  <w:style w:type="character" w:customStyle="1" w:styleId="29">
    <w:name w:val="Body Text Char"/>
    <w:basedOn w:val="22"/>
    <w:semiHidden/>
    <w:qFormat/>
    <w:uiPriority w:val="99"/>
    <w:rPr>
      <w:rFonts w:ascii="Times New Roman" w:hAnsi="Times New Roman"/>
      <w:szCs w:val="24"/>
    </w:rPr>
  </w:style>
  <w:style w:type="character" w:customStyle="1" w:styleId="30">
    <w:name w:val="正文文本 Char"/>
    <w:link w:val="8"/>
    <w:qFormat/>
    <w:locked/>
    <w:uiPriority w:val="99"/>
    <w:rPr>
      <w:rFonts w:ascii="仿宋_GB2312" w:hAnsi="Times New Roman" w:eastAsia="仿宋_GB2312"/>
      <w:sz w:val="24"/>
    </w:rPr>
  </w:style>
  <w:style w:type="paragraph" w:customStyle="1" w:styleId="31">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2">
    <w:name w:val="List Paragraph"/>
    <w:basedOn w:val="1"/>
    <w:qFormat/>
    <w:uiPriority w:val="34"/>
    <w:pPr>
      <w:ind w:firstLine="420" w:firstLineChars="200"/>
    </w:pPr>
  </w:style>
  <w:style w:type="character" w:customStyle="1" w:styleId="33">
    <w:name w:val="标题 1 Char"/>
    <w:basedOn w:val="22"/>
    <w:link w:val="3"/>
    <w:qFormat/>
    <w:uiPriority w:val="9"/>
    <w:rPr>
      <w:rFonts w:ascii="Times New Roman" w:hAnsi="Times New Roman"/>
      <w:b/>
      <w:bCs/>
      <w:kern w:val="44"/>
      <w:sz w:val="44"/>
      <w:szCs w:val="44"/>
    </w:rPr>
  </w:style>
  <w:style w:type="character" w:customStyle="1" w:styleId="34">
    <w:name w:val="标题 2 Char"/>
    <w:basedOn w:val="22"/>
    <w:link w:val="4"/>
    <w:qFormat/>
    <w:uiPriority w:val="9"/>
    <w:rPr>
      <w:rFonts w:asciiTheme="majorHAnsi" w:hAnsiTheme="majorHAnsi" w:eastAsiaTheme="majorEastAsia" w:cstheme="majorBidi"/>
      <w:b/>
      <w:bCs/>
      <w:kern w:val="2"/>
      <w:sz w:val="32"/>
      <w:szCs w:val="32"/>
    </w:rPr>
  </w:style>
  <w:style w:type="paragraph" w:customStyle="1" w:styleId="35">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6">
    <w:name w:val="批注框文本 Char"/>
    <w:basedOn w:val="22"/>
    <w:link w:val="12"/>
    <w:semiHidden/>
    <w:qFormat/>
    <w:uiPriority w:val="99"/>
    <w:rPr>
      <w:rFonts w:ascii="Times New Roman" w:hAnsi="Times New Roman"/>
      <w:kern w:val="2"/>
      <w:sz w:val="18"/>
      <w:szCs w:val="18"/>
    </w:rPr>
  </w:style>
  <w:style w:type="character" w:customStyle="1" w:styleId="37">
    <w:name w:val="标题 3 Char"/>
    <w:basedOn w:val="22"/>
    <w:link w:val="5"/>
    <w:qFormat/>
    <w:uiPriority w:val="9"/>
    <w:rPr>
      <w:rFonts w:ascii="Times New Roman" w:hAnsi="Times New Roman"/>
      <w:b/>
      <w:bCs/>
      <w:kern w:val="2"/>
      <w:sz w:val="32"/>
      <w:szCs w:val="32"/>
    </w:rPr>
  </w:style>
  <w:style w:type="paragraph" w:customStyle="1" w:styleId="38">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9">
    <w:name w:val="TOC 标题3"/>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0">
    <w:name w:val="称呼 Char"/>
    <w:basedOn w:val="22"/>
    <w:link w:val="7"/>
    <w:qFormat/>
    <w:uiPriority w:val="99"/>
    <w:rPr>
      <w:rFonts w:eastAsia="仿宋_GB2312"/>
      <w:kern w:val="2"/>
      <w:sz w:val="32"/>
      <w:szCs w:val="32"/>
    </w:rPr>
  </w:style>
  <w:style w:type="paragraph" w:customStyle="1" w:styleId="41">
    <w:name w:val="ToCaption"/>
    <w:basedOn w:val="1"/>
    <w:next w:val="1"/>
    <w:qFormat/>
    <w:uiPriority w:val="0"/>
    <w:pPr>
      <w:ind w:left="200" w:leftChars="200" w:hanging="200" w:hangingChars="200"/>
      <w:textAlignment w:val="baseline"/>
    </w:pPr>
    <w:rPr>
      <w:rFonts w:eastAsia="仿宋_GB2312"/>
    </w:rPr>
  </w:style>
  <w:style w:type="paragraph" w:customStyle="1" w:styleId="42">
    <w:name w:val="四号正文"/>
    <w:basedOn w:val="1"/>
    <w:qFormat/>
    <w:uiPriority w:val="0"/>
    <w:pPr>
      <w:spacing w:line="360" w:lineRule="auto"/>
    </w:pPr>
    <w:rPr>
      <w:rFonts w:ascii="??" w:hAnsi="??"/>
      <w:color w:val="000000"/>
      <w:kern w:val="0"/>
      <w:sz w:val="28"/>
      <w:szCs w:val="21"/>
      <w:lang w:val="zh-CN"/>
    </w:rPr>
  </w:style>
  <w:style w:type="character" w:customStyle="1" w:styleId="43">
    <w:name w:val="font61"/>
    <w:basedOn w:val="22"/>
    <w:qFormat/>
    <w:uiPriority w:val="0"/>
    <w:rPr>
      <w:rFonts w:hint="default" w:ascii="Times New Roman" w:hAnsi="Times New Roman" w:cs="Times New Roman"/>
      <w:b/>
      <w:color w:val="000000"/>
      <w:sz w:val="44"/>
      <w:szCs w:val="44"/>
      <w:u w:val="none"/>
    </w:rPr>
  </w:style>
  <w:style w:type="character" w:customStyle="1" w:styleId="44">
    <w:name w:val="font111"/>
    <w:basedOn w:val="22"/>
    <w:qFormat/>
    <w:uiPriority w:val="0"/>
    <w:rPr>
      <w:rFonts w:hint="eastAsia" w:ascii="宋体" w:hAnsi="宋体" w:eastAsia="宋体" w:cs="宋体"/>
      <w:b/>
      <w:color w:val="000000"/>
      <w:sz w:val="44"/>
      <w:szCs w:val="44"/>
      <w:u w:val="none"/>
    </w:rPr>
  </w:style>
  <w:style w:type="character" w:customStyle="1" w:styleId="45">
    <w:name w:val="font121"/>
    <w:basedOn w:val="22"/>
    <w:qFormat/>
    <w:uiPriority w:val="0"/>
    <w:rPr>
      <w:rFonts w:hint="eastAsia" w:ascii="宋体" w:hAnsi="宋体" w:eastAsia="宋体" w:cs="宋体"/>
      <w:b/>
      <w:color w:val="000000"/>
      <w:sz w:val="24"/>
      <w:szCs w:val="24"/>
      <w:u w:val="none"/>
    </w:rPr>
  </w:style>
  <w:style w:type="character" w:customStyle="1" w:styleId="46">
    <w:name w:val="font131"/>
    <w:basedOn w:val="22"/>
    <w:qFormat/>
    <w:uiPriority w:val="0"/>
    <w:rPr>
      <w:rFonts w:hint="eastAsia" w:ascii="宋体" w:hAnsi="宋体" w:eastAsia="宋体" w:cs="宋体"/>
      <w:b/>
      <w:color w:val="000000"/>
      <w:sz w:val="28"/>
      <w:szCs w:val="28"/>
      <w:u w:val="none"/>
    </w:rPr>
  </w:style>
  <w:style w:type="character" w:customStyle="1" w:styleId="47">
    <w:name w:val="font142"/>
    <w:basedOn w:val="22"/>
    <w:qFormat/>
    <w:uiPriority w:val="0"/>
    <w:rPr>
      <w:rFonts w:hint="eastAsia" w:ascii="宋体" w:hAnsi="宋体" w:eastAsia="宋体" w:cs="宋体"/>
      <w:b/>
      <w:color w:val="000000"/>
      <w:sz w:val="22"/>
      <w:szCs w:val="22"/>
      <w:u w:val="none"/>
    </w:rPr>
  </w:style>
  <w:style w:type="character" w:customStyle="1" w:styleId="48">
    <w:name w:val="font91"/>
    <w:basedOn w:val="22"/>
    <w:qFormat/>
    <w:uiPriority w:val="0"/>
    <w:rPr>
      <w:rFonts w:hint="eastAsia" w:ascii="宋体" w:hAnsi="宋体" w:eastAsia="宋体" w:cs="宋体"/>
      <w:color w:val="000000"/>
      <w:sz w:val="22"/>
      <w:szCs w:val="22"/>
      <w:u w:val="none"/>
    </w:rPr>
  </w:style>
  <w:style w:type="character" w:customStyle="1" w:styleId="49">
    <w:name w:val="font81"/>
    <w:basedOn w:val="22"/>
    <w:qFormat/>
    <w:uiPriority w:val="0"/>
    <w:rPr>
      <w:rFonts w:hint="default" w:ascii="Times New Roman" w:hAnsi="Times New Roman" w:cs="Times New Roman"/>
      <w:color w:val="000000"/>
      <w:sz w:val="22"/>
      <w:szCs w:val="22"/>
      <w:u w:val="none"/>
    </w:rPr>
  </w:style>
  <w:style w:type="character" w:customStyle="1" w:styleId="50">
    <w:name w:val="font21"/>
    <w:basedOn w:val="22"/>
    <w:qFormat/>
    <w:uiPriority w:val="0"/>
    <w:rPr>
      <w:rFonts w:hint="default" w:ascii="Times New Roman" w:hAnsi="Times New Roman" w:cs="Times New Roman"/>
      <w:b/>
      <w:color w:val="000000"/>
      <w:sz w:val="22"/>
      <w:szCs w:val="22"/>
      <w:u w:val="none"/>
    </w:rPr>
  </w:style>
  <w:style w:type="character" w:customStyle="1" w:styleId="51">
    <w:name w:val="font71"/>
    <w:basedOn w:val="22"/>
    <w:qFormat/>
    <w:uiPriority w:val="0"/>
    <w:rPr>
      <w:rFonts w:hint="eastAsia" w:ascii="宋体" w:hAnsi="宋体" w:eastAsia="宋体" w:cs="宋体"/>
      <w:color w:val="000000"/>
      <w:sz w:val="22"/>
      <w:szCs w:val="22"/>
      <w:u w:val="none"/>
    </w:rPr>
  </w:style>
  <w:style w:type="character" w:customStyle="1" w:styleId="52">
    <w:name w:val="font51"/>
    <w:basedOn w:val="22"/>
    <w:qFormat/>
    <w:uiPriority w:val="0"/>
    <w:rPr>
      <w:rFonts w:hint="default" w:ascii="Times New Roman" w:hAnsi="Times New Roman" w:cs="Times New Roman"/>
      <w:b/>
      <w:color w:val="000000"/>
      <w:sz w:val="24"/>
      <w:szCs w:val="24"/>
      <w:u w:val="none"/>
    </w:rPr>
  </w:style>
  <w:style w:type="character" w:customStyle="1" w:styleId="53">
    <w:name w:val="font161"/>
    <w:basedOn w:val="22"/>
    <w:qFormat/>
    <w:uiPriority w:val="0"/>
    <w:rPr>
      <w:rFonts w:hint="eastAsia" w:ascii="宋体" w:hAnsi="宋体" w:eastAsia="宋体" w:cs="宋体"/>
      <w:color w:val="000000"/>
      <w:sz w:val="24"/>
      <w:szCs w:val="24"/>
      <w:u w:val="none"/>
    </w:rPr>
  </w:style>
  <w:style w:type="character" w:customStyle="1" w:styleId="54">
    <w:name w:val="font01"/>
    <w:basedOn w:val="22"/>
    <w:qFormat/>
    <w:uiPriority w:val="0"/>
    <w:rPr>
      <w:rFonts w:hint="default" w:ascii="Times New Roman" w:hAnsi="Times New Roman" w:cs="Times New Roman"/>
      <w:color w:val="000000"/>
      <w:sz w:val="24"/>
      <w:szCs w:val="24"/>
      <w:u w:val="none"/>
    </w:rPr>
  </w:style>
  <w:style w:type="character" w:customStyle="1" w:styleId="55">
    <w:name w:val="font31"/>
    <w:basedOn w:val="22"/>
    <w:qFormat/>
    <w:uiPriority w:val="0"/>
    <w:rPr>
      <w:rFonts w:hint="eastAsia" w:ascii="宋体" w:hAnsi="宋体" w:eastAsia="宋体" w:cs="宋体"/>
      <w:b/>
      <w:color w:val="000000"/>
      <w:sz w:val="44"/>
      <w:szCs w:val="44"/>
      <w:u w:val="none"/>
    </w:rPr>
  </w:style>
  <w:style w:type="character" w:customStyle="1" w:styleId="56">
    <w:name w:val="font12"/>
    <w:basedOn w:val="22"/>
    <w:qFormat/>
    <w:uiPriority w:val="0"/>
    <w:rPr>
      <w:rFonts w:hint="eastAsia" w:ascii="宋体" w:hAnsi="宋体" w:eastAsia="宋体" w:cs="宋体"/>
      <w:b/>
      <w:color w:val="000000"/>
      <w:sz w:val="28"/>
      <w:szCs w:val="28"/>
      <w:u w:val="none"/>
    </w:rPr>
  </w:style>
  <w:style w:type="character" w:customStyle="1" w:styleId="57">
    <w:name w:val="font141"/>
    <w:basedOn w:val="22"/>
    <w:qFormat/>
    <w:uiPriority w:val="0"/>
    <w:rPr>
      <w:rFonts w:hint="default" w:ascii="Times New Roman" w:hAnsi="Times New Roman" w:cs="Times New Roman"/>
      <w:b/>
      <w:color w:val="000000"/>
      <w:sz w:val="22"/>
      <w:szCs w:val="22"/>
      <w:u w:val="none"/>
    </w:rPr>
  </w:style>
  <w:style w:type="character" w:customStyle="1" w:styleId="58">
    <w:name w:val="font41"/>
    <w:basedOn w:val="22"/>
    <w:qFormat/>
    <w:uiPriority w:val="0"/>
    <w:rPr>
      <w:rFonts w:hint="eastAsia" w:ascii="宋体" w:hAnsi="宋体" w:eastAsia="宋体" w:cs="宋体"/>
      <w:color w:val="000000"/>
      <w:sz w:val="22"/>
      <w:szCs w:val="22"/>
      <w:u w:val="none"/>
    </w:rPr>
  </w:style>
  <w:style w:type="paragraph" w:customStyle="1" w:styleId="5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oleObject" Target="file:///G:\2021&#24180;&#20915;&#31639;&#25209;&#22797;&#20844;&#24320;\&#20844;&#24320;&#25991;&#26412;\&#26032;&#24314;%20Microsoft%20Office%20Excel%20&#24037;&#20316;&#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021&#24180;&#20915;&#31639;&#25209;&#22797;&#20844;&#24320;\&#20844;&#24320;&#25991;&#26412;\&#26032;&#24314;%20Microsoft%20Office%20Excel%20&#24037;&#20316;&#34920;.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marL="0" marR="0" indent="0" algn="ctr" defTabSz="914400" rtl="0" eaLnBrk="1" fontAlgn="auto" latinLnBrk="0" hangingPunct="1">
              <a:lnSpc>
                <a:spcPct val="100000"/>
              </a:lnSpc>
              <a:spcBef>
                <a:spcPts val="0"/>
              </a:spcBef>
              <a:spcAft>
                <a:spcPts val="0"/>
              </a:spcAft>
              <a:buClrTx/>
              <a:buSzTx/>
              <a:buFontTx/>
              <a:buNone/>
              <a:defRPr lang="zh-CN" sz="1400" b="0" i="0" u="none" strike="noStrike" kern="1200" baseline="0">
                <a:solidFill>
                  <a:sysClr val="windowText" lastClr="000000"/>
                </a:solidFill>
                <a:latin typeface="黑体" panose="02010609060101010101" charset="-122"/>
                <a:ea typeface="黑体" panose="02010609060101010101" charset="-122"/>
                <a:cs typeface="+mn-cs"/>
              </a:defRPr>
            </a:pPr>
            <a:r>
              <a:rPr lang="zh-CN" altLang="en-US" sz="1400" b="0" i="0" u="none" strike="noStrike" kern="1200" baseline="0">
                <a:solidFill>
                  <a:sysClr val="windowText" lastClr="000000"/>
                </a:solidFill>
                <a:latin typeface="黑体" panose="02010609060101010101" charset="-122"/>
                <a:ea typeface="黑体" panose="02010609060101010101" charset="-122"/>
                <a:cs typeface="+mn-cs"/>
              </a:rPr>
              <a:t>图</a:t>
            </a:r>
            <a:r>
              <a:rPr lang="en-US" altLang="en-US" sz="1400" b="0" i="0" u="none" strike="noStrike" kern="1200" baseline="0">
                <a:solidFill>
                  <a:sysClr val="windowText" lastClr="000000"/>
                </a:solidFill>
                <a:latin typeface="黑体" panose="02010609060101010101" charset="-122"/>
                <a:ea typeface="黑体" panose="02010609060101010101" charset="-122"/>
                <a:cs typeface="+mn-cs"/>
              </a:rPr>
              <a:t>1</a:t>
            </a:r>
            <a:r>
              <a:rPr lang="zh-CN" altLang="en-US" sz="1400" b="0" i="0" u="none" strike="noStrike" kern="1200" baseline="0">
                <a:solidFill>
                  <a:sysClr val="windowText" lastClr="000000"/>
                </a:solidFill>
                <a:latin typeface="黑体" panose="02010609060101010101" charset="-122"/>
                <a:ea typeface="黑体" panose="02010609060101010101" charset="-122"/>
                <a:cs typeface="+mn-cs"/>
              </a:rPr>
              <a:t>：收、支决算总计变动情况图</a:t>
            </a:r>
            <a:endParaRPr lang="zh-CN" altLang="en-US" sz="1400" b="0" i="0" u="none" strike="noStrike" kern="1200" baseline="0">
              <a:solidFill>
                <a:sysClr val="windowText" lastClr="000000"/>
              </a:solidFill>
              <a:latin typeface="黑体" panose="02010609060101010101" charset="-122"/>
              <a:ea typeface="黑体" panose="02010609060101010101" charset="-122"/>
              <a:cs typeface="+mn-cs"/>
            </a:endParaRPr>
          </a:p>
        </c:rich>
      </c:tx>
      <c:layout>
        <c:manualLayout>
          <c:xMode val="edge"/>
          <c:yMode val="edge"/>
          <c:x val="0.236234655450677"/>
          <c:y val="0.0368936872581649"/>
        </c:manualLayout>
      </c:layout>
      <c:overlay val="false"/>
    </c:title>
    <c:autoTitleDeleted val="false"/>
    <c:plotArea>
      <c:layout/>
      <c:barChart>
        <c:barDir val="col"/>
        <c:grouping val="clustered"/>
        <c:varyColors val="false"/>
        <c:ser>
          <c:idx val="0"/>
          <c:order val="0"/>
          <c:invertIfNegative val="false"/>
          <c:dLbls>
            <c:dLbl>
              <c:idx val="0"/>
              <c:layout>
                <c:manualLayout>
                  <c:x val="0"/>
                  <c:y val="-0.0879629629629631"/>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r>
                      <a:rPr lang="en-US" altLang="en-US"/>
                      <a:t>29,477.23</a:t>
                    </a:r>
                    <a:endParaRPr lang="en-US" altLang="en-US"/>
                  </a:p>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ltLang="en-US"/>
                  </a:p>
                </c:rich>
              </c:tx>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0277777777777778"/>
                  <c:y val="-0.101851851851852"/>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Sheet1!$B$9:$B$10</c:f>
              <c:strCache>
                <c:ptCount val="2"/>
                <c:pt idx="0">
                  <c:v>2021年</c:v>
                </c:pt>
                <c:pt idx="1">
                  <c:v>2020年</c:v>
                </c:pt>
              </c:strCache>
            </c:strRef>
          </c:cat>
          <c:val>
            <c:numRef>
              <c:f>Sheet1!$C$9:$C$10</c:f>
              <c:numCache>
                <c:formatCode>#,##0.00</c:formatCode>
                <c:ptCount val="2"/>
                <c:pt idx="0">
                  <c:v>29477.24</c:v>
                </c:pt>
                <c:pt idx="1">
                  <c:v>20077.14</c:v>
                </c:pt>
              </c:numCache>
            </c:numRef>
          </c:val>
        </c:ser>
        <c:dLbls>
          <c:showLegendKey val="false"/>
          <c:showVal val="true"/>
          <c:showCatName val="false"/>
          <c:showSerName val="false"/>
          <c:showPercent val="false"/>
          <c:showBubbleSize val="false"/>
        </c:dLbls>
        <c:gapWidth val="75"/>
        <c:overlap val="40"/>
        <c:axId val="202797440"/>
        <c:axId val="202798976"/>
      </c:barChart>
      <c:catAx>
        <c:axId val="202797440"/>
        <c:scaling>
          <c:orientation val="minMax"/>
        </c:scaling>
        <c:delete val="false"/>
        <c:axPos val="b"/>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02798976"/>
        <c:crosses val="autoZero"/>
        <c:auto val="true"/>
        <c:lblAlgn val="ctr"/>
        <c:lblOffset val="100"/>
        <c:noMultiLvlLbl val="false"/>
      </c:catAx>
      <c:valAx>
        <c:axId val="202798976"/>
        <c:scaling>
          <c:orientation val="minMax"/>
        </c:scaling>
        <c:delete val="false"/>
        <c:axPos val="l"/>
        <c:majorGridlines/>
        <c:numFmt formatCode="#,##0.00"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Times New Roman" panose="02020603050405020304" charset="0"/>
                <a:ea typeface="仿宋_GB2312" panose="02010609030101010101" pitchFamily="3" charset="-122"/>
                <a:cs typeface="Times New Roman" panose="02020603050405020304" charset="0"/>
              </a:defRPr>
            </a:pPr>
          </a:p>
        </c:txPr>
        <c:crossAx val="202797440"/>
        <c:crosses val="autoZero"/>
        <c:crossBetween val="between"/>
      </c:valAx>
    </c:plotArea>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0" i="0" u="none" strike="noStrike" kern="1200" baseline="0">
                <a:solidFill>
                  <a:schemeClr val="tx1"/>
                </a:solidFill>
                <a:latin typeface="黑体" panose="02010609060101010101" charset="-122"/>
                <a:ea typeface="黑体" panose="02010609060101010101" charset="-122"/>
                <a:cs typeface="+mn-cs"/>
              </a:defRPr>
            </a:pPr>
            <a:r>
              <a:rPr lang="zh-CN" altLang="en-US" sz="1400" b="0" i="0" u="none" strike="noStrike" baseline="0">
                <a:latin typeface="黑体" panose="02010609060101010101" charset="-122"/>
                <a:ea typeface="黑体" panose="02010609060101010101" charset="-122"/>
              </a:rPr>
              <a:t>图</a:t>
            </a:r>
            <a:r>
              <a:rPr lang="en-US" sz="1400" b="0" i="0" u="none" strike="noStrike" baseline="0">
                <a:latin typeface="黑体" panose="02010609060101010101" charset="-122"/>
                <a:ea typeface="黑体" panose="02010609060101010101" charset="-122"/>
              </a:rPr>
              <a:t>2</a:t>
            </a:r>
            <a:r>
              <a:rPr lang="zh-CN" altLang="en-US" sz="1400" b="0" i="0" u="none" strike="noStrike" baseline="0">
                <a:latin typeface="黑体" panose="02010609060101010101" charset="-122"/>
                <a:ea typeface="黑体" panose="02010609060101010101" charset="-122"/>
              </a:rPr>
              <a:t>：收入决算结构图</a:t>
            </a:r>
            <a:endParaRPr lang="zh-CN" altLang="en-US" sz="1400" b="0">
              <a:latin typeface="黑体" panose="02010609060101010101" charset="-122"/>
              <a:ea typeface="黑体" panose="02010609060101010101" charset="-122"/>
            </a:endParaRPr>
          </a:p>
        </c:rich>
      </c:tx>
      <c:layout/>
      <c:overlay val="false"/>
    </c:title>
    <c:autoTitleDeleted val="false"/>
    <c:plotArea>
      <c:layout/>
      <c:pieChart>
        <c:varyColors val="true"/>
        <c:ser>
          <c:idx val="0"/>
          <c:order val="0"/>
          <c:explosion val="0"/>
          <c:dPt>
            <c:idx val="0"/>
            <c:bubble3D val="false"/>
          </c:dPt>
          <c:dPt>
            <c:idx val="1"/>
            <c:bubble3D val="false"/>
          </c:dPt>
          <c:dPt>
            <c:idx val="2"/>
            <c:bubble3D val="false"/>
          </c:dPt>
          <c:dPt>
            <c:idx val="3"/>
            <c:bubble3D val="false"/>
          </c:dPt>
          <c:dLbls>
            <c:dLbl>
              <c:idx val="0"/>
              <c:layout>
                <c:manualLayout>
                  <c:x val="-0.0961882108486439"/>
                  <c:y val="-0.230930664916885"/>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1"/>
              <c:layout>
                <c:manualLayout>
                  <c:x val="-0.000200568678915136"/>
                  <c:y val="0.00301363371245262"/>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2"/>
              <c:layout>
                <c:manualLayout>
                  <c:x val="0.0727210192475941"/>
                  <c:y val="0.153117891513561"/>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Sheet1!$M$5:$M$8</c:f>
              <c:strCache>
                <c:ptCount val="4"/>
                <c:pt idx="0">
                  <c:v>一般公共预算财政拨款收入</c:v>
                </c:pt>
                <c:pt idx="1">
                  <c:v>事业收入</c:v>
                </c:pt>
                <c:pt idx="2">
                  <c:v>经营收入</c:v>
                </c:pt>
                <c:pt idx="3">
                  <c:v>其他收入</c:v>
                </c:pt>
              </c:strCache>
            </c:strRef>
          </c:cat>
          <c:val>
            <c:numRef>
              <c:f>Sheet1!$N$5:$N$8</c:f>
              <c:numCache>
                <c:formatCode>#,##0.00</c:formatCode>
                <c:ptCount val="4"/>
                <c:pt idx="0">
                  <c:v>23766.68</c:v>
                </c:pt>
                <c:pt idx="1">
                  <c:v>1374.3</c:v>
                </c:pt>
                <c:pt idx="2">
                  <c:v>3596.87</c:v>
                </c:pt>
                <c:pt idx="3">
                  <c:v>411.6</c:v>
                </c:pt>
              </c:numCache>
            </c:numRef>
          </c:val>
        </c:ser>
        <c:dLbls>
          <c:showLegendKey val="false"/>
          <c:showVal val="false"/>
          <c:showCatName val="false"/>
          <c:showSerName val="false"/>
          <c:showPercent val="tru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700" b="0" i="0" u="none" strike="noStrike" kern="1200" baseline="0">
              <a:solidFill>
                <a:schemeClr val="tx1"/>
              </a:solidFill>
              <a:latin typeface="+mn-ea"/>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0" i="0" u="none" strike="noStrike" kern="1200" baseline="0">
                <a:solidFill>
                  <a:schemeClr val="tx1"/>
                </a:solidFill>
                <a:latin typeface="黑体" panose="02010609060101010101" charset="-122"/>
                <a:ea typeface="黑体" panose="02010609060101010101" charset="-122"/>
                <a:cs typeface="+mn-cs"/>
              </a:defRPr>
            </a:pPr>
            <a:r>
              <a:rPr lang="zh-CN" altLang="en-US" sz="1400" b="0" i="0" u="none" strike="noStrike" baseline="0"/>
              <a:t>图</a:t>
            </a:r>
            <a:r>
              <a:rPr lang="en-US" sz="1400" b="0" i="0" u="none" strike="noStrike" baseline="0"/>
              <a:t>3</a:t>
            </a:r>
            <a:r>
              <a:rPr lang="zh-CN" altLang="en-US" sz="1400" b="0" i="0" u="none" strike="noStrike" baseline="0"/>
              <a:t>：支出决算结构图</a:t>
            </a:r>
            <a:endParaRPr lang="zh-CN" altLang="en-US" sz="1400" b="0">
              <a:latin typeface="黑体" panose="02010609060101010101" charset="-122"/>
              <a:ea typeface="黑体" panose="02010609060101010101" charset="-122"/>
            </a:endParaRPr>
          </a:p>
        </c:rich>
      </c:tx>
      <c:layout/>
      <c:overlay val="false"/>
    </c:title>
    <c:autoTitleDeleted val="false"/>
    <c:plotArea>
      <c:layout/>
      <c:pieChart>
        <c:varyColors val="true"/>
        <c:ser>
          <c:idx val="0"/>
          <c:order val="0"/>
          <c:explosion val="0"/>
          <c:dPt>
            <c:idx val="0"/>
            <c:bubble3D val="false"/>
          </c:dPt>
          <c:dPt>
            <c:idx val="1"/>
            <c:bubble3D val="false"/>
          </c:dPt>
          <c:dPt>
            <c:idx val="2"/>
            <c:bubble3D val="false"/>
          </c:dPt>
          <c:dLbls>
            <c:dLbl>
              <c:idx val="0"/>
              <c:layout>
                <c:manualLayout>
                  <c:x val="-0.146188101487314"/>
                  <c:y val="-0.0364865850102071"/>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1"/>
              <c:layout>
                <c:manualLayout>
                  <c:x val="0.115654785980334"/>
                  <c:y val="-0.08957895888014"/>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2"/>
              <c:layout>
                <c:manualLayout>
                  <c:x val="0.0425402125716553"/>
                  <c:y val="0.16862715077282"/>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Sheet1!$M$5:$M$7</c:f>
              <c:strCache>
                <c:ptCount val="3"/>
                <c:pt idx="0">
                  <c:v>基本支出</c:v>
                </c:pt>
                <c:pt idx="1">
                  <c:v>项目支出</c:v>
                </c:pt>
                <c:pt idx="2">
                  <c:v>经营支出</c:v>
                </c:pt>
              </c:strCache>
            </c:strRef>
          </c:cat>
          <c:val>
            <c:numRef>
              <c:f>Sheet1!$N$5:$N$7</c:f>
              <c:numCache>
                <c:formatCode>#,##0.00</c:formatCode>
                <c:ptCount val="3"/>
                <c:pt idx="0">
                  <c:v>15242.91</c:v>
                </c:pt>
                <c:pt idx="1">
                  <c:v>9795.98</c:v>
                </c:pt>
                <c:pt idx="2">
                  <c:v>3110.53</c:v>
                </c:pt>
              </c:numCache>
            </c:numRef>
          </c:val>
        </c:ser>
        <c:dLbls>
          <c:showLegendKey val="false"/>
          <c:showVal val="false"/>
          <c:showCatName val="false"/>
          <c:showSerName val="false"/>
          <c:showPercent val="tru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700" b="0" i="0" u="none" strike="noStrike" kern="1200" baseline="0">
              <a:solidFill>
                <a:schemeClr val="tx1"/>
              </a:solidFill>
              <a:latin typeface="+mn-ea"/>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0" i="0" u="none" strike="noStrike" kern="1200" baseline="0">
                <a:solidFill>
                  <a:schemeClr val="tx1"/>
                </a:solidFill>
                <a:latin typeface="黑体" panose="02010609060101010101" charset="-122"/>
                <a:ea typeface="黑体" panose="02010609060101010101" charset="-122"/>
                <a:cs typeface="+mn-cs"/>
              </a:defRPr>
            </a:pPr>
            <a:r>
              <a:rPr lang="zh-CN" altLang="en-US" sz="1400" b="0" i="0" u="none" strike="noStrike" baseline="0">
                <a:latin typeface="黑体" panose="02010609060101010101" charset="-122"/>
                <a:ea typeface="黑体" panose="02010609060101010101" charset="-122"/>
              </a:rPr>
              <a:t>图</a:t>
            </a:r>
            <a:r>
              <a:rPr lang="en-US" sz="1400" b="0" i="0" u="none" strike="noStrike" baseline="0">
                <a:latin typeface="黑体" panose="02010609060101010101" charset="-122"/>
                <a:ea typeface="黑体" panose="02010609060101010101" charset="-122"/>
              </a:rPr>
              <a:t>4</a:t>
            </a:r>
            <a:r>
              <a:rPr lang="zh-CN" altLang="en-US" sz="1400" b="0" i="0" u="none" strike="noStrike" baseline="0">
                <a:latin typeface="黑体" panose="02010609060101010101" charset="-122"/>
                <a:ea typeface="黑体" panose="02010609060101010101" charset="-122"/>
              </a:rPr>
              <a:t>：财政拨款收、支决算总计变动情况</a:t>
            </a:r>
            <a:endParaRPr lang="zh-CN" sz="1400" b="0" i="0" baseline="0">
              <a:latin typeface="黑体" panose="02010609060101010101" charset="-122"/>
              <a:ea typeface="黑体" panose="02010609060101010101" charset="-122"/>
            </a:endParaRPr>
          </a:p>
        </c:rich>
      </c:tx>
      <c:layout/>
      <c:overlay val="false"/>
    </c:title>
    <c:autoTitleDeleted val="false"/>
    <c:plotArea>
      <c:layout>
        <c:manualLayout>
          <c:layoutTarget val="inner"/>
          <c:xMode val="edge"/>
          <c:yMode val="edge"/>
          <c:x val="0.118568755846586"/>
          <c:y val="0.223764304845386"/>
          <c:w val="0.862254443405051"/>
          <c:h val="0.665692719746774"/>
        </c:manualLayout>
      </c:layout>
      <c:barChart>
        <c:barDir val="col"/>
        <c:grouping val="clustered"/>
        <c:varyColors val="false"/>
        <c:ser>
          <c:idx val="0"/>
          <c:order val="0"/>
          <c:invertIfNegative val="false"/>
          <c:dLbls>
            <c:dLbl>
              <c:idx val="0"/>
              <c:layout>
                <c:manualLayout>
                  <c:x val="0.00350795135640786"/>
                  <c:y val="-0.134562723456305"/>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0803970481238955"/>
                  <c:y val="-0.146923967236467"/>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Sheet1!$B$9:$B$10</c:f>
              <c:strCache>
                <c:ptCount val="2"/>
                <c:pt idx="0">
                  <c:v>2021年</c:v>
                </c:pt>
                <c:pt idx="1">
                  <c:v>2020年</c:v>
                </c:pt>
              </c:strCache>
            </c:strRef>
          </c:cat>
          <c:val>
            <c:numRef>
              <c:f>Sheet1!$C$9:$C$10</c:f>
              <c:numCache>
                <c:formatCode>#,##0.00</c:formatCode>
                <c:ptCount val="2"/>
                <c:pt idx="0">
                  <c:v>23767.18</c:v>
                </c:pt>
                <c:pt idx="1">
                  <c:v>18145.86</c:v>
                </c:pt>
              </c:numCache>
            </c:numRef>
          </c:val>
        </c:ser>
        <c:dLbls>
          <c:showLegendKey val="false"/>
          <c:showVal val="true"/>
          <c:showCatName val="false"/>
          <c:showSerName val="false"/>
          <c:showPercent val="false"/>
          <c:showBubbleSize val="false"/>
        </c:dLbls>
        <c:gapWidth val="75"/>
        <c:overlap val="40"/>
        <c:axId val="211636224"/>
        <c:axId val="211637760"/>
      </c:barChart>
      <c:catAx>
        <c:axId val="211636224"/>
        <c:scaling>
          <c:orientation val="minMax"/>
        </c:scaling>
        <c:delete val="false"/>
        <c:axPos val="b"/>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11637760"/>
        <c:crosses val="autoZero"/>
        <c:auto val="true"/>
        <c:lblAlgn val="ctr"/>
        <c:lblOffset val="100"/>
        <c:noMultiLvlLbl val="false"/>
      </c:catAx>
      <c:valAx>
        <c:axId val="211637760"/>
        <c:scaling>
          <c:orientation val="minMax"/>
        </c:scaling>
        <c:delete val="false"/>
        <c:axPos val="l"/>
        <c:majorGridlines/>
        <c:numFmt formatCode="#,##0.00"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Times New Roman" panose="02020603050405020304" charset="0"/>
                <a:ea typeface="仿宋_GB2312" panose="02010609030101010101" pitchFamily="3" charset="-122"/>
                <a:cs typeface="Times New Roman" panose="02020603050405020304" charset="0"/>
              </a:defRPr>
            </a:pPr>
          </a:p>
        </c:txPr>
        <c:crossAx val="211636224"/>
        <c:crosses val="autoZero"/>
        <c:crossBetween val="between"/>
      </c:valAx>
    </c:plotArea>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zh-CN" altLang="en-US" sz="1400" b="0" i="0" u="none" strike="noStrike" baseline="0">
                <a:latin typeface="Times New Roman" panose="02020603050405020304" charset="0"/>
                <a:ea typeface="Times New Roman" panose="02020603050405020304" charset="0"/>
                <a:cs typeface="Times New Roman" panose="02020603050405020304" charset="0"/>
                <a:sym typeface="Times New Roman" panose="02020603050405020304" charset="0"/>
              </a:rPr>
              <a:t>图</a:t>
            </a:r>
            <a:r>
              <a:rPr lang="en-US" sz="1400" b="0" i="0" u="none" strike="noStrike" baseline="0">
                <a:latin typeface="Times New Roman" panose="02020603050405020304" charset="0"/>
                <a:ea typeface="Times New Roman" panose="02020603050405020304" charset="0"/>
                <a:cs typeface="Times New Roman" panose="02020603050405020304" charset="0"/>
                <a:sym typeface="Times New Roman" panose="02020603050405020304" charset="0"/>
              </a:rPr>
              <a:t>5</a:t>
            </a:r>
            <a:r>
              <a:rPr lang="zh-CN" altLang="en-US" sz="1400" b="0" i="0" u="none" strike="noStrike" baseline="0">
                <a:latin typeface="Times New Roman" panose="02020603050405020304" charset="0"/>
                <a:ea typeface="Times New Roman" panose="02020603050405020304" charset="0"/>
                <a:cs typeface="Times New Roman" panose="02020603050405020304" charset="0"/>
                <a:sym typeface="Times New Roman" panose="02020603050405020304" charset="0"/>
              </a:rPr>
              <a:t>：一般公共预算财政拨款支出决算变动情况</a:t>
            </a:r>
            <a:endParaRPr lang="zh-CN" sz="1400" b="0" i="0" baseline="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07870304090776"/>
          <c:y val="0.0323117857690469"/>
        </c:manualLayout>
      </c:layout>
      <c:overlay val="false"/>
    </c:title>
    <c:autoTitleDeleted val="false"/>
    <c:plotArea>
      <c:layout>
        <c:manualLayout>
          <c:layoutTarget val="inner"/>
          <c:xMode val="edge"/>
          <c:yMode val="edge"/>
          <c:x val="0.116379815009952"/>
          <c:y val="0.165359778597786"/>
          <c:w val="0.847324669242478"/>
          <c:h val="0.703413284132841"/>
        </c:manualLayout>
      </c:layout>
      <c:barChart>
        <c:barDir val="col"/>
        <c:grouping val="clustered"/>
        <c:varyColors val="false"/>
        <c:ser>
          <c:idx val="0"/>
          <c:order val="0"/>
          <c:invertIfNegative val="false"/>
          <c:dLbls>
            <c:dLbl>
              <c:idx val="0"/>
              <c:layout>
                <c:manualLayout>
                  <c:x val="-0.00526870389884088"/>
                  <c:y val="-0.115638239715731"/>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133151855754596"/>
                  <c:y val="-0.146824176575099"/>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Sheet1!$B$9:$B$10</c:f>
              <c:strCache>
                <c:ptCount val="2"/>
                <c:pt idx="0">
                  <c:v>2021年</c:v>
                </c:pt>
                <c:pt idx="1">
                  <c:v>2020年</c:v>
                </c:pt>
              </c:strCache>
            </c:strRef>
          </c:cat>
          <c:val>
            <c:numRef>
              <c:f>Sheet1!$C$9:$C$10</c:f>
              <c:numCache>
                <c:formatCode>#,##0.00</c:formatCode>
                <c:ptCount val="2"/>
                <c:pt idx="0">
                  <c:v>23766.68</c:v>
                </c:pt>
                <c:pt idx="1">
                  <c:v>18145.36</c:v>
                </c:pt>
              </c:numCache>
            </c:numRef>
          </c:val>
        </c:ser>
        <c:dLbls>
          <c:showLegendKey val="false"/>
          <c:showVal val="true"/>
          <c:showCatName val="false"/>
          <c:showSerName val="false"/>
          <c:showPercent val="false"/>
          <c:showBubbleSize val="false"/>
        </c:dLbls>
        <c:gapWidth val="75"/>
        <c:overlap val="40"/>
        <c:axId val="211704832"/>
        <c:axId val="211706624"/>
      </c:barChart>
      <c:catAx>
        <c:axId val="211704832"/>
        <c:scaling>
          <c:orientation val="minMax"/>
        </c:scaling>
        <c:delete val="false"/>
        <c:axPos val="b"/>
        <c:majorTickMark val="none"/>
        <c:minorTickMark val="none"/>
        <c:tickLblPos val="nextTo"/>
        <c:spPr>
          <a:solidFill>
            <a:schemeClr val="lt1"/>
          </a:solidFill>
          <a:ln w="25400" cap="flat" cmpd="sng" algn="ctr">
            <a:solidFill>
              <a:schemeClr val="dk1"/>
            </a:solidFill>
            <a:prstDash val="solid"/>
            <a:round/>
          </a:ln>
        </c:spPr>
        <c:txPr>
          <a:bodyPr rot="-60000000" spcFirstLastPara="0" vertOverflow="ellipsis" vert="horz" wrap="square" anchor="ctr" anchorCtr="true"/>
          <a:lstStyle/>
          <a:p>
            <a:pPr>
              <a:defRPr lang="zh-CN" sz="1000"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11706624"/>
        <c:crosses val="autoZero"/>
        <c:auto val="true"/>
        <c:lblAlgn val="ctr"/>
        <c:lblOffset val="100"/>
        <c:noMultiLvlLbl val="false"/>
      </c:catAx>
      <c:valAx>
        <c:axId val="211706624"/>
        <c:scaling>
          <c:orientation val="minMax"/>
        </c:scaling>
        <c:delete val="false"/>
        <c:axPos val="l"/>
        <c:majorGridlines/>
        <c:numFmt formatCode="#,##0.00"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11704832"/>
        <c:crosses val="autoZero"/>
        <c:crossBetween val="between"/>
      </c:valAx>
    </c:plotArea>
    <c:plotVisOnly val="true"/>
    <c:dispBlanksAs val="gap"/>
    <c:showDLblsOverMax val="false"/>
  </c:chart>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0" i="0" u="none" strike="noStrike" kern="1200" baseline="0">
                <a:solidFill>
                  <a:schemeClr val="tx1"/>
                </a:solidFill>
                <a:latin typeface="黑体" panose="02010609060101010101" charset="-122"/>
                <a:ea typeface="黑体" panose="02010609060101010101" charset="-122"/>
                <a:cs typeface="+mn-cs"/>
              </a:defRPr>
            </a:pPr>
            <a:r>
              <a:rPr lang="zh-CN" altLang="en-US" sz="1400" b="0" i="0" u="none" strike="noStrike" baseline="0"/>
              <a:t>图</a:t>
            </a:r>
            <a:r>
              <a:rPr lang="en-US" sz="1400" b="0" i="0" u="none" strike="noStrike" baseline="0"/>
              <a:t>6</a:t>
            </a:r>
            <a:r>
              <a:rPr lang="zh-CN" altLang="en-US" sz="1400" b="0" i="0" u="none" strike="noStrike" baseline="0"/>
              <a:t>：一般公共预算财政拨款支出决算结构</a:t>
            </a:r>
            <a:endParaRPr lang="zh-CN" altLang="en-US" sz="1400" b="0">
              <a:latin typeface="黑体" panose="02010609060101010101" charset="-122"/>
              <a:ea typeface="黑体" panose="02010609060101010101" charset="-122"/>
            </a:endParaRPr>
          </a:p>
        </c:rich>
      </c:tx>
      <c:layout/>
      <c:overlay val="false"/>
    </c:title>
    <c:autoTitleDeleted val="false"/>
    <c:plotArea>
      <c:layout/>
      <c:pieChart>
        <c:varyColors val="true"/>
        <c:ser>
          <c:idx val="0"/>
          <c:order val="0"/>
          <c:explosion val="0"/>
          <c:dPt>
            <c:idx val="0"/>
            <c:bubble3D val="false"/>
          </c:dPt>
          <c:dPt>
            <c:idx val="1"/>
            <c:bubble3D val="false"/>
          </c:dPt>
          <c:dPt>
            <c:idx val="2"/>
            <c:bubble3D val="false"/>
          </c:dPt>
          <c:dPt>
            <c:idx val="3"/>
            <c:bubble3D val="false"/>
          </c:dPt>
          <c:dPt>
            <c:idx val="4"/>
            <c:bubble3D val="false"/>
          </c:dPt>
          <c:dPt>
            <c:idx val="5"/>
            <c:bubble3D val="false"/>
          </c:dPt>
          <c:dPt>
            <c:idx val="6"/>
            <c:bubble3D val="false"/>
          </c:dPt>
          <c:dPt>
            <c:idx val="7"/>
            <c:bubble3D val="false"/>
          </c:dPt>
          <c:dLbls>
            <c:dLbl>
              <c:idx val="0"/>
              <c:layout>
                <c:manualLayout>
                  <c:x val="-0.146188101487314"/>
                  <c:y val="-0.0364865850102071"/>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1"/>
              <c:layout>
                <c:manualLayout>
                  <c:x val="-0.000200568678915136"/>
                  <c:y val="0.00301363371245262"/>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2"/>
              <c:layout>
                <c:manualLayout>
                  <c:x val="0.063614046296663"/>
                  <c:y val="0.00659011373578324"/>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Sheet1!$M$5:$M$12</c:f>
              <c:strCache>
                <c:ptCount val="8"/>
                <c:pt idx="0">
                  <c:v>一般公共服务支出</c:v>
                </c:pt>
                <c:pt idx="1">
                  <c:v>教育支出</c:v>
                </c:pt>
                <c:pt idx="2">
                  <c:v>科学技术支出</c:v>
                </c:pt>
                <c:pt idx="3">
                  <c:v>社会保障和就业支出</c:v>
                </c:pt>
                <c:pt idx="4">
                  <c:v>卫生健康支出</c:v>
                </c:pt>
                <c:pt idx="5">
                  <c:v>节能环保支出</c:v>
                </c:pt>
                <c:pt idx="6">
                  <c:v>住房保障支出</c:v>
                </c:pt>
                <c:pt idx="7">
                  <c:v>灾害防治及应急管理支出</c:v>
                </c:pt>
              </c:strCache>
            </c:strRef>
          </c:cat>
          <c:val>
            <c:numRef>
              <c:f>Sheet1!$N$5:$N$12</c:f>
              <c:numCache>
                <c:formatCode>#,##0.00</c:formatCode>
                <c:ptCount val="8"/>
                <c:pt idx="0">
                  <c:v>17764.6</c:v>
                </c:pt>
                <c:pt idx="1">
                  <c:v>75.8</c:v>
                </c:pt>
                <c:pt idx="2">
                  <c:v>435.6</c:v>
                </c:pt>
                <c:pt idx="3">
                  <c:v>2972.68</c:v>
                </c:pt>
                <c:pt idx="4">
                  <c:v>710.46</c:v>
                </c:pt>
                <c:pt idx="5">
                  <c:v>527</c:v>
                </c:pt>
                <c:pt idx="6">
                  <c:v>1270.97</c:v>
                </c:pt>
                <c:pt idx="7">
                  <c:v>9.57</c:v>
                </c:pt>
              </c:numCache>
            </c:numRef>
          </c:val>
        </c:ser>
        <c:dLbls>
          <c:showLegendKey val="false"/>
          <c:showVal val="false"/>
          <c:showCatName val="false"/>
          <c:showSerName val="false"/>
          <c:showPercent val="tru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700" b="0" i="0" u="none" strike="noStrike" kern="1200" baseline="0">
              <a:solidFill>
                <a:schemeClr val="tx1"/>
              </a:solidFill>
              <a:latin typeface="+mn-ea"/>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0" i="0" u="none" strike="noStrike" kern="1200" baseline="0">
                <a:solidFill>
                  <a:schemeClr val="tx1"/>
                </a:solidFill>
                <a:latin typeface="黑体" panose="02010609060101010101" charset="-122"/>
                <a:ea typeface="黑体" panose="02010609060101010101" charset="-122"/>
                <a:cs typeface="+mn-cs"/>
              </a:defRPr>
            </a:pPr>
            <a:r>
              <a:rPr lang="zh-CN" altLang="en-US" sz="1400" b="0" i="0" u="none" strike="noStrike" baseline="0"/>
              <a:t>图</a:t>
            </a:r>
            <a:r>
              <a:rPr lang="en-US" sz="1400" b="0" i="0" u="none" strike="noStrike" baseline="0"/>
              <a:t>7</a:t>
            </a:r>
            <a:r>
              <a:rPr lang="zh-CN" altLang="en-US" sz="1400" b="0" i="0" u="none" strike="noStrike" baseline="0"/>
              <a:t>：“三公”经费财政拨款支出结构</a:t>
            </a:r>
            <a:endParaRPr lang="zh-CN" altLang="en-US" sz="1400" b="0">
              <a:latin typeface="黑体" panose="02010609060101010101" charset="-122"/>
              <a:ea typeface="黑体" panose="02010609060101010101" charset="-122"/>
            </a:endParaRPr>
          </a:p>
        </c:rich>
      </c:tx>
      <c:layout/>
      <c:overlay val="false"/>
    </c:title>
    <c:autoTitleDeleted val="false"/>
    <c:plotArea>
      <c:layout/>
      <c:pieChart>
        <c:varyColors val="true"/>
        <c:ser>
          <c:idx val="0"/>
          <c:order val="0"/>
          <c:explosion val="0"/>
          <c:dPt>
            <c:idx val="0"/>
            <c:bubble3D val="false"/>
          </c:dPt>
          <c:dPt>
            <c:idx val="1"/>
            <c:bubble3D val="false"/>
          </c:dPt>
          <c:dPt>
            <c:idx val="2"/>
            <c:bubble3D val="false"/>
          </c:dPt>
          <c:dLbls>
            <c:dLbl>
              <c:idx val="0"/>
              <c:layout>
                <c:manualLayout>
                  <c:x val="-0.146188101487314"/>
                  <c:y val="-0.0364865850102071"/>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1"/>
              <c:layout>
                <c:manualLayout>
                  <c:x val="-0.0431836195263728"/>
                  <c:y val="-0.19744932925051"/>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2"/>
              <c:layout>
                <c:manualLayout>
                  <c:x val="0.0320430531458992"/>
                  <c:y val="0.172330854476524"/>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Sheet1!$M$5:$M$7</c:f>
              <c:strCache>
                <c:ptCount val="3"/>
                <c:pt idx="0">
                  <c:v>因公出国（境）费</c:v>
                </c:pt>
                <c:pt idx="1">
                  <c:v>公务用车购置及运行费</c:v>
                </c:pt>
                <c:pt idx="2">
                  <c:v>公务接待费</c:v>
                </c:pt>
              </c:strCache>
            </c:strRef>
          </c:cat>
          <c:val>
            <c:numRef>
              <c:f>Sheet1!$N$5:$N$7</c:f>
              <c:numCache>
                <c:formatCode>#,##0.00</c:formatCode>
                <c:ptCount val="3"/>
                <c:pt idx="0">
                  <c:v>0</c:v>
                </c:pt>
                <c:pt idx="1">
                  <c:v>133.3</c:v>
                </c:pt>
                <c:pt idx="2">
                  <c:v>10.88</c:v>
                </c:pt>
              </c:numCache>
            </c:numRef>
          </c:val>
        </c:ser>
        <c:dLbls>
          <c:showLegendKey val="false"/>
          <c:showVal val="false"/>
          <c:showCatName val="false"/>
          <c:showSerName val="false"/>
          <c:showPercent val="tru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700" b="0" i="0" u="none" strike="noStrike" kern="1200" baseline="0">
              <a:solidFill>
                <a:schemeClr val="tx1"/>
              </a:solidFill>
              <a:latin typeface="+mn-ea"/>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79</Pages>
  <Words>35416</Words>
  <Characters>37833</Characters>
  <Lines>53</Lines>
  <Paragraphs>78</Paragraphs>
  <TotalTime>27</TotalTime>
  <ScaleCrop>false</ScaleCrop>
  <LinksUpToDate>false</LinksUpToDate>
  <CharactersWithSpaces>37956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2022-08-19T23:26:00Z</dcterms:created>
  <dc:creator>曹颖</dc:creator>
  <cp:lastModifiedBy>user</cp:lastModifiedBy>
  <cp:lastPrinted>2022-08-27T08:24:00Z</cp:lastPrinted>
  <dcterms:modified xsi:type="dcterms:W3CDTF">2022-08-26T17:05:43Z</dcterms:modified>
  <dc:title>四川省***</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BA3A96C47A904028ADC05B2F5B83A97B</vt:lpwstr>
  </property>
</Properties>
</file>