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60" w:lineRule="exact"/>
        <w:jc w:val="center"/>
        <w:outlineLvl w:val="0"/>
        <w:rPr>
          <w:rFonts w:hint="default" w:ascii="Times New Roman" w:hAnsi="Times New Roman" w:eastAsia="方正小标宋简体" w:cs="Times New Roman"/>
          <w:color w:val="auto"/>
          <w:sz w:val="72"/>
          <w:szCs w:val="72"/>
        </w:rPr>
      </w:pPr>
      <w:bookmarkStart w:id="0" w:name="_Toc15378441"/>
      <w:bookmarkStart w:id="1" w:name="_Toc15377425"/>
      <w:bookmarkStart w:id="2" w:name="_Toc15396475"/>
      <w:bookmarkStart w:id="3" w:name="_Toc15377193"/>
      <w:bookmarkStart w:id="4" w:name="_Toc15396597"/>
      <w:bookmarkStart w:id="5" w:name="_Toc15306267"/>
    </w:p>
    <w:p>
      <w:pPr>
        <w:pageBreakBefore w:val="0"/>
        <w:kinsoku/>
        <w:wordWrap/>
        <w:overflowPunct/>
        <w:topLinePunct w:val="0"/>
        <w:bidi w:val="0"/>
        <w:spacing w:line="560" w:lineRule="exact"/>
        <w:jc w:val="center"/>
        <w:outlineLvl w:val="0"/>
        <w:rPr>
          <w:rFonts w:hint="default" w:ascii="Times New Roman" w:hAnsi="Times New Roman" w:eastAsia="方正小标宋简体" w:cs="Times New Roman"/>
          <w:color w:val="auto"/>
          <w:sz w:val="72"/>
          <w:szCs w:val="72"/>
        </w:rPr>
      </w:pPr>
    </w:p>
    <w:p>
      <w:pPr>
        <w:pageBreakBefore w:val="0"/>
        <w:kinsoku/>
        <w:wordWrap/>
        <w:overflowPunct/>
        <w:topLinePunct w:val="0"/>
        <w:bidi w:val="0"/>
        <w:spacing w:line="560" w:lineRule="exact"/>
        <w:jc w:val="center"/>
        <w:outlineLvl w:val="0"/>
        <w:rPr>
          <w:rFonts w:hint="default" w:ascii="Times New Roman" w:hAnsi="Times New Roman" w:eastAsia="方正小标宋简体" w:cs="Times New Roman"/>
          <w:color w:val="auto"/>
          <w:sz w:val="72"/>
          <w:szCs w:val="72"/>
        </w:rPr>
      </w:pPr>
    </w:p>
    <w:p>
      <w:pPr>
        <w:keepNext w:val="0"/>
        <w:keepLines w:val="0"/>
        <w:pageBreakBefore w:val="0"/>
        <w:widowControl w:val="0"/>
        <w:kinsoku/>
        <w:wordWrap/>
        <w:overflowPunct/>
        <w:topLinePunct w:val="0"/>
        <w:autoSpaceDE/>
        <w:autoSpaceDN/>
        <w:bidi w:val="0"/>
        <w:spacing w:line="240" w:lineRule="auto"/>
        <w:jc w:val="center"/>
        <w:textAlignment w:val="auto"/>
        <w:outlineLvl w:val="0"/>
        <w:rPr>
          <w:rFonts w:hint="default" w:ascii="Times New Roman" w:hAnsi="Times New Roman" w:eastAsia="方正小标宋简体" w:cs="Times New Roman"/>
          <w:color w:val="auto"/>
          <w:sz w:val="72"/>
          <w:szCs w:val="72"/>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eastAsia="方正小标宋简体" w:cs="Times New Roman"/>
          <w:color w:val="auto"/>
          <w:sz w:val="72"/>
          <w:szCs w:val="72"/>
        </w:rPr>
      </w:pPr>
      <w:bookmarkStart w:id="6" w:name="_Toc112248376"/>
      <w:r>
        <w:rPr>
          <w:rFonts w:hint="default" w:ascii="Times New Roman" w:hAnsi="Times New Roman" w:eastAsia="方正小标宋简体" w:cs="Times New Roman"/>
          <w:color w:val="auto"/>
          <w:sz w:val="72"/>
          <w:szCs w:val="72"/>
        </w:rPr>
        <w:t>2021年度</w:t>
      </w:r>
      <w:bookmarkEnd w:id="0"/>
      <w:bookmarkEnd w:id="1"/>
      <w:bookmarkEnd w:id="2"/>
      <w:bookmarkEnd w:id="3"/>
      <w:bookmarkEnd w:id="4"/>
      <w:bookmarkEnd w:id="6"/>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eastAsia="方正小标宋简体" w:cs="Times New Roman"/>
          <w:color w:val="auto"/>
          <w:sz w:val="72"/>
          <w:szCs w:val="72"/>
        </w:rPr>
      </w:pPr>
      <w:bookmarkStart w:id="7" w:name="_Toc112248377"/>
      <w:bookmarkStart w:id="8" w:name="_Toc15377194"/>
      <w:bookmarkStart w:id="9" w:name="_Toc15396476"/>
      <w:bookmarkStart w:id="10" w:name="_Toc15396598"/>
      <w:bookmarkStart w:id="11" w:name="_Toc15377426"/>
      <w:bookmarkStart w:id="12" w:name="_Toc15378442"/>
      <w:r>
        <w:rPr>
          <w:rFonts w:hint="default" w:ascii="Times New Roman" w:hAnsi="Times New Roman" w:eastAsia="方正小标宋简体" w:cs="Times New Roman"/>
          <w:color w:val="auto"/>
          <w:sz w:val="72"/>
          <w:szCs w:val="72"/>
        </w:rPr>
        <w:t>四川省</w:t>
      </w:r>
      <w:bookmarkEnd w:id="5"/>
      <w:bookmarkStart w:id="13" w:name="_Toc15306268"/>
      <w:r>
        <w:rPr>
          <w:rFonts w:hint="default" w:ascii="Times New Roman" w:hAnsi="Times New Roman" w:eastAsia="方正小标宋简体" w:cs="Times New Roman"/>
          <w:color w:val="auto"/>
          <w:sz w:val="72"/>
          <w:szCs w:val="72"/>
        </w:rPr>
        <w:t>发展和改革委员会</w:t>
      </w:r>
      <w:bookmarkEnd w:id="7"/>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eastAsia="方正小标宋简体" w:cs="Times New Roman"/>
          <w:color w:val="auto"/>
          <w:sz w:val="72"/>
          <w:szCs w:val="72"/>
        </w:rPr>
      </w:pPr>
      <w:bookmarkStart w:id="14" w:name="_Toc112248378"/>
      <w:r>
        <w:rPr>
          <w:rFonts w:hint="default" w:ascii="Times New Roman" w:hAnsi="Times New Roman" w:eastAsia="方正小标宋简体" w:cs="Times New Roman"/>
          <w:color w:val="auto"/>
          <w:sz w:val="72"/>
          <w:szCs w:val="72"/>
        </w:rPr>
        <w:t>部门决算</w:t>
      </w:r>
      <w:bookmarkEnd w:id="8"/>
      <w:bookmarkEnd w:id="9"/>
      <w:bookmarkEnd w:id="10"/>
      <w:bookmarkEnd w:id="11"/>
      <w:bookmarkEnd w:id="12"/>
      <w:bookmarkEnd w:id="13"/>
      <w:bookmarkEnd w:id="14"/>
    </w:p>
    <w:p>
      <w:pPr>
        <w:pageBreakBefore w:val="0"/>
        <w:widowControl/>
        <w:kinsoku/>
        <w:wordWrap/>
        <w:overflowPunct/>
        <w:topLinePunct w:val="0"/>
        <w:bidi w:val="0"/>
        <w:spacing w:line="560" w:lineRule="exact"/>
        <w:jc w:val="center"/>
        <w:rPr>
          <w:rFonts w:hint="default" w:ascii="Times New Roman" w:hAnsi="Times New Roman" w:eastAsia="黑体" w:cs="Times New Roman"/>
          <w:color w:val="auto"/>
          <w:sz w:val="48"/>
          <w:szCs w:val="48"/>
        </w:rPr>
        <w:sectPr>
          <w:footerReference r:id="rId3" w:type="first"/>
          <w:pgSz w:w="11906" w:h="16838"/>
          <w:pgMar w:top="2098" w:right="1474" w:bottom="1984" w:left="1587" w:header="851" w:footer="1928" w:gutter="0"/>
          <w:pgNumType w:fmt="decimal"/>
          <w:cols w:space="720" w:num="1"/>
          <w:rtlGutter w:val="0"/>
          <w:docGrid w:type="lines" w:linePitch="312" w:charSpace="0"/>
        </w:sectPr>
      </w:pPr>
    </w:p>
    <w:p>
      <w:pPr>
        <w:pageBreakBefore w:val="0"/>
        <w:widowControl/>
        <w:kinsoku/>
        <w:wordWrap/>
        <w:overflowPunct/>
        <w:topLinePunct w:val="0"/>
        <w:bidi w:val="0"/>
        <w:spacing w:line="560" w:lineRule="exact"/>
        <w:jc w:val="center"/>
        <w:rPr>
          <w:rFonts w:hint="default" w:ascii="Times New Roman" w:hAnsi="Times New Roman" w:eastAsia="黑体" w:cs="Times New Roman"/>
          <w:color w:val="auto"/>
          <w:sz w:val="48"/>
          <w:szCs w:val="48"/>
        </w:rPr>
      </w:pPr>
      <w:r>
        <w:rPr>
          <w:rFonts w:hint="default" w:ascii="Times New Roman" w:hAnsi="Times New Roman" w:eastAsia="黑体" w:cs="Times New Roman"/>
          <w:color w:val="auto"/>
          <w:sz w:val="48"/>
          <w:szCs w:val="48"/>
        </w:rPr>
        <w:t>目录</w:t>
      </w:r>
    </w:p>
    <w:p>
      <w:pPr>
        <w:pageBreakBefore w:val="0"/>
        <w:widowControl/>
        <w:kinsoku/>
        <w:wordWrap/>
        <w:overflowPunct/>
        <w:topLinePunct w:val="0"/>
        <w:bidi w:val="0"/>
        <w:spacing w:line="560" w:lineRule="exact"/>
        <w:jc w:val="center"/>
        <w:rPr>
          <w:rFonts w:hint="default" w:ascii="Times New Roman" w:hAnsi="Times New Roman" w:eastAsia="黑体" w:cs="Times New Roman"/>
          <w:color w:val="auto"/>
          <w:sz w:val="28"/>
          <w:szCs w:val="28"/>
        </w:rPr>
      </w:pPr>
    </w:p>
    <w:p>
      <w:pPr>
        <w:pStyle w:val="15"/>
        <w:pageBreakBefore w:val="0"/>
        <w:kinsoku/>
        <w:wordWrap/>
        <w:overflowPunct/>
        <w:topLinePunct w:val="0"/>
        <w:bidi w:val="0"/>
        <w:spacing w:line="560" w:lineRule="exact"/>
        <w:rPr>
          <w:rFonts w:hint="default" w:ascii="Times New Roman" w:hAnsi="Times New Roman" w:cs="Times New Roman"/>
          <w:color w:val="auto"/>
        </w:rPr>
      </w:pPr>
      <w:r>
        <w:rPr>
          <w:rFonts w:hint="default" w:ascii="Times New Roman" w:hAnsi="Times New Roman" w:cs="Times New Roman"/>
          <w:color w:val="auto"/>
        </w:rPr>
        <w:t>公开时间：2022年8月29日</w:t>
      </w:r>
    </w:p>
    <w:sdt>
      <w:sdtPr>
        <w:rPr>
          <w:rFonts w:hint="default" w:ascii="Times New Roman" w:hAnsi="Times New Roman" w:cs="Times New Roman"/>
          <w:color w:val="auto"/>
          <w:lang w:val="zh-CN"/>
        </w:rPr>
        <w:id w:val="23527797"/>
        <w:docPartObj>
          <w:docPartGallery w:val="Table of Contents"/>
          <w:docPartUnique/>
        </w:docPartObj>
      </w:sdtPr>
      <w:sdtEndPr>
        <w:rPr>
          <w:rFonts w:hint="default" w:ascii="Times New Roman" w:hAnsi="Times New Roman" w:eastAsia="宋体" w:cs="Times New Roman"/>
          <w:b w:val="0"/>
          <w:bCs w:val="0"/>
          <w:color w:val="auto"/>
          <w:kern w:val="2"/>
          <w:sz w:val="21"/>
          <w:szCs w:val="24"/>
          <w:lang w:val="en-US"/>
        </w:rPr>
      </w:sdtEndPr>
      <w:sdtContent>
        <w:p>
          <w:pPr>
            <w:pStyle w:val="59"/>
            <w:pageBreakBefore w:val="0"/>
            <w:kinsoku/>
            <w:wordWrap/>
            <w:overflowPunct/>
            <w:topLinePunct w:val="0"/>
            <w:bidi w:val="0"/>
            <w:spacing w:line="560" w:lineRule="exact"/>
            <w:rPr>
              <w:rStyle w:val="24"/>
              <w:rFonts w:hint="default" w:ascii="Times New Roman" w:hAnsi="Times New Roman" w:eastAsia="仿宋_GB2312" w:cs="Times New Roman"/>
              <w:b w:val="0"/>
              <w:color w:val="auto"/>
              <w:kern w:val="2"/>
              <w:sz w:val="30"/>
              <w:szCs w:val="30"/>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TOC \o "1-3" \h \z \u </w:instrText>
          </w:r>
          <w:r>
            <w:rPr>
              <w:rFonts w:hint="default" w:ascii="Times New Roman" w:hAnsi="Times New Roman" w:cs="Times New Roman"/>
              <w:color w:val="auto"/>
            </w:rPr>
            <w:fldChar w:fldCharType="separate"/>
          </w:r>
        </w:p>
        <w:p>
          <w:pPr>
            <w:pStyle w:val="15"/>
            <w:pageBreakBefore w:val="0"/>
            <w:kinsoku/>
            <w:wordWrap/>
            <w:overflowPunct/>
            <w:topLinePunct w:val="0"/>
            <w:bidi w:val="0"/>
            <w:spacing w:line="560" w:lineRule="exact"/>
            <w:rPr>
              <w:rStyle w:val="24"/>
              <w:rFonts w:hint="default" w:ascii="Times New Roman" w:hAnsi="Times New Roman" w:eastAsia="仿宋_GB2312" w:cs="Times New Roman"/>
              <w:bCs/>
              <w:color w:val="auto"/>
              <w:sz w:val="30"/>
              <w:szCs w:val="30"/>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"_Toc112248379" </w:instrText>
          </w:r>
          <w:r>
            <w:rPr>
              <w:rFonts w:hint="default" w:ascii="Times New Roman" w:hAnsi="Times New Roman" w:cs="Times New Roman"/>
              <w:color w:val="auto"/>
            </w:rPr>
            <w:fldChar w:fldCharType="separate"/>
          </w:r>
          <w:r>
            <w:rPr>
              <w:rStyle w:val="24"/>
              <w:rFonts w:hint="default" w:ascii="Times New Roman" w:hAnsi="Times New Roman" w:eastAsia="仿宋_GB2312" w:cs="Times New Roman"/>
              <w:bCs/>
              <w:color w:val="auto"/>
              <w:sz w:val="30"/>
              <w:szCs w:val="30"/>
            </w:rPr>
            <w:t>第一部分 部门概况</w:t>
          </w:r>
          <w:r>
            <w:rPr>
              <w:rStyle w:val="24"/>
              <w:rFonts w:hint="default" w:ascii="Times New Roman" w:hAnsi="Times New Roman" w:eastAsia="仿宋_GB2312" w:cs="Times New Roman"/>
              <w:bCs/>
              <w:color w:val="auto"/>
              <w:sz w:val="30"/>
              <w:szCs w:val="30"/>
            </w:rPr>
            <w:tab/>
          </w:r>
          <w:r>
            <w:rPr>
              <w:rStyle w:val="24"/>
              <w:rFonts w:hint="default" w:ascii="Times New Roman" w:hAnsi="Times New Roman" w:eastAsia="仿宋_GB2312" w:cs="Times New Roman"/>
              <w:bCs/>
              <w:color w:val="auto"/>
              <w:sz w:val="30"/>
              <w:szCs w:val="30"/>
            </w:rPr>
            <w:fldChar w:fldCharType="begin"/>
          </w:r>
          <w:r>
            <w:rPr>
              <w:rStyle w:val="24"/>
              <w:rFonts w:hint="default" w:ascii="Times New Roman" w:hAnsi="Times New Roman" w:eastAsia="仿宋_GB2312" w:cs="Times New Roman"/>
              <w:bCs/>
              <w:color w:val="auto"/>
              <w:sz w:val="30"/>
              <w:szCs w:val="30"/>
            </w:rPr>
            <w:instrText xml:space="preserve"> PAGEREF _Toc112248379 \h </w:instrText>
          </w:r>
          <w:r>
            <w:rPr>
              <w:rStyle w:val="24"/>
              <w:rFonts w:hint="default" w:ascii="Times New Roman" w:hAnsi="Times New Roman" w:eastAsia="仿宋_GB2312" w:cs="Times New Roman"/>
              <w:bCs/>
              <w:color w:val="auto"/>
              <w:sz w:val="30"/>
              <w:szCs w:val="30"/>
            </w:rPr>
            <w:fldChar w:fldCharType="separate"/>
          </w:r>
          <w:r>
            <w:rPr>
              <w:rStyle w:val="24"/>
              <w:rFonts w:hint="default" w:ascii="Times New Roman" w:hAnsi="Times New Roman" w:eastAsia="仿宋_GB2312" w:cs="Times New Roman"/>
              <w:bCs/>
              <w:color w:val="auto"/>
              <w:sz w:val="30"/>
              <w:szCs w:val="30"/>
            </w:rPr>
            <w:t>4</w:t>
          </w:r>
          <w:r>
            <w:rPr>
              <w:rStyle w:val="24"/>
              <w:rFonts w:hint="default" w:ascii="Times New Roman" w:hAnsi="Times New Roman" w:eastAsia="仿宋_GB2312" w:cs="Times New Roman"/>
              <w:bCs/>
              <w:color w:val="auto"/>
              <w:sz w:val="30"/>
              <w:szCs w:val="30"/>
            </w:rPr>
            <w:fldChar w:fldCharType="end"/>
          </w:r>
          <w:r>
            <w:rPr>
              <w:rStyle w:val="24"/>
              <w:rFonts w:hint="default" w:ascii="Times New Roman" w:hAnsi="Times New Roman" w:eastAsia="仿宋_GB2312" w:cs="Times New Roman"/>
              <w:bCs/>
              <w:color w:val="auto"/>
              <w:sz w:val="30"/>
              <w:szCs w:val="30"/>
            </w:rPr>
            <w:fldChar w:fldCharType="end"/>
          </w:r>
        </w:p>
        <w:p>
          <w:pPr>
            <w:pStyle w:val="18"/>
            <w:pageBreakBefore w:val="0"/>
            <w:kinsoku/>
            <w:wordWrap/>
            <w:overflowPunct/>
            <w:topLinePunct w:val="0"/>
            <w:bidi w:val="0"/>
            <w:spacing w:line="560" w:lineRule="exact"/>
            <w:rPr>
              <w:rStyle w:val="24"/>
              <w:rFonts w:hint="default" w:ascii="Times New Roman" w:hAnsi="Times New Roman" w:eastAsia="仿宋_GB2312" w:cs="Times New Roman"/>
              <w:bCs/>
              <w:color w:val="auto"/>
              <w:sz w:val="30"/>
              <w:szCs w:val="30"/>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"_Toc112248380" </w:instrText>
          </w:r>
          <w:r>
            <w:rPr>
              <w:rFonts w:hint="default" w:ascii="Times New Roman" w:hAnsi="Times New Roman" w:cs="Times New Roman"/>
              <w:color w:val="auto"/>
            </w:rPr>
            <w:fldChar w:fldCharType="separate"/>
          </w:r>
          <w:r>
            <w:rPr>
              <w:rStyle w:val="24"/>
              <w:rFonts w:hint="default" w:ascii="Times New Roman" w:hAnsi="Times New Roman" w:eastAsia="仿宋_GB2312" w:cs="Times New Roman"/>
              <w:bCs/>
              <w:color w:val="auto"/>
              <w:sz w:val="30"/>
              <w:szCs w:val="30"/>
            </w:rPr>
            <w:t>一、 基本职能及主要工作</w:t>
          </w:r>
          <w:r>
            <w:rPr>
              <w:rStyle w:val="24"/>
              <w:rFonts w:hint="default" w:ascii="Times New Roman" w:hAnsi="Times New Roman" w:eastAsia="仿宋_GB2312" w:cs="Times New Roman"/>
              <w:bCs/>
              <w:color w:val="auto"/>
              <w:sz w:val="30"/>
              <w:szCs w:val="30"/>
            </w:rPr>
            <w:tab/>
          </w:r>
          <w:r>
            <w:rPr>
              <w:rStyle w:val="24"/>
              <w:rFonts w:hint="default" w:ascii="Times New Roman" w:hAnsi="Times New Roman" w:eastAsia="仿宋_GB2312" w:cs="Times New Roman"/>
              <w:bCs/>
              <w:color w:val="auto"/>
              <w:sz w:val="30"/>
              <w:szCs w:val="30"/>
            </w:rPr>
            <w:fldChar w:fldCharType="begin"/>
          </w:r>
          <w:r>
            <w:rPr>
              <w:rStyle w:val="24"/>
              <w:rFonts w:hint="default" w:ascii="Times New Roman" w:hAnsi="Times New Roman" w:eastAsia="仿宋_GB2312" w:cs="Times New Roman"/>
              <w:bCs/>
              <w:color w:val="auto"/>
              <w:sz w:val="30"/>
              <w:szCs w:val="30"/>
            </w:rPr>
            <w:instrText xml:space="preserve"> PAGEREF _Toc112248380 \h </w:instrText>
          </w:r>
          <w:r>
            <w:rPr>
              <w:rStyle w:val="24"/>
              <w:rFonts w:hint="default" w:ascii="Times New Roman" w:hAnsi="Times New Roman" w:eastAsia="仿宋_GB2312" w:cs="Times New Roman"/>
              <w:bCs/>
              <w:color w:val="auto"/>
              <w:sz w:val="30"/>
              <w:szCs w:val="30"/>
            </w:rPr>
            <w:fldChar w:fldCharType="separate"/>
          </w:r>
          <w:r>
            <w:rPr>
              <w:rStyle w:val="24"/>
              <w:rFonts w:hint="default" w:ascii="Times New Roman" w:hAnsi="Times New Roman" w:eastAsia="仿宋_GB2312" w:cs="Times New Roman"/>
              <w:bCs/>
              <w:color w:val="auto"/>
              <w:sz w:val="30"/>
              <w:szCs w:val="30"/>
            </w:rPr>
            <w:t>4</w:t>
          </w:r>
          <w:r>
            <w:rPr>
              <w:rStyle w:val="24"/>
              <w:rFonts w:hint="default" w:ascii="Times New Roman" w:hAnsi="Times New Roman" w:eastAsia="仿宋_GB2312" w:cs="Times New Roman"/>
              <w:bCs/>
              <w:color w:val="auto"/>
              <w:sz w:val="30"/>
              <w:szCs w:val="30"/>
            </w:rPr>
            <w:fldChar w:fldCharType="end"/>
          </w:r>
          <w:r>
            <w:rPr>
              <w:rStyle w:val="24"/>
              <w:rFonts w:hint="default" w:ascii="Times New Roman" w:hAnsi="Times New Roman" w:eastAsia="仿宋_GB2312" w:cs="Times New Roman"/>
              <w:bCs/>
              <w:color w:val="auto"/>
              <w:sz w:val="30"/>
              <w:szCs w:val="30"/>
            </w:rPr>
            <w:fldChar w:fldCharType="end"/>
          </w:r>
        </w:p>
        <w:p>
          <w:pPr>
            <w:pStyle w:val="18"/>
            <w:pageBreakBefore w:val="0"/>
            <w:kinsoku/>
            <w:wordWrap/>
            <w:overflowPunct/>
            <w:topLinePunct w:val="0"/>
            <w:bidi w:val="0"/>
            <w:spacing w:line="560" w:lineRule="exact"/>
            <w:rPr>
              <w:rStyle w:val="24"/>
              <w:rFonts w:hint="default" w:ascii="Times New Roman" w:hAnsi="Times New Roman" w:eastAsia="仿宋_GB2312" w:cs="Times New Roman"/>
              <w:bCs/>
              <w:color w:val="auto"/>
              <w:sz w:val="30"/>
              <w:szCs w:val="30"/>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"_Toc112248383" </w:instrText>
          </w:r>
          <w:r>
            <w:rPr>
              <w:rFonts w:hint="default" w:ascii="Times New Roman" w:hAnsi="Times New Roman" w:cs="Times New Roman"/>
              <w:color w:val="auto"/>
            </w:rPr>
            <w:fldChar w:fldCharType="separate"/>
          </w:r>
          <w:r>
            <w:rPr>
              <w:rStyle w:val="24"/>
              <w:rFonts w:hint="default" w:ascii="Times New Roman" w:hAnsi="Times New Roman" w:eastAsia="仿宋_GB2312" w:cs="Times New Roman"/>
              <w:bCs/>
              <w:color w:val="auto"/>
              <w:sz w:val="30"/>
              <w:szCs w:val="30"/>
            </w:rPr>
            <w:t>二、机构设置</w:t>
          </w:r>
          <w:r>
            <w:rPr>
              <w:rStyle w:val="24"/>
              <w:rFonts w:hint="default" w:ascii="Times New Roman" w:hAnsi="Times New Roman" w:eastAsia="仿宋_GB2312" w:cs="Times New Roman"/>
              <w:bCs/>
              <w:color w:val="auto"/>
              <w:sz w:val="30"/>
              <w:szCs w:val="30"/>
            </w:rPr>
            <w:tab/>
          </w:r>
          <w:r>
            <w:rPr>
              <w:rStyle w:val="24"/>
              <w:rFonts w:hint="default" w:ascii="Times New Roman" w:hAnsi="Times New Roman" w:eastAsia="仿宋_GB2312" w:cs="Times New Roman"/>
              <w:bCs/>
              <w:color w:val="auto"/>
              <w:sz w:val="30"/>
              <w:szCs w:val="30"/>
            </w:rPr>
            <w:fldChar w:fldCharType="begin"/>
          </w:r>
          <w:r>
            <w:rPr>
              <w:rStyle w:val="24"/>
              <w:rFonts w:hint="default" w:ascii="Times New Roman" w:hAnsi="Times New Roman" w:eastAsia="仿宋_GB2312" w:cs="Times New Roman"/>
              <w:bCs/>
              <w:color w:val="auto"/>
              <w:sz w:val="30"/>
              <w:szCs w:val="30"/>
            </w:rPr>
            <w:instrText xml:space="preserve"> PAGEREF _Toc112248383 \h </w:instrText>
          </w:r>
          <w:r>
            <w:rPr>
              <w:rStyle w:val="24"/>
              <w:rFonts w:hint="default" w:ascii="Times New Roman" w:hAnsi="Times New Roman" w:eastAsia="仿宋_GB2312" w:cs="Times New Roman"/>
              <w:bCs/>
              <w:color w:val="auto"/>
              <w:sz w:val="30"/>
              <w:szCs w:val="30"/>
            </w:rPr>
            <w:fldChar w:fldCharType="separate"/>
          </w:r>
          <w:r>
            <w:rPr>
              <w:rStyle w:val="24"/>
              <w:rFonts w:hint="default" w:ascii="Times New Roman" w:hAnsi="Times New Roman" w:eastAsia="仿宋_GB2312" w:cs="Times New Roman"/>
              <w:bCs/>
              <w:color w:val="auto"/>
              <w:sz w:val="30"/>
              <w:szCs w:val="30"/>
            </w:rPr>
            <w:t>7</w:t>
          </w:r>
          <w:r>
            <w:rPr>
              <w:rStyle w:val="24"/>
              <w:rFonts w:hint="default" w:ascii="Times New Roman" w:hAnsi="Times New Roman" w:eastAsia="仿宋_GB2312" w:cs="Times New Roman"/>
              <w:bCs/>
              <w:color w:val="auto"/>
              <w:sz w:val="30"/>
              <w:szCs w:val="30"/>
            </w:rPr>
            <w:fldChar w:fldCharType="end"/>
          </w:r>
          <w:r>
            <w:rPr>
              <w:rStyle w:val="24"/>
              <w:rFonts w:hint="default" w:ascii="Times New Roman" w:hAnsi="Times New Roman" w:eastAsia="仿宋_GB2312" w:cs="Times New Roman"/>
              <w:bCs/>
              <w:color w:val="auto"/>
              <w:sz w:val="30"/>
              <w:szCs w:val="30"/>
            </w:rPr>
            <w:fldChar w:fldCharType="end"/>
          </w:r>
        </w:p>
        <w:p>
          <w:pPr>
            <w:pStyle w:val="15"/>
            <w:pageBreakBefore w:val="0"/>
            <w:kinsoku/>
            <w:wordWrap/>
            <w:overflowPunct/>
            <w:topLinePunct w:val="0"/>
            <w:bidi w:val="0"/>
            <w:spacing w:line="560" w:lineRule="exact"/>
            <w:rPr>
              <w:rFonts w:hint="default" w:ascii="Times New Roman" w:hAnsi="Times New Roman" w:eastAsia="仿宋_GB2312" w:cs="Times New Roman"/>
              <w:color w:val="auto"/>
              <w:sz w:val="30"/>
              <w:szCs w:val="30"/>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"_Toc112248396" </w:instrText>
          </w:r>
          <w:r>
            <w:rPr>
              <w:rFonts w:hint="default" w:ascii="Times New Roman" w:hAnsi="Times New Roman" w:cs="Times New Roman"/>
              <w:color w:val="auto"/>
            </w:rPr>
            <w:fldChar w:fldCharType="separate"/>
          </w:r>
          <w:r>
            <w:rPr>
              <w:rStyle w:val="24"/>
              <w:rFonts w:hint="default" w:ascii="Times New Roman" w:hAnsi="Times New Roman" w:eastAsia="仿宋_GB2312" w:cs="Times New Roman"/>
              <w:color w:val="auto"/>
              <w:sz w:val="30"/>
              <w:szCs w:val="30"/>
            </w:rPr>
            <w:t>第二部分 2021年度部门决算情况说明</w:t>
          </w:r>
          <w:r>
            <w:rPr>
              <w:rFonts w:hint="default" w:ascii="Times New Roman" w:hAnsi="Times New Roman" w:eastAsia="仿宋_GB2312" w:cs="Times New Roman"/>
              <w:color w:val="auto"/>
              <w:sz w:val="30"/>
              <w:szCs w:val="30"/>
            </w:rPr>
            <w:tab/>
          </w:r>
          <w:r>
            <w:rPr>
              <w:rFonts w:hint="default" w:ascii="Times New Roman" w:hAnsi="Times New Roman" w:eastAsia="仿宋_GB2312" w:cs="Times New Roman"/>
              <w:color w:val="auto"/>
              <w:sz w:val="30"/>
              <w:szCs w:val="30"/>
            </w:rPr>
            <w:fldChar w:fldCharType="begin"/>
          </w:r>
          <w:r>
            <w:rPr>
              <w:rFonts w:hint="default" w:ascii="Times New Roman" w:hAnsi="Times New Roman" w:eastAsia="仿宋_GB2312" w:cs="Times New Roman"/>
              <w:color w:val="auto"/>
              <w:sz w:val="30"/>
              <w:szCs w:val="30"/>
            </w:rPr>
            <w:instrText xml:space="preserve"> PAGEREF _Toc112248396 \h </w:instrText>
          </w:r>
          <w:r>
            <w:rPr>
              <w:rFonts w:hint="default" w:ascii="Times New Roman" w:hAnsi="Times New Roman" w:eastAsia="仿宋_GB2312" w:cs="Times New Roman"/>
              <w:color w:val="auto"/>
              <w:sz w:val="30"/>
              <w:szCs w:val="30"/>
            </w:rPr>
            <w:fldChar w:fldCharType="separate"/>
          </w:r>
          <w:r>
            <w:rPr>
              <w:rFonts w:hint="default" w:ascii="Times New Roman" w:hAnsi="Times New Roman" w:eastAsia="仿宋_GB2312" w:cs="Times New Roman"/>
              <w:color w:val="auto"/>
              <w:sz w:val="30"/>
              <w:szCs w:val="30"/>
            </w:rPr>
            <w:t>9</w:t>
          </w:r>
          <w:r>
            <w:rPr>
              <w:rFonts w:hint="default" w:ascii="Times New Roman" w:hAnsi="Times New Roman" w:eastAsia="仿宋_GB2312" w:cs="Times New Roman"/>
              <w:color w:val="auto"/>
              <w:sz w:val="30"/>
              <w:szCs w:val="30"/>
            </w:rPr>
            <w:fldChar w:fldCharType="end"/>
          </w:r>
          <w:r>
            <w:rPr>
              <w:rFonts w:hint="default" w:ascii="Times New Roman" w:hAnsi="Times New Roman" w:eastAsia="仿宋_GB2312" w:cs="Times New Roman"/>
              <w:color w:val="auto"/>
              <w:sz w:val="30"/>
              <w:szCs w:val="30"/>
            </w:rPr>
            <w:fldChar w:fldCharType="end"/>
          </w:r>
        </w:p>
        <w:p>
          <w:pPr>
            <w:pStyle w:val="18"/>
            <w:pageBreakBefore w:val="0"/>
            <w:kinsoku/>
            <w:wordWrap/>
            <w:overflowPunct/>
            <w:topLinePunct w:val="0"/>
            <w:bidi w:val="0"/>
            <w:spacing w:line="560" w:lineRule="exact"/>
            <w:rPr>
              <w:rFonts w:hint="default" w:ascii="Times New Roman" w:hAnsi="Times New Roman" w:eastAsia="仿宋_GB2312" w:cs="Times New Roman"/>
              <w:color w:val="auto"/>
              <w:sz w:val="30"/>
              <w:szCs w:val="30"/>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"_Toc112248397" </w:instrText>
          </w:r>
          <w:r>
            <w:rPr>
              <w:rFonts w:hint="default" w:ascii="Times New Roman" w:hAnsi="Times New Roman" w:cs="Times New Roman"/>
              <w:color w:val="auto"/>
            </w:rPr>
            <w:fldChar w:fldCharType="separate"/>
          </w:r>
          <w:r>
            <w:rPr>
              <w:rStyle w:val="24"/>
              <w:rFonts w:hint="default" w:ascii="Times New Roman" w:hAnsi="Times New Roman" w:eastAsia="仿宋_GB2312" w:cs="Times New Roman"/>
              <w:color w:val="auto"/>
              <w:sz w:val="30"/>
              <w:szCs w:val="30"/>
            </w:rPr>
            <w:t>一、收</w:t>
          </w:r>
          <w:r>
            <w:rPr>
              <w:rStyle w:val="24"/>
              <w:rFonts w:hint="default" w:ascii="Times New Roman" w:hAnsi="Times New Roman" w:eastAsia="仿宋_GB2312" w:cs="Times New Roman"/>
              <w:bCs/>
              <w:color w:val="auto"/>
              <w:sz w:val="30"/>
              <w:szCs w:val="30"/>
            </w:rPr>
            <w:t>入支出决算总体情况说明</w:t>
          </w:r>
          <w:r>
            <w:rPr>
              <w:rFonts w:hint="default" w:ascii="Times New Roman" w:hAnsi="Times New Roman" w:eastAsia="仿宋_GB2312" w:cs="Times New Roman"/>
              <w:color w:val="auto"/>
              <w:sz w:val="30"/>
              <w:szCs w:val="30"/>
            </w:rPr>
            <w:tab/>
          </w:r>
          <w:r>
            <w:rPr>
              <w:rFonts w:hint="default" w:ascii="Times New Roman" w:hAnsi="Times New Roman" w:eastAsia="仿宋_GB2312" w:cs="Times New Roman"/>
              <w:color w:val="auto"/>
              <w:sz w:val="30"/>
              <w:szCs w:val="30"/>
            </w:rPr>
            <w:fldChar w:fldCharType="begin"/>
          </w:r>
          <w:r>
            <w:rPr>
              <w:rFonts w:hint="default" w:ascii="Times New Roman" w:hAnsi="Times New Roman" w:eastAsia="仿宋_GB2312" w:cs="Times New Roman"/>
              <w:color w:val="auto"/>
              <w:sz w:val="30"/>
              <w:szCs w:val="30"/>
            </w:rPr>
            <w:instrText xml:space="preserve"> PAGEREF _Toc112248397 \h </w:instrText>
          </w:r>
          <w:r>
            <w:rPr>
              <w:rFonts w:hint="default" w:ascii="Times New Roman" w:hAnsi="Times New Roman" w:eastAsia="仿宋_GB2312" w:cs="Times New Roman"/>
              <w:color w:val="auto"/>
              <w:sz w:val="30"/>
              <w:szCs w:val="30"/>
            </w:rPr>
            <w:fldChar w:fldCharType="separate"/>
          </w:r>
          <w:r>
            <w:rPr>
              <w:rFonts w:hint="default" w:ascii="Times New Roman" w:hAnsi="Times New Roman" w:eastAsia="仿宋_GB2312" w:cs="Times New Roman"/>
              <w:color w:val="auto"/>
              <w:sz w:val="30"/>
              <w:szCs w:val="30"/>
            </w:rPr>
            <w:t>9</w:t>
          </w:r>
          <w:r>
            <w:rPr>
              <w:rFonts w:hint="default" w:ascii="Times New Roman" w:hAnsi="Times New Roman" w:eastAsia="仿宋_GB2312" w:cs="Times New Roman"/>
              <w:color w:val="auto"/>
              <w:sz w:val="30"/>
              <w:szCs w:val="30"/>
            </w:rPr>
            <w:fldChar w:fldCharType="end"/>
          </w:r>
          <w:r>
            <w:rPr>
              <w:rFonts w:hint="default" w:ascii="Times New Roman" w:hAnsi="Times New Roman" w:eastAsia="仿宋_GB2312" w:cs="Times New Roman"/>
              <w:color w:val="auto"/>
              <w:sz w:val="30"/>
              <w:szCs w:val="30"/>
            </w:rPr>
            <w:fldChar w:fldCharType="end"/>
          </w:r>
        </w:p>
        <w:p>
          <w:pPr>
            <w:pStyle w:val="18"/>
            <w:pageBreakBefore w:val="0"/>
            <w:kinsoku/>
            <w:wordWrap/>
            <w:overflowPunct/>
            <w:topLinePunct w:val="0"/>
            <w:bidi w:val="0"/>
            <w:spacing w:line="560" w:lineRule="exact"/>
            <w:rPr>
              <w:rFonts w:hint="default" w:ascii="Times New Roman" w:hAnsi="Times New Roman" w:eastAsia="仿宋_GB2312" w:cs="Times New Roman"/>
              <w:color w:val="auto"/>
              <w:sz w:val="30"/>
              <w:szCs w:val="30"/>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"_Toc112248398" </w:instrText>
          </w:r>
          <w:r>
            <w:rPr>
              <w:rFonts w:hint="default" w:ascii="Times New Roman" w:hAnsi="Times New Roman" w:cs="Times New Roman"/>
              <w:color w:val="auto"/>
            </w:rPr>
            <w:fldChar w:fldCharType="separate"/>
          </w:r>
          <w:r>
            <w:rPr>
              <w:rStyle w:val="24"/>
              <w:rFonts w:hint="default" w:ascii="Times New Roman" w:hAnsi="Times New Roman" w:eastAsia="仿宋_GB2312" w:cs="Times New Roman"/>
              <w:color w:val="auto"/>
              <w:sz w:val="30"/>
              <w:szCs w:val="30"/>
            </w:rPr>
            <w:t>二、收</w:t>
          </w:r>
          <w:r>
            <w:rPr>
              <w:rStyle w:val="24"/>
              <w:rFonts w:hint="default" w:ascii="Times New Roman" w:hAnsi="Times New Roman" w:eastAsia="仿宋_GB2312" w:cs="Times New Roman"/>
              <w:bCs/>
              <w:color w:val="auto"/>
              <w:sz w:val="30"/>
              <w:szCs w:val="30"/>
            </w:rPr>
            <w:t>入决算情况说明</w:t>
          </w:r>
          <w:r>
            <w:rPr>
              <w:rFonts w:hint="default" w:ascii="Times New Roman" w:hAnsi="Times New Roman" w:eastAsia="仿宋_GB2312" w:cs="Times New Roman"/>
              <w:color w:val="auto"/>
              <w:sz w:val="30"/>
              <w:szCs w:val="30"/>
            </w:rPr>
            <w:tab/>
          </w:r>
          <w:r>
            <w:rPr>
              <w:rFonts w:hint="default" w:ascii="Times New Roman" w:hAnsi="Times New Roman" w:eastAsia="仿宋_GB2312" w:cs="Times New Roman"/>
              <w:color w:val="auto"/>
              <w:sz w:val="30"/>
              <w:szCs w:val="30"/>
            </w:rPr>
            <w:fldChar w:fldCharType="begin"/>
          </w:r>
          <w:r>
            <w:rPr>
              <w:rFonts w:hint="default" w:ascii="Times New Roman" w:hAnsi="Times New Roman" w:eastAsia="仿宋_GB2312" w:cs="Times New Roman"/>
              <w:color w:val="auto"/>
              <w:sz w:val="30"/>
              <w:szCs w:val="30"/>
            </w:rPr>
            <w:instrText xml:space="preserve"> PAGEREF _Toc112248398 \h </w:instrText>
          </w:r>
          <w:r>
            <w:rPr>
              <w:rFonts w:hint="default" w:ascii="Times New Roman" w:hAnsi="Times New Roman" w:eastAsia="仿宋_GB2312" w:cs="Times New Roman"/>
              <w:color w:val="auto"/>
              <w:sz w:val="30"/>
              <w:szCs w:val="30"/>
            </w:rPr>
            <w:fldChar w:fldCharType="separate"/>
          </w:r>
          <w:r>
            <w:rPr>
              <w:rFonts w:hint="default" w:ascii="Times New Roman" w:hAnsi="Times New Roman" w:eastAsia="仿宋_GB2312" w:cs="Times New Roman"/>
              <w:color w:val="auto"/>
              <w:sz w:val="30"/>
              <w:szCs w:val="30"/>
            </w:rPr>
            <w:t>9</w:t>
          </w:r>
          <w:r>
            <w:rPr>
              <w:rFonts w:hint="default" w:ascii="Times New Roman" w:hAnsi="Times New Roman" w:eastAsia="仿宋_GB2312" w:cs="Times New Roman"/>
              <w:color w:val="auto"/>
              <w:sz w:val="30"/>
              <w:szCs w:val="30"/>
            </w:rPr>
            <w:fldChar w:fldCharType="end"/>
          </w:r>
          <w:r>
            <w:rPr>
              <w:rFonts w:hint="default" w:ascii="Times New Roman" w:hAnsi="Times New Roman" w:eastAsia="仿宋_GB2312" w:cs="Times New Roman"/>
              <w:color w:val="auto"/>
              <w:sz w:val="30"/>
              <w:szCs w:val="30"/>
            </w:rPr>
            <w:fldChar w:fldCharType="end"/>
          </w:r>
        </w:p>
        <w:p>
          <w:pPr>
            <w:pStyle w:val="18"/>
            <w:pageBreakBefore w:val="0"/>
            <w:kinsoku/>
            <w:wordWrap/>
            <w:overflowPunct/>
            <w:topLinePunct w:val="0"/>
            <w:bidi w:val="0"/>
            <w:spacing w:line="560" w:lineRule="exact"/>
            <w:rPr>
              <w:rFonts w:hint="default" w:ascii="Times New Roman" w:hAnsi="Times New Roman" w:eastAsia="仿宋_GB2312" w:cs="Times New Roman"/>
              <w:color w:val="auto"/>
              <w:sz w:val="30"/>
              <w:szCs w:val="30"/>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"_Toc112248400" </w:instrText>
          </w:r>
          <w:r>
            <w:rPr>
              <w:rFonts w:hint="default" w:ascii="Times New Roman" w:hAnsi="Times New Roman" w:cs="Times New Roman"/>
              <w:color w:val="auto"/>
            </w:rPr>
            <w:fldChar w:fldCharType="separate"/>
          </w:r>
          <w:r>
            <w:rPr>
              <w:rStyle w:val="24"/>
              <w:rFonts w:hint="default" w:ascii="Times New Roman" w:hAnsi="Times New Roman" w:eastAsia="仿宋_GB2312" w:cs="Times New Roman"/>
              <w:color w:val="auto"/>
              <w:sz w:val="30"/>
              <w:szCs w:val="30"/>
            </w:rPr>
            <w:t>三、支</w:t>
          </w:r>
          <w:r>
            <w:rPr>
              <w:rStyle w:val="24"/>
              <w:rFonts w:hint="default" w:ascii="Times New Roman" w:hAnsi="Times New Roman" w:eastAsia="仿宋_GB2312" w:cs="Times New Roman"/>
              <w:bCs/>
              <w:color w:val="auto"/>
              <w:sz w:val="30"/>
              <w:szCs w:val="30"/>
            </w:rPr>
            <w:t>出决算情况说明</w:t>
          </w:r>
          <w:r>
            <w:rPr>
              <w:rFonts w:hint="default" w:ascii="Times New Roman" w:hAnsi="Times New Roman" w:eastAsia="仿宋_GB2312" w:cs="Times New Roman"/>
              <w:color w:val="auto"/>
              <w:sz w:val="30"/>
              <w:szCs w:val="30"/>
            </w:rPr>
            <w:tab/>
          </w:r>
          <w:r>
            <w:rPr>
              <w:rFonts w:hint="default" w:ascii="Times New Roman" w:hAnsi="Times New Roman" w:eastAsia="仿宋_GB2312" w:cs="Times New Roman"/>
              <w:color w:val="auto"/>
              <w:sz w:val="30"/>
              <w:szCs w:val="30"/>
            </w:rPr>
            <w:fldChar w:fldCharType="begin"/>
          </w:r>
          <w:r>
            <w:rPr>
              <w:rFonts w:hint="default" w:ascii="Times New Roman" w:hAnsi="Times New Roman" w:eastAsia="仿宋_GB2312" w:cs="Times New Roman"/>
              <w:color w:val="auto"/>
              <w:sz w:val="30"/>
              <w:szCs w:val="30"/>
            </w:rPr>
            <w:instrText xml:space="preserve"> PAGEREF _Toc112248400 \h </w:instrText>
          </w:r>
          <w:r>
            <w:rPr>
              <w:rFonts w:hint="default" w:ascii="Times New Roman" w:hAnsi="Times New Roman" w:eastAsia="仿宋_GB2312" w:cs="Times New Roman"/>
              <w:color w:val="auto"/>
              <w:sz w:val="30"/>
              <w:szCs w:val="30"/>
            </w:rPr>
            <w:fldChar w:fldCharType="separate"/>
          </w:r>
          <w:r>
            <w:rPr>
              <w:rFonts w:hint="default" w:ascii="Times New Roman" w:hAnsi="Times New Roman" w:eastAsia="仿宋_GB2312" w:cs="Times New Roman"/>
              <w:color w:val="auto"/>
              <w:sz w:val="30"/>
              <w:szCs w:val="30"/>
            </w:rPr>
            <w:t>10</w:t>
          </w:r>
          <w:r>
            <w:rPr>
              <w:rFonts w:hint="default" w:ascii="Times New Roman" w:hAnsi="Times New Roman" w:eastAsia="仿宋_GB2312" w:cs="Times New Roman"/>
              <w:color w:val="auto"/>
              <w:sz w:val="30"/>
              <w:szCs w:val="30"/>
            </w:rPr>
            <w:fldChar w:fldCharType="end"/>
          </w:r>
          <w:r>
            <w:rPr>
              <w:rFonts w:hint="default" w:ascii="Times New Roman" w:hAnsi="Times New Roman" w:eastAsia="仿宋_GB2312" w:cs="Times New Roman"/>
              <w:color w:val="auto"/>
              <w:sz w:val="30"/>
              <w:szCs w:val="30"/>
            </w:rPr>
            <w:fldChar w:fldCharType="end"/>
          </w:r>
        </w:p>
        <w:p>
          <w:pPr>
            <w:pStyle w:val="18"/>
            <w:pageBreakBefore w:val="0"/>
            <w:kinsoku/>
            <w:wordWrap/>
            <w:overflowPunct/>
            <w:topLinePunct w:val="0"/>
            <w:bidi w:val="0"/>
            <w:spacing w:line="560" w:lineRule="exact"/>
            <w:rPr>
              <w:rFonts w:hint="default" w:ascii="Times New Roman" w:hAnsi="Times New Roman" w:eastAsia="仿宋_GB2312" w:cs="Times New Roman"/>
              <w:color w:val="auto"/>
              <w:sz w:val="30"/>
              <w:szCs w:val="30"/>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"_Toc112248402" </w:instrText>
          </w:r>
          <w:r>
            <w:rPr>
              <w:rFonts w:hint="default" w:ascii="Times New Roman" w:hAnsi="Times New Roman" w:cs="Times New Roman"/>
              <w:color w:val="auto"/>
            </w:rPr>
            <w:fldChar w:fldCharType="separate"/>
          </w:r>
          <w:r>
            <w:rPr>
              <w:rStyle w:val="24"/>
              <w:rFonts w:hint="default" w:ascii="Times New Roman" w:hAnsi="Times New Roman" w:eastAsia="仿宋_GB2312" w:cs="Times New Roman"/>
              <w:color w:val="auto"/>
              <w:sz w:val="30"/>
              <w:szCs w:val="30"/>
            </w:rPr>
            <w:t>四、财</w:t>
          </w:r>
          <w:r>
            <w:rPr>
              <w:rStyle w:val="24"/>
              <w:rFonts w:hint="default" w:ascii="Times New Roman" w:hAnsi="Times New Roman" w:eastAsia="仿宋_GB2312" w:cs="Times New Roman"/>
              <w:bCs/>
              <w:color w:val="auto"/>
              <w:sz w:val="30"/>
              <w:szCs w:val="30"/>
            </w:rPr>
            <w:t>政拨款收入支出决算总体情况说明</w:t>
          </w:r>
          <w:r>
            <w:rPr>
              <w:rFonts w:hint="default" w:ascii="Times New Roman" w:hAnsi="Times New Roman" w:eastAsia="仿宋_GB2312" w:cs="Times New Roman"/>
              <w:color w:val="auto"/>
              <w:sz w:val="30"/>
              <w:szCs w:val="30"/>
            </w:rPr>
            <w:tab/>
          </w:r>
          <w:r>
            <w:rPr>
              <w:rFonts w:hint="default" w:ascii="Times New Roman" w:hAnsi="Times New Roman" w:eastAsia="仿宋_GB2312" w:cs="Times New Roman"/>
              <w:color w:val="auto"/>
              <w:sz w:val="30"/>
              <w:szCs w:val="30"/>
            </w:rPr>
            <w:fldChar w:fldCharType="begin"/>
          </w:r>
          <w:r>
            <w:rPr>
              <w:rFonts w:hint="default" w:ascii="Times New Roman" w:hAnsi="Times New Roman" w:eastAsia="仿宋_GB2312" w:cs="Times New Roman"/>
              <w:color w:val="auto"/>
              <w:sz w:val="30"/>
              <w:szCs w:val="30"/>
            </w:rPr>
            <w:instrText xml:space="preserve"> PAGEREF _Toc112248402 \h </w:instrText>
          </w:r>
          <w:r>
            <w:rPr>
              <w:rFonts w:hint="default" w:ascii="Times New Roman" w:hAnsi="Times New Roman" w:eastAsia="仿宋_GB2312" w:cs="Times New Roman"/>
              <w:color w:val="auto"/>
              <w:sz w:val="30"/>
              <w:szCs w:val="30"/>
            </w:rPr>
            <w:fldChar w:fldCharType="separate"/>
          </w:r>
          <w:r>
            <w:rPr>
              <w:rFonts w:hint="default" w:ascii="Times New Roman" w:hAnsi="Times New Roman" w:eastAsia="仿宋_GB2312" w:cs="Times New Roman"/>
              <w:color w:val="auto"/>
              <w:sz w:val="30"/>
              <w:szCs w:val="30"/>
            </w:rPr>
            <w:t>11</w:t>
          </w:r>
          <w:r>
            <w:rPr>
              <w:rFonts w:hint="default" w:ascii="Times New Roman" w:hAnsi="Times New Roman" w:eastAsia="仿宋_GB2312" w:cs="Times New Roman"/>
              <w:color w:val="auto"/>
              <w:sz w:val="30"/>
              <w:szCs w:val="30"/>
            </w:rPr>
            <w:fldChar w:fldCharType="end"/>
          </w:r>
          <w:r>
            <w:rPr>
              <w:rFonts w:hint="default" w:ascii="Times New Roman" w:hAnsi="Times New Roman" w:eastAsia="仿宋_GB2312" w:cs="Times New Roman"/>
              <w:color w:val="auto"/>
              <w:sz w:val="30"/>
              <w:szCs w:val="30"/>
            </w:rPr>
            <w:fldChar w:fldCharType="end"/>
          </w:r>
        </w:p>
        <w:p>
          <w:pPr>
            <w:pStyle w:val="18"/>
            <w:pageBreakBefore w:val="0"/>
            <w:kinsoku/>
            <w:wordWrap/>
            <w:overflowPunct/>
            <w:topLinePunct w:val="0"/>
            <w:bidi w:val="0"/>
            <w:spacing w:line="560" w:lineRule="exact"/>
            <w:rPr>
              <w:rFonts w:hint="default" w:ascii="Times New Roman" w:hAnsi="Times New Roman" w:eastAsia="仿宋_GB2312" w:cs="Times New Roman"/>
              <w:color w:val="auto"/>
              <w:sz w:val="30"/>
              <w:szCs w:val="30"/>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"_Toc112248403" </w:instrText>
          </w:r>
          <w:r>
            <w:rPr>
              <w:rFonts w:hint="default" w:ascii="Times New Roman" w:hAnsi="Times New Roman" w:cs="Times New Roman"/>
              <w:color w:val="auto"/>
            </w:rPr>
            <w:fldChar w:fldCharType="separate"/>
          </w:r>
          <w:r>
            <w:rPr>
              <w:rStyle w:val="24"/>
              <w:rFonts w:hint="default" w:ascii="Times New Roman" w:hAnsi="Times New Roman" w:eastAsia="仿宋_GB2312" w:cs="Times New Roman"/>
              <w:color w:val="auto"/>
              <w:sz w:val="30"/>
              <w:szCs w:val="30"/>
            </w:rPr>
            <w:t>五、</w:t>
          </w:r>
          <w:r>
            <w:rPr>
              <w:rStyle w:val="24"/>
              <w:rFonts w:hint="default" w:ascii="Times New Roman" w:hAnsi="Times New Roman" w:eastAsia="仿宋_GB2312" w:cs="Times New Roman"/>
              <w:b w:val="0"/>
              <w:bCs/>
              <w:color w:val="auto"/>
              <w:sz w:val="30"/>
              <w:szCs w:val="30"/>
            </w:rPr>
            <w:t>一</w:t>
          </w:r>
          <w:r>
            <w:rPr>
              <w:rStyle w:val="24"/>
              <w:rFonts w:hint="default" w:ascii="Times New Roman" w:hAnsi="Times New Roman" w:eastAsia="仿宋_GB2312" w:cs="Times New Roman"/>
              <w:bCs/>
              <w:color w:val="auto"/>
              <w:sz w:val="30"/>
              <w:szCs w:val="30"/>
            </w:rPr>
            <w:t>般公共预算财政拨款支出决算情况说明</w:t>
          </w:r>
          <w:r>
            <w:rPr>
              <w:rFonts w:hint="default" w:ascii="Times New Roman" w:hAnsi="Times New Roman" w:eastAsia="仿宋_GB2312" w:cs="Times New Roman"/>
              <w:color w:val="auto"/>
              <w:sz w:val="30"/>
              <w:szCs w:val="30"/>
            </w:rPr>
            <w:tab/>
          </w:r>
          <w:r>
            <w:rPr>
              <w:rFonts w:hint="default" w:ascii="Times New Roman" w:hAnsi="Times New Roman" w:eastAsia="仿宋_GB2312" w:cs="Times New Roman"/>
              <w:color w:val="auto"/>
              <w:sz w:val="30"/>
              <w:szCs w:val="30"/>
            </w:rPr>
            <w:fldChar w:fldCharType="begin"/>
          </w:r>
          <w:r>
            <w:rPr>
              <w:rFonts w:hint="default" w:ascii="Times New Roman" w:hAnsi="Times New Roman" w:eastAsia="仿宋_GB2312" w:cs="Times New Roman"/>
              <w:color w:val="auto"/>
              <w:sz w:val="30"/>
              <w:szCs w:val="30"/>
            </w:rPr>
            <w:instrText xml:space="preserve"> PAGEREF _Toc112248403 \h </w:instrText>
          </w:r>
          <w:r>
            <w:rPr>
              <w:rFonts w:hint="default" w:ascii="Times New Roman" w:hAnsi="Times New Roman" w:eastAsia="仿宋_GB2312" w:cs="Times New Roman"/>
              <w:color w:val="auto"/>
              <w:sz w:val="30"/>
              <w:szCs w:val="30"/>
            </w:rPr>
            <w:fldChar w:fldCharType="separate"/>
          </w:r>
          <w:r>
            <w:rPr>
              <w:rFonts w:hint="default" w:ascii="Times New Roman" w:hAnsi="Times New Roman" w:eastAsia="仿宋_GB2312" w:cs="Times New Roman"/>
              <w:color w:val="auto"/>
              <w:sz w:val="30"/>
              <w:szCs w:val="30"/>
            </w:rPr>
            <w:t>11</w:t>
          </w:r>
          <w:r>
            <w:rPr>
              <w:rFonts w:hint="default" w:ascii="Times New Roman" w:hAnsi="Times New Roman" w:eastAsia="仿宋_GB2312" w:cs="Times New Roman"/>
              <w:color w:val="auto"/>
              <w:sz w:val="30"/>
              <w:szCs w:val="30"/>
            </w:rPr>
            <w:fldChar w:fldCharType="end"/>
          </w:r>
          <w:r>
            <w:rPr>
              <w:rFonts w:hint="default" w:ascii="Times New Roman" w:hAnsi="Times New Roman" w:eastAsia="仿宋_GB2312" w:cs="Times New Roman"/>
              <w:color w:val="auto"/>
              <w:sz w:val="30"/>
              <w:szCs w:val="30"/>
            </w:rPr>
            <w:fldChar w:fldCharType="end"/>
          </w:r>
        </w:p>
        <w:p>
          <w:pPr>
            <w:pStyle w:val="18"/>
            <w:pageBreakBefore w:val="0"/>
            <w:kinsoku/>
            <w:wordWrap/>
            <w:overflowPunct/>
            <w:topLinePunct w:val="0"/>
            <w:bidi w:val="0"/>
            <w:spacing w:line="560" w:lineRule="exact"/>
            <w:rPr>
              <w:rFonts w:hint="default" w:ascii="Times New Roman" w:hAnsi="Times New Roman" w:eastAsia="仿宋_GB2312" w:cs="Times New Roman"/>
              <w:color w:val="auto"/>
              <w:sz w:val="30"/>
              <w:szCs w:val="30"/>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"_Toc112248408" </w:instrText>
          </w:r>
          <w:r>
            <w:rPr>
              <w:rFonts w:hint="default" w:ascii="Times New Roman" w:hAnsi="Times New Roman" w:cs="Times New Roman"/>
              <w:color w:val="auto"/>
            </w:rPr>
            <w:fldChar w:fldCharType="separate"/>
          </w:r>
          <w:r>
            <w:rPr>
              <w:rStyle w:val="24"/>
              <w:rFonts w:hint="default" w:ascii="Times New Roman" w:hAnsi="Times New Roman" w:eastAsia="仿宋_GB2312" w:cs="Times New Roman"/>
              <w:color w:val="auto"/>
              <w:sz w:val="30"/>
              <w:szCs w:val="30"/>
            </w:rPr>
            <w:t>六</w:t>
          </w:r>
          <w:r>
            <w:rPr>
              <w:rStyle w:val="24"/>
              <w:rFonts w:hint="default" w:ascii="Times New Roman" w:hAnsi="Times New Roman" w:eastAsia="仿宋_GB2312" w:cs="Times New Roman"/>
              <w:b/>
              <w:color w:val="auto"/>
              <w:sz w:val="30"/>
              <w:szCs w:val="30"/>
            </w:rPr>
            <w:t>、</w:t>
          </w:r>
          <w:r>
            <w:rPr>
              <w:rStyle w:val="24"/>
              <w:rFonts w:hint="default" w:ascii="Times New Roman" w:hAnsi="Times New Roman" w:eastAsia="仿宋_GB2312" w:cs="Times New Roman"/>
              <w:b w:val="0"/>
              <w:bCs/>
              <w:color w:val="auto"/>
              <w:sz w:val="30"/>
              <w:szCs w:val="30"/>
            </w:rPr>
            <w:t>一</w:t>
          </w:r>
          <w:r>
            <w:rPr>
              <w:rStyle w:val="24"/>
              <w:rFonts w:hint="default" w:ascii="Times New Roman" w:hAnsi="Times New Roman" w:eastAsia="仿宋_GB2312" w:cs="Times New Roman"/>
              <w:bCs/>
              <w:color w:val="auto"/>
              <w:sz w:val="30"/>
              <w:szCs w:val="30"/>
            </w:rPr>
            <w:t>般公共预算财政拨款基本支出决算情况说明</w:t>
          </w:r>
          <w:r>
            <w:rPr>
              <w:rFonts w:hint="default" w:ascii="Times New Roman" w:hAnsi="Times New Roman" w:eastAsia="仿宋_GB2312" w:cs="Times New Roman"/>
              <w:color w:val="auto"/>
              <w:sz w:val="30"/>
              <w:szCs w:val="30"/>
            </w:rPr>
            <w:tab/>
          </w:r>
          <w:r>
            <w:rPr>
              <w:rFonts w:hint="default" w:ascii="Times New Roman" w:hAnsi="Times New Roman" w:eastAsia="仿宋_GB2312" w:cs="Times New Roman"/>
              <w:color w:val="auto"/>
              <w:sz w:val="30"/>
              <w:szCs w:val="30"/>
            </w:rPr>
            <w:fldChar w:fldCharType="begin"/>
          </w:r>
          <w:r>
            <w:rPr>
              <w:rFonts w:hint="default" w:ascii="Times New Roman" w:hAnsi="Times New Roman" w:eastAsia="仿宋_GB2312" w:cs="Times New Roman"/>
              <w:color w:val="auto"/>
              <w:sz w:val="30"/>
              <w:szCs w:val="30"/>
            </w:rPr>
            <w:instrText xml:space="preserve"> PAGEREF _Toc112248408 \h </w:instrText>
          </w:r>
          <w:r>
            <w:rPr>
              <w:rFonts w:hint="default" w:ascii="Times New Roman" w:hAnsi="Times New Roman" w:eastAsia="仿宋_GB2312" w:cs="Times New Roman"/>
              <w:color w:val="auto"/>
              <w:sz w:val="30"/>
              <w:szCs w:val="30"/>
            </w:rPr>
            <w:fldChar w:fldCharType="separate"/>
          </w:r>
          <w:r>
            <w:rPr>
              <w:rFonts w:hint="default" w:ascii="Times New Roman" w:hAnsi="Times New Roman" w:eastAsia="仿宋_GB2312" w:cs="Times New Roman"/>
              <w:color w:val="auto"/>
              <w:sz w:val="30"/>
              <w:szCs w:val="30"/>
            </w:rPr>
            <w:t>16</w:t>
          </w:r>
          <w:r>
            <w:rPr>
              <w:rFonts w:hint="default" w:ascii="Times New Roman" w:hAnsi="Times New Roman" w:eastAsia="仿宋_GB2312" w:cs="Times New Roman"/>
              <w:color w:val="auto"/>
              <w:sz w:val="30"/>
              <w:szCs w:val="30"/>
            </w:rPr>
            <w:fldChar w:fldCharType="end"/>
          </w:r>
          <w:r>
            <w:rPr>
              <w:rFonts w:hint="default" w:ascii="Times New Roman" w:hAnsi="Times New Roman" w:eastAsia="仿宋_GB2312" w:cs="Times New Roman"/>
              <w:color w:val="auto"/>
              <w:sz w:val="30"/>
              <w:szCs w:val="30"/>
            </w:rPr>
            <w:fldChar w:fldCharType="end"/>
          </w:r>
        </w:p>
        <w:p>
          <w:pPr>
            <w:pStyle w:val="18"/>
            <w:pageBreakBefore w:val="0"/>
            <w:kinsoku/>
            <w:wordWrap/>
            <w:overflowPunct/>
            <w:topLinePunct w:val="0"/>
            <w:bidi w:val="0"/>
            <w:spacing w:line="560" w:lineRule="exact"/>
            <w:rPr>
              <w:rFonts w:hint="default" w:ascii="Times New Roman" w:hAnsi="Times New Roman" w:eastAsia="仿宋_GB2312" w:cs="Times New Roman"/>
              <w:color w:val="auto"/>
              <w:sz w:val="30"/>
              <w:szCs w:val="30"/>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"_Toc112248409" </w:instrText>
          </w:r>
          <w:r>
            <w:rPr>
              <w:rFonts w:hint="default" w:ascii="Times New Roman" w:hAnsi="Times New Roman" w:cs="Times New Roman"/>
              <w:color w:val="auto"/>
            </w:rPr>
            <w:fldChar w:fldCharType="separate"/>
          </w:r>
          <w:r>
            <w:rPr>
              <w:rStyle w:val="24"/>
              <w:rFonts w:hint="default" w:ascii="Times New Roman" w:hAnsi="Times New Roman" w:eastAsia="仿宋_GB2312" w:cs="Times New Roman"/>
              <w:color w:val="auto"/>
              <w:sz w:val="30"/>
              <w:szCs w:val="30"/>
            </w:rPr>
            <w:t>七、</w:t>
          </w:r>
          <w:r>
            <w:rPr>
              <w:rStyle w:val="24"/>
              <w:rFonts w:hint="default" w:ascii="Times New Roman" w:hAnsi="Times New Roman" w:eastAsia="仿宋_GB2312" w:cs="Times New Roman"/>
              <w:b/>
              <w:bCs/>
              <w:color w:val="auto"/>
              <w:sz w:val="30"/>
              <w:szCs w:val="30"/>
            </w:rPr>
            <w:t>“</w:t>
          </w:r>
          <w:r>
            <w:rPr>
              <w:rStyle w:val="24"/>
              <w:rFonts w:hint="default" w:ascii="Times New Roman" w:hAnsi="Times New Roman" w:eastAsia="仿宋_GB2312" w:cs="Times New Roman"/>
              <w:bCs/>
              <w:color w:val="auto"/>
              <w:sz w:val="30"/>
              <w:szCs w:val="30"/>
            </w:rPr>
            <w:t>三公”经费财政拨款支出决算情况说明</w:t>
          </w:r>
          <w:r>
            <w:rPr>
              <w:rFonts w:hint="default" w:ascii="Times New Roman" w:hAnsi="Times New Roman" w:eastAsia="仿宋_GB2312" w:cs="Times New Roman"/>
              <w:color w:val="auto"/>
              <w:sz w:val="30"/>
              <w:szCs w:val="30"/>
            </w:rPr>
            <w:tab/>
          </w:r>
          <w:r>
            <w:rPr>
              <w:rFonts w:hint="default" w:ascii="Times New Roman" w:hAnsi="Times New Roman" w:eastAsia="仿宋_GB2312" w:cs="Times New Roman"/>
              <w:color w:val="auto"/>
              <w:sz w:val="30"/>
              <w:szCs w:val="30"/>
            </w:rPr>
            <w:fldChar w:fldCharType="begin"/>
          </w:r>
          <w:r>
            <w:rPr>
              <w:rFonts w:hint="default" w:ascii="Times New Roman" w:hAnsi="Times New Roman" w:eastAsia="仿宋_GB2312" w:cs="Times New Roman"/>
              <w:color w:val="auto"/>
              <w:sz w:val="30"/>
              <w:szCs w:val="30"/>
            </w:rPr>
            <w:instrText xml:space="preserve"> PAGEREF _Toc112248409 \h </w:instrText>
          </w:r>
          <w:r>
            <w:rPr>
              <w:rFonts w:hint="default" w:ascii="Times New Roman" w:hAnsi="Times New Roman" w:eastAsia="仿宋_GB2312" w:cs="Times New Roman"/>
              <w:color w:val="auto"/>
              <w:sz w:val="30"/>
              <w:szCs w:val="30"/>
            </w:rPr>
            <w:fldChar w:fldCharType="separate"/>
          </w:r>
          <w:r>
            <w:rPr>
              <w:rFonts w:hint="default" w:ascii="Times New Roman" w:hAnsi="Times New Roman" w:eastAsia="仿宋_GB2312" w:cs="Times New Roman"/>
              <w:color w:val="auto"/>
              <w:sz w:val="30"/>
              <w:szCs w:val="30"/>
            </w:rPr>
            <w:t>17</w:t>
          </w:r>
          <w:r>
            <w:rPr>
              <w:rFonts w:hint="default" w:ascii="Times New Roman" w:hAnsi="Times New Roman" w:eastAsia="仿宋_GB2312" w:cs="Times New Roman"/>
              <w:color w:val="auto"/>
              <w:sz w:val="30"/>
              <w:szCs w:val="30"/>
            </w:rPr>
            <w:fldChar w:fldCharType="end"/>
          </w:r>
          <w:r>
            <w:rPr>
              <w:rFonts w:hint="default" w:ascii="Times New Roman" w:hAnsi="Times New Roman" w:eastAsia="仿宋_GB2312" w:cs="Times New Roman"/>
              <w:color w:val="auto"/>
              <w:sz w:val="30"/>
              <w:szCs w:val="30"/>
            </w:rPr>
            <w:fldChar w:fldCharType="end"/>
          </w:r>
        </w:p>
        <w:p>
          <w:pPr>
            <w:pStyle w:val="18"/>
            <w:pageBreakBefore w:val="0"/>
            <w:kinsoku/>
            <w:wordWrap/>
            <w:overflowPunct/>
            <w:topLinePunct w:val="0"/>
            <w:bidi w:val="0"/>
            <w:spacing w:line="560" w:lineRule="exact"/>
            <w:rPr>
              <w:rFonts w:hint="default" w:ascii="Times New Roman" w:hAnsi="Times New Roman" w:eastAsia="仿宋_GB2312" w:cs="Times New Roman"/>
              <w:color w:val="auto"/>
              <w:sz w:val="30"/>
              <w:szCs w:val="30"/>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"_Toc112248412" </w:instrText>
          </w:r>
          <w:r>
            <w:rPr>
              <w:rFonts w:hint="default" w:ascii="Times New Roman" w:hAnsi="Times New Roman" w:cs="Times New Roman"/>
              <w:color w:val="auto"/>
            </w:rPr>
            <w:fldChar w:fldCharType="separate"/>
          </w:r>
          <w:r>
            <w:rPr>
              <w:rStyle w:val="24"/>
              <w:rFonts w:hint="default" w:ascii="Times New Roman" w:hAnsi="Times New Roman" w:eastAsia="仿宋_GB2312" w:cs="Times New Roman"/>
              <w:color w:val="auto"/>
              <w:sz w:val="30"/>
              <w:szCs w:val="30"/>
            </w:rPr>
            <w:t>八、</w:t>
          </w:r>
          <w:r>
            <w:rPr>
              <w:rStyle w:val="24"/>
              <w:rFonts w:hint="default" w:ascii="Times New Roman" w:hAnsi="Times New Roman" w:eastAsia="仿宋_GB2312" w:cs="Times New Roman"/>
              <w:bCs/>
              <w:color w:val="auto"/>
              <w:sz w:val="30"/>
              <w:szCs w:val="30"/>
            </w:rPr>
            <w:t>政府性基金预算支出决算情况说明</w:t>
          </w:r>
          <w:r>
            <w:rPr>
              <w:rFonts w:hint="default" w:ascii="Times New Roman" w:hAnsi="Times New Roman" w:eastAsia="仿宋_GB2312" w:cs="Times New Roman"/>
              <w:color w:val="auto"/>
              <w:sz w:val="30"/>
              <w:szCs w:val="30"/>
            </w:rPr>
            <w:tab/>
          </w:r>
          <w:r>
            <w:rPr>
              <w:rFonts w:hint="default" w:ascii="Times New Roman" w:hAnsi="Times New Roman" w:eastAsia="仿宋_GB2312" w:cs="Times New Roman"/>
              <w:color w:val="auto"/>
              <w:sz w:val="30"/>
              <w:szCs w:val="30"/>
            </w:rPr>
            <w:fldChar w:fldCharType="begin"/>
          </w:r>
          <w:r>
            <w:rPr>
              <w:rFonts w:hint="default" w:ascii="Times New Roman" w:hAnsi="Times New Roman" w:eastAsia="仿宋_GB2312" w:cs="Times New Roman"/>
              <w:color w:val="auto"/>
              <w:sz w:val="30"/>
              <w:szCs w:val="30"/>
            </w:rPr>
            <w:instrText xml:space="preserve"> PAGEREF _Toc112248412 \h </w:instrText>
          </w:r>
          <w:r>
            <w:rPr>
              <w:rFonts w:hint="default" w:ascii="Times New Roman" w:hAnsi="Times New Roman" w:eastAsia="仿宋_GB2312" w:cs="Times New Roman"/>
              <w:color w:val="auto"/>
              <w:sz w:val="30"/>
              <w:szCs w:val="30"/>
            </w:rPr>
            <w:fldChar w:fldCharType="separate"/>
          </w:r>
          <w:r>
            <w:rPr>
              <w:rFonts w:hint="default" w:ascii="Times New Roman" w:hAnsi="Times New Roman" w:eastAsia="仿宋_GB2312" w:cs="Times New Roman"/>
              <w:color w:val="auto"/>
              <w:sz w:val="30"/>
              <w:szCs w:val="30"/>
            </w:rPr>
            <w:t>19</w:t>
          </w:r>
          <w:r>
            <w:rPr>
              <w:rFonts w:hint="default" w:ascii="Times New Roman" w:hAnsi="Times New Roman" w:eastAsia="仿宋_GB2312" w:cs="Times New Roman"/>
              <w:color w:val="auto"/>
              <w:sz w:val="30"/>
              <w:szCs w:val="30"/>
            </w:rPr>
            <w:fldChar w:fldCharType="end"/>
          </w:r>
          <w:r>
            <w:rPr>
              <w:rFonts w:hint="default" w:ascii="Times New Roman" w:hAnsi="Times New Roman" w:eastAsia="仿宋_GB2312" w:cs="Times New Roman"/>
              <w:color w:val="auto"/>
              <w:sz w:val="30"/>
              <w:szCs w:val="30"/>
            </w:rPr>
            <w:fldChar w:fldCharType="end"/>
          </w:r>
        </w:p>
        <w:p>
          <w:pPr>
            <w:pStyle w:val="18"/>
            <w:pageBreakBefore w:val="0"/>
            <w:kinsoku/>
            <w:wordWrap/>
            <w:overflowPunct/>
            <w:topLinePunct w:val="0"/>
            <w:bidi w:val="0"/>
            <w:spacing w:line="560" w:lineRule="exact"/>
            <w:rPr>
              <w:rFonts w:hint="default" w:ascii="Times New Roman" w:hAnsi="Times New Roman" w:eastAsia="仿宋_GB2312" w:cs="Times New Roman"/>
              <w:color w:val="auto"/>
              <w:sz w:val="30"/>
              <w:szCs w:val="30"/>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"_Toc112248413" </w:instrText>
          </w:r>
          <w:r>
            <w:rPr>
              <w:rFonts w:hint="default" w:ascii="Times New Roman" w:hAnsi="Times New Roman" w:cs="Times New Roman"/>
              <w:color w:val="auto"/>
            </w:rPr>
            <w:fldChar w:fldCharType="separate"/>
          </w:r>
          <w:r>
            <w:rPr>
              <w:rStyle w:val="24"/>
              <w:rFonts w:hint="default" w:ascii="Times New Roman" w:hAnsi="Times New Roman" w:eastAsia="仿宋_GB2312" w:cs="Times New Roman"/>
              <w:bCs/>
              <w:color w:val="auto"/>
              <w:sz w:val="30"/>
              <w:szCs w:val="30"/>
            </w:rPr>
            <w:t>九、 国有资本经营预算支出决算情况说明</w:t>
          </w:r>
          <w:r>
            <w:rPr>
              <w:rFonts w:hint="default" w:ascii="Times New Roman" w:hAnsi="Times New Roman" w:eastAsia="仿宋_GB2312" w:cs="Times New Roman"/>
              <w:color w:val="auto"/>
              <w:sz w:val="30"/>
              <w:szCs w:val="30"/>
            </w:rPr>
            <w:tab/>
          </w:r>
          <w:r>
            <w:rPr>
              <w:rFonts w:hint="default" w:ascii="Times New Roman" w:hAnsi="Times New Roman" w:eastAsia="仿宋_GB2312" w:cs="Times New Roman"/>
              <w:color w:val="auto"/>
              <w:sz w:val="30"/>
              <w:szCs w:val="30"/>
            </w:rPr>
            <w:fldChar w:fldCharType="begin"/>
          </w:r>
          <w:r>
            <w:rPr>
              <w:rFonts w:hint="default" w:ascii="Times New Roman" w:hAnsi="Times New Roman" w:eastAsia="仿宋_GB2312" w:cs="Times New Roman"/>
              <w:color w:val="auto"/>
              <w:sz w:val="30"/>
              <w:szCs w:val="30"/>
            </w:rPr>
            <w:instrText xml:space="preserve"> PAGEREF _Toc112248413 \h </w:instrText>
          </w:r>
          <w:r>
            <w:rPr>
              <w:rFonts w:hint="default" w:ascii="Times New Roman" w:hAnsi="Times New Roman" w:eastAsia="仿宋_GB2312" w:cs="Times New Roman"/>
              <w:color w:val="auto"/>
              <w:sz w:val="30"/>
              <w:szCs w:val="30"/>
            </w:rPr>
            <w:fldChar w:fldCharType="separate"/>
          </w:r>
          <w:r>
            <w:rPr>
              <w:rFonts w:hint="default" w:ascii="Times New Roman" w:hAnsi="Times New Roman" w:eastAsia="仿宋_GB2312" w:cs="Times New Roman"/>
              <w:color w:val="auto"/>
              <w:sz w:val="30"/>
              <w:szCs w:val="30"/>
            </w:rPr>
            <w:t>19</w:t>
          </w:r>
          <w:r>
            <w:rPr>
              <w:rFonts w:hint="default" w:ascii="Times New Roman" w:hAnsi="Times New Roman" w:eastAsia="仿宋_GB2312" w:cs="Times New Roman"/>
              <w:color w:val="auto"/>
              <w:sz w:val="30"/>
              <w:szCs w:val="30"/>
            </w:rPr>
            <w:fldChar w:fldCharType="end"/>
          </w:r>
          <w:r>
            <w:rPr>
              <w:rFonts w:hint="default" w:ascii="Times New Roman" w:hAnsi="Times New Roman" w:eastAsia="仿宋_GB2312" w:cs="Times New Roman"/>
              <w:color w:val="auto"/>
              <w:sz w:val="30"/>
              <w:szCs w:val="30"/>
            </w:rPr>
            <w:fldChar w:fldCharType="end"/>
          </w:r>
        </w:p>
        <w:p>
          <w:pPr>
            <w:pStyle w:val="18"/>
            <w:pageBreakBefore w:val="0"/>
            <w:kinsoku/>
            <w:wordWrap/>
            <w:overflowPunct/>
            <w:topLinePunct w:val="0"/>
            <w:bidi w:val="0"/>
            <w:spacing w:line="560" w:lineRule="exact"/>
            <w:rPr>
              <w:rFonts w:hint="default" w:ascii="Times New Roman" w:hAnsi="Times New Roman" w:eastAsia="仿宋_GB2312" w:cs="Times New Roman"/>
              <w:color w:val="auto"/>
              <w:sz w:val="30"/>
              <w:szCs w:val="30"/>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"_Toc112248414" </w:instrText>
          </w:r>
          <w:r>
            <w:rPr>
              <w:rFonts w:hint="default" w:ascii="Times New Roman" w:hAnsi="Times New Roman" w:cs="Times New Roman"/>
              <w:color w:val="auto"/>
            </w:rPr>
            <w:fldChar w:fldCharType="separate"/>
          </w:r>
          <w:r>
            <w:rPr>
              <w:rStyle w:val="24"/>
              <w:rFonts w:hint="default" w:ascii="Times New Roman" w:hAnsi="Times New Roman" w:eastAsia="仿宋_GB2312" w:cs="Times New Roman"/>
              <w:bCs/>
              <w:color w:val="auto"/>
              <w:sz w:val="30"/>
              <w:szCs w:val="30"/>
            </w:rPr>
            <w:t>十、 其他重要事项的情况说明</w:t>
          </w:r>
          <w:r>
            <w:rPr>
              <w:rFonts w:hint="default" w:ascii="Times New Roman" w:hAnsi="Times New Roman" w:eastAsia="仿宋_GB2312" w:cs="Times New Roman"/>
              <w:color w:val="auto"/>
              <w:sz w:val="30"/>
              <w:szCs w:val="30"/>
            </w:rPr>
            <w:tab/>
          </w:r>
          <w:r>
            <w:rPr>
              <w:rFonts w:hint="default" w:ascii="Times New Roman" w:hAnsi="Times New Roman" w:eastAsia="仿宋_GB2312" w:cs="Times New Roman"/>
              <w:color w:val="auto"/>
              <w:sz w:val="30"/>
              <w:szCs w:val="30"/>
            </w:rPr>
            <w:fldChar w:fldCharType="begin"/>
          </w:r>
          <w:r>
            <w:rPr>
              <w:rFonts w:hint="default" w:ascii="Times New Roman" w:hAnsi="Times New Roman" w:eastAsia="仿宋_GB2312" w:cs="Times New Roman"/>
              <w:color w:val="auto"/>
              <w:sz w:val="30"/>
              <w:szCs w:val="30"/>
            </w:rPr>
            <w:instrText xml:space="preserve"> PAGEREF _Toc112248414 \h </w:instrText>
          </w:r>
          <w:r>
            <w:rPr>
              <w:rFonts w:hint="default" w:ascii="Times New Roman" w:hAnsi="Times New Roman" w:eastAsia="仿宋_GB2312" w:cs="Times New Roman"/>
              <w:color w:val="auto"/>
              <w:sz w:val="30"/>
              <w:szCs w:val="30"/>
            </w:rPr>
            <w:fldChar w:fldCharType="separate"/>
          </w:r>
          <w:r>
            <w:rPr>
              <w:rFonts w:hint="default" w:ascii="Times New Roman" w:hAnsi="Times New Roman" w:eastAsia="仿宋_GB2312" w:cs="Times New Roman"/>
              <w:color w:val="auto"/>
              <w:sz w:val="30"/>
              <w:szCs w:val="30"/>
            </w:rPr>
            <w:t>19</w:t>
          </w:r>
          <w:r>
            <w:rPr>
              <w:rFonts w:hint="default" w:ascii="Times New Roman" w:hAnsi="Times New Roman" w:eastAsia="仿宋_GB2312" w:cs="Times New Roman"/>
              <w:color w:val="auto"/>
              <w:sz w:val="30"/>
              <w:szCs w:val="30"/>
            </w:rPr>
            <w:fldChar w:fldCharType="end"/>
          </w:r>
          <w:r>
            <w:rPr>
              <w:rFonts w:hint="default" w:ascii="Times New Roman" w:hAnsi="Times New Roman" w:eastAsia="仿宋_GB2312" w:cs="Times New Roman"/>
              <w:color w:val="auto"/>
              <w:sz w:val="30"/>
              <w:szCs w:val="30"/>
            </w:rPr>
            <w:fldChar w:fldCharType="end"/>
          </w:r>
        </w:p>
        <w:p>
          <w:pPr>
            <w:pStyle w:val="15"/>
            <w:pageBreakBefore w:val="0"/>
            <w:kinsoku/>
            <w:wordWrap/>
            <w:overflowPunct/>
            <w:topLinePunct w:val="0"/>
            <w:bidi w:val="0"/>
            <w:spacing w:line="560" w:lineRule="exact"/>
            <w:rPr>
              <w:rFonts w:hint="default" w:ascii="Times New Roman" w:hAnsi="Times New Roman" w:eastAsia="仿宋_GB2312" w:cs="Times New Roman"/>
              <w:color w:val="auto"/>
              <w:sz w:val="30"/>
              <w:szCs w:val="30"/>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"_Toc112248419" </w:instrText>
          </w:r>
          <w:r>
            <w:rPr>
              <w:rFonts w:hint="default" w:ascii="Times New Roman" w:hAnsi="Times New Roman" w:cs="Times New Roman"/>
              <w:color w:val="auto"/>
            </w:rPr>
            <w:fldChar w:fldCharType="separate"/>
          </w:r>
          <w:r>
            <w:rPr>
              <w:rStyle w:val="24"/>
              <w:rFonts w:hint="default" w:ascii="Times New Roman" w:hAnsi="Times New Roman" w:eastAsia="仿宋_GB2312" w:cs="Times New Roman"/>
              <w:bCs/>
              <w:color w:val="auto"/>
              <w:kern w:val="44"/>
              <w:sz w:val="30"/>
              <w:szCs w:val="30"/>
            </w:rPr>
            <w:t>第三部分</w:t>
          </w:r>
          <w:r>
            <w:rPr>
              <w:rStyle w:val="24"/>
              <w:rFonts w:hint="default" w:ascii="Times New Roman" w:hAnsi="Times New Roman" w:eastAsia="仿宋_GB2312" w:cs="Times New Roman"/>
              <w:color w:val="auto"/>
              <w:sz w:val="30"/>
              <w:szCs w:val="30"/>
            </w:rPr>
            <w:t xml:space="preserve"> 名</w:t>
          </w:r>
          <w:r>
            <w:rPr>
              <w:rStyle w:val="24"/>
              <w:rFonts w:hint="default" w:ascii="Times New Roman" w:hAnsi="Times New Roman" w:eastAsia="仿宋_GB2312" w:cs="Times New Roman"/>
              <w:bCs/>
              <w:color w:val="auto"/>
              <w:kern w:val="44"/>
              <w:sz w:val="30"/>
              <w:szCs w:val="30"/>
            </w:rPr>
            <w:t>词解释</w:t>
          </w:r>
          <w:r>
            <w:rPr>
              <w:rFonts w:hint="default" w:ascii="Times New Roman" w:hAnsi="Times New Roman" w:eastAsia="仿宋_GB2312" w:cs="Times New Roman"/>
              <w:color w:val="auto"/>
              <w:sz w:val="30"/>
              <w:szCs w:val="30"/>
            </w:rPr>
            <w:tab/>
          </w:r>
          <w:r>
            <w:rPr>
              <w:rFonts w:hint="default" w:ascii="Times New Roman" w:hAnsi="Times New Roman" w:eastAsia="仿宋_GB2312" w:cs="Times New Roman"/>
              <w:color w:val="auto"/>
              <w:sz w:val="30"/>
              <w:szCs w:val="30"/>
            </w:rPr>
            <w:fldChar w:fldCharType="begin"/>
          </w:r>
          <w:r>
            <w:rPr>
              <w:rFonts w:hint="default" w:ascii="Times New Roman" w:hAnsi="Times New Roman" w:eastAsia="仿宋_GB2312" w:cs="Times New Roman"/>
              <w:color w:val="auto"/>
              <w:sz w:val="30"/>
              <w:szCs w:val="30"/>
            </w:rPr>
            <w:instrText xml:space="preserve"> PAGEREF _Toc112248419 \h </w:instrText>
          </w:r>
          <w:r>
            <w:rPr>
              <w:rFonts w:hint="default" w:ascii="Times New Roman" w:hAnsi="Times New Roman" w:eastAsia="仿宋_GB2312" w:cs="Times New Roman"/>
              <w:color w:val="auto"/>
              <w:sz w:val="30"/>
              <w:szCs w:val="30"/>
            </w:rPr>
            <w:fldChar w:fldCharType="separate"/>
          </w:r>
          <w:r>
            <w:rPr>
              <w:rFonts w:hint="default" w:ascii="Times New Roman" w:hAnsi="Times New Roman" w:eastAsia="仿宋_GB2312" w:cs="Times New Roman"/>
              <w:color w:val="auto"/>
              <w:sz w:val="30"/>
              <w:szCs w:val="30"/>
            </w:rPr>
            <w:t>22</w:t>
          </w:r>
          <w:r>
            <w:rPr>
              <w:rFonts w:hint="default" w:ascii="Times New Roman" w:hAnsi="Times New Roman" w:eastAsia="仿宋_GB2312" w:cs="Times New Roman"/>
              <w:color w:val="auto"/>
              <w:sz w:val="30"/>
              <w:szCs w:val="30"/>
            </w:rPr>
            <w:fldChar w:fldCharType="end"/>
          </w:r>
          <w:r>
            <w:rPr>
              <w:rFonts w:hint="default" w:ascii="Times New Roman" w:hAnsi="Times New Roman" w:eastAsia="仿宋_GB2312" w:cs="Times New Roman"/>
              <w:color w:val="auto"/>
              <w:sz w:val="30"/>
              <w:szCs w:val="30"/>
            </w:rPr>
            <w:fldChar w:fldCharType="end"/>
          </w:r>
        </w:p>
        <w:p>
          <w:pPr>
            <w:pStyle w:val="15"/>
            <w:pageBreakBefore w:val="0"/>
            <w:kinsoku/>
            <w:wordWrap/>
            <w:overflowPunct/>
            <w:topLinePunct w:val="0"/>
            <w:bidi w:val="0"/>
            <w:spacing w:line="560" w:lineRule="exact"/>
            <w:rPr>
              <w:rFonts w:hint="default" w:ascii="Times New Roman" w:hAnsi="Times New Roman" w:eastAsia="仿宋_GB2312" w:cs="Times New Roman"/>
              <w:color w:val="auto"/>
              <w:sz w:val="30"/>
              <w:szCs w:val="30"/>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"_Toc112248420" </w:instrText>
          </w:r>
          <w:r>
            <w:rPr>
              <w:rFonts w:hint="default" w:ascii="Times New Roman" w:hAnsi="Times New Roman" w:cs="Times New Roman"/>
              <w:color w:val="auto"/>
            </w:rPr>
            <w:fldChar w:fldCharType="separate"/>
          </w:r>
          <w:r>
            <w:rPr>
              <w:rStyle w:val="24"/>
              <w:rFonts w:hint="default" w:ascii="Times New Roman" w:hAnsi="Times New Roman" w:eastAsia="仿宋_GB2312" w:cs="Times New Roman"/>
              <w:color w:val="auto"/>
              <w:sz w:val="30"/>
              <w:szCs w:val="30"/>
            </w:rPr>
            <w:t>第</w:t>
          </w:r>
          <w:r>
            <w:rPr>
              <w:rStyle w:val="24"/>
              <w:rFonts w:hint="default" w:ascii="Times New Roman" w:hAnsi="Times New Roman" w:eastAsia="仿宋_GB2312" w:cs="Times New Roman"/>
              <w:bCs/>
              <w:color w:val="auto"/>
              <w:kern w:val="44"/>
              <w:sz w:val="30"/>
              <w:szCs w:val="30"/>
            </w:rPr>
            <w:t>四部分 附件</w:t>
          </w:r>
          <w:r>
            <w:rPr>
              <w:rFonts w:hint="default" w:ascii="Times New Roman" w:hAnsi="Times New Roman" w:eastAsia="仿宋_GB2312" w:cs="Times New Roman"/>
              <w:color w:val="auto"/>
              <w:sz w:val="30"/>
              <w:szCs w:val="30"/>
            </w:rPr>
            <w:tab/>
          </w:r>
          <w:r>
            <w:rPr>
              <w:rFonts w:hint="default" w:ascii="Times New Roman" w:hAnsi="Times New Roman" w:eastAsia="仿宋_GB2312" w:cs="Times New Roman"/>
              <w:color w:val="auto"/>
              <w:sz w:val="30"/>
              <w:szCs w:val="30"/>
            </w:rPr>
            <w:fldChar w:fldCharType="begin"/>
          </w:r>
          <w:r>
            <w:rPr>
              <w:rFonts w:hint="default" w:ascii="Times New Roman" w:hAnsi="Times New Roman" w:eastAsia="仿宋_GB2312" w:cs="Times New Roman"/>
              <w:color w:val="auto"/>
              <w:sz w:val="30"/>
              <w:szCs w:val="30"/>
            </w:rPr>
            <w:instrText xml:space="preserve"> PAGEREF _Toc112248420 \h </w:instrText>
          </w:r>
          <w:r>
            <w:rPr>
              <w:rFonts w:hint="default" w:ascii="Times New Roman" w:hAnsi="Times New Roman" w:eastAsia="仿宋_GB2312" w:cs="Times New Roman"/>
              <w:color w:val="auto"/>
              <w:sz w:val="30"/>
              <w:szCs w:val="30"/>
            </w:rPr>
            <w:fldChar w:fldCharType="separate"/>
          </w:r>
          <w:r>
            <w:rPr>
              <w:rFonts w:hint="default" w:ascii="Times New Roman" w:hAnsi="Times New Roman" w:eastAsia="仿宋_GB2312" w:cs="Times New Roman"/>
              <w:color w:val="auto"/>
              <w:sz w:val="30"/>
              <w:szCs w:val="30"/>
            </w:rPr>
            <w:t>28</w:t>
          </w:r>
          <w:r>
            <w:rPr>
              <w:rFonts w:hint="default" w:ascii="Times New Roman" w:hAnsi="Times New Roman" w:eastAsia="仿宋_GB2312" w:cs="Times New Roman"/>
              <w:color w:val="auto"/>
              <w:sz w:val="30"/>
              <w:szCs w:val="30"/>
            </w:rPr>
            <w:fldChar w:fldCharType="end"/>
          </w:r>
          <w:r>
            <w:rPr>
              <w:rFonts w:hint="default" w:ascii="Times New Roman" w:hAnsi="Times New Roman" w:eastAsia="仿宋_GB2312" w:cs="Times New Roman"/>
              <w:color w:val="auto"/>
              <w:sz w:val="30"/>
              <w:szCs w:val="30"/>
            </w:rPr>
            <w:fldChar w:fldCharType="end"/>
          </w:r>
        </w:p>
        <w:p>
          <w:pPr>
            <w:pStyle w:val="15"/>
            <w:pageBreakBefore w:val="0"/>
            <w:kinsoku/>
            <w:wordWrap/>
            <w:overflowPunct/>
            <w:topLinePunct w:val="0"/>
            <w:bidi w:val="0"/>
            <w:spacing w:line="560" w:lineRule="exact"/>
            <w:rPr>
              <w:rFonts w:hint="default" w:ascii="Times New Roman" w:hAnsi="Times New Roman" w:eastAsia="仿宋_GB2312" w:cs="Times New Roman"/>
              <w:color w:val="auto"/>
              <w:sz w:val="30"/>
              <w:szCs w:val="30"/>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"_Toc112248422" </w:instrText>
          </w:r>
          <w:r>
            <w:rPr>
              <w:rFonts w:hint="default" w:ascii="Times New Roman" w:hAnsi="Times New Roman" w:cs="Times New Roman"/>
              <w:color w:val="auto"/>
            </w:rPr>
            <w:fldChar w:fldCharType="separate"/>
          </w:r>
          <w:r>
            <w:rPr>
              <w:rStyle w:val="24"/>
              <w:rFonts w:hint="default" w:ascii="Times New Roman" w:hAnsi="Times New Roman" w:eastAsia="仿宋_GB2312" w:cs="Times New Roman"/>
              <w:color w:val="auto"/>
              <w:sz w:val="30"/>
              <w:szCs w:val="30"/>
            </w:rPr>
            <w:t>第</w:t>
          </w:r>
          <w:r>
            <w:rPr>
              <w:rStyle w:val="24"/>
              <w:rFonts w:hint="default" w:ascii="Times New Roman" w:hAnsi="Times New Roman" w:eastAsia="仿宋_GB2312" w:cs="Times New Roman"/>
              <w:bCs/>
              <w:color w:val="auto"/>
              <w:kern w:val="44"/>
              <w:sz w:val="30"/>
              <w:szCs w:val="30"/>
            </w:rPr>
            <w:t>五部分 附表</w:t>
          </w:r>
          <w:r>
            <w:rPr>
              <w:rFonts w:hint="default" w:ascii="Times New Roman" w:hAnsi="Times New Roman" w:eastAsia="仿宋_GB2312" w:cs="Times New Roman"/>
              <w:color w:val="auto"/>
              <w:sz w:val="30"/>
              <w:szCs w:val="30"/>
            </w:rPr>
            <w:tab/>
          </w:r>
          <w:r>
            <w:rPr>
              <w:rFonts w:hint="default" w:ascii="Times New Roman" w:hAnsi="Times New Roman" w:eastAsia="仿宋_GB2312" w:cs="Times New Roman"/>
              <w:color w:val="auto"/>
              <w:sz w:val="30"/>
              <w:szCs w:val="30"/>
            </w:rPr>
            <w:fldChar w:fldCharType="begin"/>
          </w:r>
          <w:r>
            <w:rPr>
              <w:rFonts w:hint="default" w:ascii="Times New Roman" w:hAnsi="Times New Roman" w:eastAsia="仿宋_GB2312" w:cs="Times New Roman"/>
              <w:color w:val="auto"/>
              <w:sz w:val="30"/>
              <w:szCs w:val="30"/>
            </w:rPr>
            <w:instrText xml:space="preserve"> PAGEREF _Toc112248422 \h </w:instrText>
          </w:r>
          <w:r>
            <w:rPr>
              <w:rFonts w:hint="default" w:ascii="Times New Roman" w:hAnsi="Times New Roman" w:eastAsia="仿宋_GB2312" w:cs="Times New Roman"/>
              <w:color w:val="auto"/>
              <w:sz w:val="30"/>
              <w:szCs w:val="30"/>
            </w:rPr>
            <w:fldChar w:fldCharType="separate"/>
          </w:r>
          <w:r>
            <w:rPr>
              <w:rFonts w:hint="default" w:ascii="Times New Roman" w:hAnsi="Times New Roman" w:eastAsia="仿宋_GB2312" w:cs="Times New Roman"/>
              <w:color w:val="auto"/>
              <w:sz w:val="30"/>
              <w:szCs w:val="30"/>
            </w:rPr>
            <w:t>72</w:t>
          </w:r>
          <w:r>
            <w:rPr>
              <w:rFonts w:hint="default" w:ascii="Times New Roman" w:hAnsi="Times New Roman" w:eastAsia="仿宋_GB2312" w:cs="Times New Roman"/>
              <w:color w:val="auto"/>
              <w:sz w:val="30"/>
              <w:szCs w:val="30"/>
            </w:rPr>
            <w:fldChar w:fldCharType="end"/>
          </w:r>
          <w:r>
            <w:rPr>
              <w:rFonts w:hint="default" w:ascii="Times New Roman" w:hAnsi="Times New Roman" w:eastAsia="仿宋_GB2312" w:cs="Times New Roman"/>
              <w:color w:val="auto"/>
              <w:sz w:val="30"/>
              <w:szCs w:val="30"/>
            </w:rPr>
            <w:fldChar w:fldCharType="end"/>
          </w:r>
        </w:p>
        <w:p>
          <w:pPr>
            <w:pStyle w:val="18"/>
            <w:pageBreakBefore w:val="0"/>
            <w:kinsoku/>
            <w:wordWrap/>
            <w:overflowPunct/>
            <w:topLinePunct w:val="0"/>
            <w:bidi w:val="0"/>
            <w:spacing w:line="560" w:lineRule="exact"/>
            <w:rPr>
              <w:rFonts w:hint="default" w:ascii="Times New Roman" w:hAnsi="Times New Roman" w:eastAsia="仿宋_GB2312" w:cs="Times New Roman"/>
              <w:color w:val="auto"/>
              <w:sz w:val="30"/>
              <w:szCs w:val="30"/>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"_Toc112248423" </w:instrText>
          </w:r>
          <w:r>
            <w:rPr>
              <w:rFonts w:hint="default" w:ascii="Times New Roman" w:hAnsi="Times New Roman" w:cs="Times New Roman"/>
              <w:color w:val="auto"/>
            </w:rPr>
            <w:fldChar w:fldCharType="separate"/>
          </w:r>
          <w:r>
            <w:rPr>
              <w:rStyle w:val="24"/>
              <w:rFonts w:hint="default" w:ascii="Times New Roman" w:hAnsi="Times New Roman" w:eastAsia="仿宋_GB2312" w:cs="Times New Roman"/>
              <w:color w:val="auto"/>
              <w:sz w:val="30"/>
              <w:szCs w:val="30"/>
            </w:rPr>
            <w:t>一、收入支出决算总表</w:t>
          </w:r>
          <w:r>
            <w:rPr>
              <w:rFonts w:hint="default" w:ascii="Times New Roman" w:hAnsi="Times New Roman" w:eastAsia="仿宋_GB2312" w:cs="Times New Roman"/>
              <w:color w:val="auto"/>
              <w:sz w:val="30"/>
              <w:szCs w:val="30"/>
            </w:rPr>
            <w:tab/>
          </w:r>
          <w:r>
            <w:rPr>
              <w:rFonts w:hint="default" w:ascii="Times New Roman" w:hAnsi="Times New Roman" w:eastAsia="仿宋_GB2312" w:cs="Times New Roman"/>
              <w:color w:val="auto"/>
              <w:sz w:val="30"/>
              <w:szCs w:val="30"/>
            </w:rPr>
            <w:fldChar w:fldCharType="begin"/>
          </w:r>
          <w:r>
            <w:rPr>
              <w:rFonts w:hint="default" w:ascii="Times New Roman" w:hAnsi="Times New Roman" w:eastAsia="仿宋_GB2312" w:cs="Times New Roman"/>
              <w:color w:val="auto"/>
              <w:sz w:val="30"/>
              <w:szCs w:val="30"/>
            </w:rPr>
            <w:instrText xml:space="preserve"> PAGEREF _Toc112248423 \h </w:instrText>
          </w:r>
          <w:r>
            <w:rPr>
              <w:rFonts w:hint="default" w:ascii="Times New Roman" w:hAnsi="Times New Roman" w:eastAsia="仿宋_GB2312" w:cs="Times New Roman"/>
              <w:color w:val="auto"/>
              <w:sz w:val="30"/>
              <w:szCs w:val="30"/>
            </w:rPr>
            <w:fldChar w:fldCharType="separate"/>
          </w:r>
          <w:r>
            <w:rPr>
              <w:rFonts w:hint="default" w:ascii="Times New Roman" w:hAnsi="Times New Roman" w:eastAsia="仿宋_GB2312" w:cs="Times New Roman"/>
              <w:color w:val="auto"/>
              <w:sz w:val="30"/>
              <w:szCs w:val="30"/>
            </w:rPr>
            <w:t>72</w:t>
          </w:r>
          <w:r>
            <w:rPr>
              <w:rFonts w:hint="default" w:ascii="Times New Roman" w:hAnsi="Times New Roman" w:eastAsia="仿宋_GB2312" w:cs="Times New Roman"/>
              <w:color w:val="auto"/>
              <w:sz w:val="30"/>
              <w:szCs w:val="30"/>
            </w:rPr>
            <w:fldChar w:fldCharType="end"/>
          </w:r>
          <w:r>
            <w:rPr>
              <w:rFonts w:hint="default" w:ascii="Times New Roman" w:hAnsi="Times New Roman" w:eastAsia="仿宋_GB2312" w:cs="Times New Roman"/>
              <w:color w:val="auto"/>
              <w:sz w:val="30"/>
              <w:szCs w:val="30"/>
            </w:rPr>
            <w:fldChar w:fldCharType="end"/>
          </w:r>
        </w:p>
        <w:p>
          <w:pPr>
            <w:pStyle w:val="18"/>
            <w:pageBreakBefore w:val="0"/>
            <w:kinsoku/>
            <w:wordWrap/>
            <w:overflowPunct/>
            <w:topLinePunct w:val="0"/>
            <w:bidi w:val="0"/>
            <w:spacing w:line="560" w:lineRule="exact"/>
            <w:rPr>
              <w:rFonts w:hint="default" w:ascii="Times New Roman" w:hAnsi="Times New Roman" w:eastAsia="仿宋_GB2312" w:cs="Times New Roman"/>
              <w:color w:val="auto"/>
              <w:sz w:val="30"/>
              <w:szCs w:val="30"/>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"_Toc112248424" </w:instrText>
          </w:r>
          <w:r>
            <w:rPr>
              <w:rFonts w:hint="default" w:ascii="Times New Roman" w:hAnsi="Times New Roman" w:cs="Times New Roman"/>
              <w:color w:val="auto"/>
            </w:rPr>
            <w:fldChar w:fldCharType="separate"/>
          </w:r>
          <w:r>
            <w:rPr>
              <w:rStyle w:val="24"/>
              <w:rFonts w:hint="default" w:ascii="Times New Roman" w:hAnsi="Times New Roman" w:eastAsia="仿宋_GB2312" w:cs="Times New Roman"/>
              <w:color w:val="auto"/>
              <w:sz w:val="30"/>
              <w:szCs w:val="30"/>
            </w:rPr>
            <w:t>二、收入决算表</w:t>
          </w:r>
          <w:r>
            <w:rPr>
              <w:rFonts w:hint="default" w:ascii="Times New Roman" w:hAnsi="Times New Roman" w:eastAsia="仿宋_GB2312" w:cs="Times New Roman"/>
              <w:color w:val="auto"/>
              <w:sz w:val="30"/>
              <w:szCs w:val="30"/>
            </w:rPr>
            <w:tab/>
          </w:r>
          <w:r>
            <w:rPr>
              <w:rFonts w:hint="default" w:ascii="Times New Roman" w:hAnsi="Times New Roman" w:eastAsia="仿宋_GB2312" w:cs="Times New Roman"/>
              <w:color w:val="auto"/>
              <w:sz w:val="30"/>
              <w:szCs w:val="30"/>
            </w:rPr>
            <w:fldChar w:fldCharType="begin"/>
          </w:r>
          <w:r>
            <w:rPr>
              <w:rFonts w:hint="default" w:ascii="Times New Roman" w:hAnsi="Times New Roman" w:eastAsia="仿宋_GB2312" w:cs="Times New Roman"/>
              <w:color w:val="auto"/>
              <w:sz w:val="30"/>
              <w:szCs w:val="30"/>
            </w:rPr>
            <w:instrText xml:space="preserve"> PAGEREF _Toc112248424 \h </w:instrText>
          </w:r>
          <w:r>
            <w:rPr>
              <w:rFonts w:hint="default" w:ascii="Times New Roman" w:hAnsi="Times New Roman" w:eastAsia="仿宋_GB2312" w:cs="Times New Roman"/>
              <w:color w:val="auto"/>
              <w:sz w:val="30"/>
              <w:szCs w:val="30"/>
            </w:rPr>
            <w:fldChar w:fldCharType="separate"/>
          </w:r>
          <w:r>
            <w:rPr>
              <w:rFonts w:hint="default" w:ascii="Times New Roman" w:hAnsi="Times New Roman" w:eastAsia="仿宋_GB2312" w:cs="Times New Roman"/>
              <w:color w:val="auto"/>
              <w:sz w:val="30"/>
              <w:szCs w:val="30"/>
            </w:rPr>
            <w:t>72</w:t>
          </w:r>
          <w:r>
            <w:rPr>
              <w:rFonts w:hint="default" w:ascii="Times New Roman" w:hAnsi="Times New Roman" w:eastAsia="仿宋_GB2312" w:cs="Times New Roman"/>
              <w:color w:val="auto"/>
              <w:sz w:val="30"/>
              <w:szCs w:val="30"/>
            </w:rPr>
            <w:fldChar w:fldCharType="end"/>
          </w:r>
          <w:r>
            <w:rPr>
              <w:rFonts w:hint="default" w:ascii="Times New Roman" w:hAnsi="Times New Roman" w:eastAsia="仿宋_GB2312" w:cs="Times New Roman"/>
              <w:color w:val="auto"/>
              <w:sz w:val="30"/>
              <w:szCs w:val="30"/>
            </w:rPr>
            <w:fldChar w:fldCharType="end"/>
          </w:r>
        </w:p>
        <w:p>
          <w:pPr>
            <w:pStyle w:val="18"/>
            <w:pageBreakBefore w:val="0"/>
            <w:kinsoku/>
            <w:wordWrap/>
            <w:overflowPunct/>
            <w:topLinePunct w:val="0"/>
            <w:bidi w:val="0"/>
            <w:spacing w:line="560" w:lineRule="exact"/>
            <w:rPr>
              <w:rFonts w:hint="default" w:ascii="Times New Roman" w:hAnsi="Times New Roman" w:eastAsia="仿宋_GB2312" w:cs="Times New Roman"/>
              <w:color w:val="auto"/>
              <w:sz w:val="30"/>
              <w:szCs w:val="30"/>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"_Toc112248425" </w:instrText>
          </w:r>
          <w:r>
            <w:rPr>
              <w:rFonts w:hint="default" w:ascii="Times New Roman" w:hAnsi="Times New Roman" w:cs="Times New Roman"/>
              <w:color w:val="auto"/>
            </w:rPr>
            <w:fldChar w:fldCharType="separate"/>
          </w:r>
          <w:r>
            <w:rPr>
              <w:rStyle w:val="24"/>
              <w:rFonts w:hint="default" w:ascii="Times New Roman" w:hAnsi="Times New Roman" w:eastAsia="仿宋_GB2312" w:cs="Times New Roman"/>
              <w:color w:val="auto"/>
              <w:sz w:val="30"/>
              <w:szCs w:val="30"/>
            </w:rPr>
            <w:t>三、支出决算表</w:t>
          </w:r>
          <w:r>
            <w:rPr>
              <w:rFonts w:hint="default" w:ascii="Times New Roman" w:hAnsi="Times New Roman" w:eastAsia="仿宋_GB2312" w:cs="Times New Roman"/>
              <w:color w:val="auto"/>
              <w:sz w:val="30"/>
              <w:szCs w:val="30"/>
            </w:rPr>
            <w:tab/>
          </w:r>
          <w:r>
            <w:rPr>
              <w:rFonts w:hint="default" w:ascii="Times New Roman" w:hAnsi="Times New Roman" w:eastAsia="仿宋_GB2312" w:cs="Times New Roman"/>
              <w:color w:val="auto"/>
              <w:sz w:val="30"/>
              <w:szCs w:val="30"/>
            </w:rPr>
            <w:fldChar w:fldCharType="begin"/>
          </w:r>
          <w:r>
            <w:rPr>
              <w:rFonts w:hint="default" w:ascii="Times New Roman" w:hAnsi="Times New Roman" w:eastAsia="仿宋_GB2312" w:cs="Times New Roman"/>
              <w:color w:val="auto"/>
              <w:sz w:val="30"/>
              <w:szCs w:val="30"/>
            </w:rPr>
            <w:instrText xml:space="preserve"> PAGEREF _Toc112248425 \h </w:instrText>
          </w:r>
          <w:r>
            <w:rPr>
              <w:rFonts w:hint="default" w:ascii="Times New Roman" w:hAnsi="Times New Roman" w:eastAsia="仿宋_GB2312" w:cs="Times New Roman"/>
              <w:color w:val="auto"/>
              <w:sz w:val="30"/>
              <w:szCs w:val="30"/>
            </w:rPr>
            <w:fldChar w:fldCharType="separate"/>
          </w:r>
          <w:r>
            <w:rPr>
              <w:rFonts w:hint="default" w:ascii="Times New Roman" w:hAnsi="Times New Roman" w:eastAsia="仿宋_GB2312" w:cs="Times New Roman"/>
              <w:color w:val="auto"/>
              <w:sz w:val="30"/>
              <w:szCs w:val="30"/>
            </w:rPr>
            <w:t>72</w:t>
          </w:r>
          <w:r>
            <w:rPr>
              <w:rFonts w:hint="default" w:ascii="Times New Roman" w:hAnsi="Times New Roman" w:eastAsia="仿宋_GB2312" w:cs="Times New Roman"/>
              <w:color w:val="auto"/>
              <w:sz w:val="30"/>
              <w:szCs w:val="30"/>
            </w:rPr>
            <w:fldChar w:fldCharType="end"/>
          </w:r>
          <w:r>
            <w:rPr>
              <w:rFonts w:hint="default" w:ascii="Times New Roman" w:hAnsi="Times New Roman" w:eastAsia="仿宋_GB2312" w:cs="Times New Roman"/>
              <w:color w:val="auto"/>
              <w:sz w:val="30"/>
              <w:szCs w:val="30"/>
            </w:rPr>
            <w:fldChar w:fldCharType="end"/>
          </w:r>
        </w:p>
        <w:p>
          <w:pPr>
            <w:pStyle w:val="18"/>
            <w:pageBreakBefore w:val="0"/>
            <w:kinsoku/>
            <w:wordWrap/>
            <w:overflowPunct/>
            <w:topLinePunct w:val="0"/>
            <w:bidi w:val="0"/>
            <w:spacing w:line="560" w:lineRule="exact"/>
            <w:rPr>
              <w:rFonts w:hint="default" w:ascii="Times New Roman" w:hAnsi="Times New Roman" w:eastAsia="仿宋_GB2312" w:cs="Times New Roman"/>
              <w:color w:val="auto"/>
              <w:sz w:val="30"/>
              <w:szCs w:val="30"/>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"_Toc112248426" </w:instrText>
          </w:r>
          <w:r>
            <w:rPr>
              <w:rFonts w:hint="default" w:ascii="Times New Roman" w:hAnsi="Times New Roman" w:cs="Times New Roman"/>
              <w:color w:val="auto"/>
            </w:rPr>
            <w:fldChar w:fldCharType="separate"/>
          </w:r>
          <w:r>
            <w:rPr>
              <w:rStyle w:val="24"/>
              <w:rFonts w:hint="default" w:ascii="Times New Roman" w:hAnsi="Times New Roman" w:eastAsia="仿宋_GB2312" w:cs="Times New Roman"/>
              <w:color w:val="auto"/>
              <w:sz w:val="30"/>
              <w:szCs w:val="30"/>
            </w:rPr>
            <w:t>四、财政拨款收入支出决算总表</w:t>
          </w:r>
          <w:r>
            <w:rPr>
              <w:rFonts w:hint="default" w:ascii="Times New Roman" w:hAnsi="Times New Roman" w:eastAsia="仿宋_GB2312" w:cs="Times New Roman"/>
              <w:color w:val="auto"/>
              <w:sz w:val="30"/>
              <w:szCs w:val="30"/>
            </w:rPr>
            <w:tab/>
          </w:r>
          <w:r>
            <w:rPr>
              <w:rFonts w:hint="default" w:ascii="Times New Roman" w:hAnsi="Times New Roman" w:eastAsia="仿宋_GB2312" w:cs="Times New Roman"/>
              <w:color w:val="auto"/>
              <w:sz w:val="30"/>
              <w:szCs w:val="30"/>
            </w:rPr>
            <w:fldChar w:fldCharType="begin"/>
          </w:r>
          <w:r>
            <w:rPr>
              <w:rFonts w:hint="default" w:ascii="Times New Roman" w:hAnsi="Times New Roman" w:eastAsia="仿宋_GB2312" w:cs="Times New Roman"/>
              <w:color w:val="auto"/>
              <w:sz w:val="30"/>
              <w:szCs w:val="30"/>
            </w:rPr>
            <w:instrText xml:space="preserve"> PAGEREF _Toc112248426 \h </w:instrText>
          </w:r>
          <w:r>
            <w:rPr>
              <w:rFonts w:hint="default" w:ascii="Times New Roman" w:hAnsi="Times New Roman" w:eastAsia="仿宋_GB2312" w:cs="Times New Roman"/>
              <w:color w:val="auto"/>
              <w:sz w:val="30"/>
              <w:szCs w:val="30"/>
            </w:rPr>
            <w:fldChar w:fldCharType="separate"/>
          </w:r>
          <w:r>
            <w:rPr>
              <w:rFonts w:hint="default" w:ascii="Times New Roman" w:hAnsi="Times New Roman" w:eastAsia="仿宋_GB2312" w:cs="Times New Roman"/>
              <w:color w:val="auto"/>
              <w:sz w:val="30"/>
              <w:szCs w:val="30"/>
            </w:rPr>
            <w:t>72</w:t>
          </w:r>
          <w:r>
            <w:rPr>
              <w:rFonts w:hint="default" w:ascii="Times New Roman" w:hAnsi="Times New Roman" w:eastAsia="仿宋_GB2312" w:cs="Times New Roman"/>
              <w:color w:val="auto"/>
              <w:sz w:val="30"/>
              <w:szCs w:val="30"/>
            </w:rPr>
            <w:fldChar w:fldCharType="end"/>
          </w:r>
          <w:r>
            <w:rPr>
              <w:rFonts w:hint="default" w:ascii="Times New Roman" w:hAnsi="Times New Roman" w:eastAsia="仿宋_GB2312" w:cs="Times New Roman"/>
              <w:color w:val="auto"/>
              <w:sz w:val="30"/>
              <w:szCs w:val="30"/>
            </w:rPr>
            <w:fldChar w:fldCharType="end"/>
          </w:r>
        </w:p>
        <w:p>
          <w:pPr>
            <w:pStyle w:val="18"/>
            <w:pageBreakBefore w:val="0"/>
            <w:kinsoku/>
            <w:wordWrap/>
            <w:overflowPunct/>
            <w:topLinePunct w:val="0"/>
            <w:bidi w:val="0"/>
            <w:spacing w:line="560" w:lineRule="exact"/>
            <w:rPr>
              <w:rFonts w:hint="default" w:ascii="Times New Roman" w:hAnsi="Times New Roman" w:eastAsia="仿宋_GB2312" w:cs="Times New Roman"/>
              <w:color w:val="auto"/>
              <w:sz w:val="30"/>
              <w:szCs w:val="30"/>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"_Toc112248427" </w:instrText>
          </w:r>
          <w:r>
            <w:rPr>
              <w:rFonts w:hint="default" w:ascii="Times New Roman" w:hAnsi="Times New Roman" w:cs="Times New Roman"/>
              <w:color w:val="auto"/>
            </w:rPr>
            <w:fldChar w:fldCharType="separate"/>
          </w:r>
          <w:r>
            <w:rPr>
              <w:rStyle w:val="24"/>
              <w:rFonts w:hint="default" w:ascii="Times New Roman" w:hAnsi="Times New Roman" w:eastAsia="仿宋_GB2312" w:cs="Times New Roman"/>
              <w:color w:val="auto"/>
              <w:sz w:val="30"/>
              <w:szCs w:val="30"/>
            </w:rPr>
            <w:t>五、财政拨款支出决算明细表</w:t>
          </w:r>
          <w:r>
            <w:rPr>
              <w:rFonts w:hint="default" w:ascii="Times New Roman" w:hAnsi="Times New Roman" w:eastAsia="仿宋_GB2312" w:cs="Times New Roman"/>
              <w:color w:val="auto"/>
              <w:sz w:val="30"/>
              <w:szCs w:val="30"/>
            </w:rPr>
            <w:tab/>
          </w:r>
          <w:r>
            <w:rPr>
              <w:rFonts w:hint="default" w:ascii="Times New Roman" w:hAnsi="Times New Roman" w:eastAsia="仿宋_GB2312" w:cs="Times New Roman"/>
              <w:color w:val="auto"/>
              <w:sz w:val="30"/>
              <w:szCs w:val="30"/>
            </w:rPr>
            <w:fldChar w:fldCharType="begin"/>
          </w:r>
          <w:r>
            <w:rPr>
              <w:rFonts w:hint="default" w:ascii="Times New Roman" w:hAnsi="Times New Roman" w:eastAsia="仿宋_GB2312" w:cs="Times New Roman"/>
              <w:color w:val="auto"/>
              <w:sz w:val="30"/>
              <w:szCs w:val="30"/>
            </w:rPr>
            <w:instrText xml:space="preserve"> PAGEREF _Toc112248427 \h </w:instrText>
          </w:r>
          <w:r>
            <w:rPr>
              <w:rFonts w:hint="default" w:ascii="Times New Roman" w:hAnsi="Times New Roman" w:eastAsia="仿宋_GB2312" w:cs="Times New Roman"/>
              <w:color w:val="auto"/>
              <w:sz w:val="30"/>
              <w:szCs w:val="30"/>
            </w:rPr>
            <w:fldChar w:fldCharType="separate"/>
          </w:r>
          <w:r>
            <w:rPr>
              <w:rFonts w:hint="default" w:ascii="Times New Roman" w:hAnsi="Times New Roman" w:eastAsia="仿宋_GB2312" w:cs="Times New Roman"/>
              <w:color w:val="auto"/>
              <w:sz w:val="30"/>
              <w:szCs w:val="30"/>
            </w:rPr>
            <w:t>72</w:t>
          </w:r>
          <w:r>
            <w:rPr>
              <w:rFonts w:hint="default" w:ascii="Times New Roman" w:hAnsi="Times New Roman" w:eastAsia="仿宋_GB2312" w:cs="Times New Roman"/>
              <w:color w:val="auto"/>
              <w:sz w:val="30"/>
              <w:szCs w:val="30"/>
            </w:rPr>
            <w:fldChar w:fldCharType="end"/>
          </w:r>
          <w:r>
            <w:rPr>
              <w:rFonts w:hint="default" w:ascii="Times New Roman" w:hAnsi="Times New Roman" w:eastAsia="仿宋_GB2312" w:cs="Times New Roman"/>
              <w:color w:val="auto"/>
              <w:sz w:val="30"/>
              <w:szCs w:val="30"/>
            </w:rPr>
            <w:fldChar w:fldCharType="end"/>
          </w:r>
        </w:p>
        <w:p>
          <w:pPr>
            <w:pStyle w:val="18"/>
            <w:pageBreakBefore w:val="0"/>
            <w:kinsoku/>
            <w:wordWrap/>
            <w:overflowPunct/>
            <w:topLinePunct w:val="0"/>
            <w:bidi w:val="0"/>
            <w:spacing w:line="560" w:lineRule="exact"/>
            <w:rPr>
              <w:rFonts w:hint="default" w:ascii="Times New Roman" w:hAnsi="Times New Roman" w:eastAsia="仿宋_GB2312" w:cs="Times New Roman"/>
              <w:color w:val="auto"/>
              <w:sz w:val="30"/>
              <w:szCs w:val="30"/>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"_Toc112248428" </w:instrText>
          </w:r>
          <w:r>
            <w:rPr>
              <w:rFonts w:hint="default" w:ascii="Times New Roman" w:hAnsi="Times New Roman" w:cs="Times New Roman"/>
              <w:color w:val="auto"/>
            </w:rPr>
            <w:fldChar w:fldCharType="separate"/>
          </w:r>
          <w:r>
            <w:rPr>
              <w:rStyle w:val="24"/>
              <w:rFonts w:hint="default" w:ascii="Times New Roman" w:hAnsi="Times New Roman" w:eastAsia="仿宋_GB2312" w:cs="Times New Roman"/>
              <w:color w:val="auto"/>
              <w:sz w:val="30"/>
              <w:szCs w:val="30"/>
            </w:rPr>
            <w:t>六、一般公共预算财政拨款支出决算表</w:t>
          </w:r>
          <w:r>
            <w:rPr>
              <w:rFonts w:hint="default" w:ascii="Times New Roman" w:hAnsi="Times New Roman" w:eastAsia="仿宋_GB2312" w:cs="Times New Roman"/>
              <w:color w:val="auto"/>
              <w:sz w:val="30"/>
              <w:szCs w:val="30"/>
            </w:rPr>
            <w:tab/>
          </w:r>
          <w:r>
            <w:rPr>
              <w:rFonts w:hint="default" w:ascii="Times New Roman" w:hAnsi="Times New Roman" w:eastAsia="仿宋_GB2312" w:cs="Times New Roman"/>
              <w:color w:val="auto"/>
              <w:sz w:val="30"/>
              <w:szCs w:val="30"/>
            </w:rPr>
            <w:fldChar w:fldCharType="begin"/>
          </w:r>
          <w:r>
            <w:rPr>
              <w:rFonts w:hint="default" w:ascii="Times New Roman" w:hAnsi="Times New Roman" w:eastAsia="仿宋_GB2312" w:cs="Times New Roman"/>
              <w:color w:val="auto"/>
              <w:sz w:val="30"/>
              <w:szCs w:val="30"/>
            </w:rPr>
            <w:instrText xml:space="preserve"> PAGEREF _Toc112248428 \h </w:instrText>
          </w:r>
          <w:r>
            <w:rPr>
              <w:rFonts w:hint="default" w:ascii="Times New Roman" w:hAnsi="Times New Roman" w:eastAsia="仿宋_GB2312" w:cs="Times New Roman"/>
              <w:color w:val="auto"/>
              <w:sz w:val="30"/>
              <w:szCs w:val="30"/>
            </w:rPr>
            <w:fldChar w:fldCharType="separate"/>
          </w:r>
          <w:r>
            <w:rPr>
              <w:rFonts w:hint="default" w:ascii="Times New Roman" w:hAnsi="Times New Roman" w:eastAsia="仿宋_GB2312" w:cs="Times New Roman"/>
              <w:color w:val="auto"/>
              <w:sz w:val="30"/>
              <w:szCs w:val="30"/>
            </w:rPr>
            <w:t>72</w:t>
          </w:r>
          <w:r>
            <w:rPr>
              <w:rFonts w:hint="default" w:ascii="Times New Roman" w:hAnsi="Times New Roman" w:eastAsia="仿宋_GB2312" w:cs="Times New Roman"/>
              <w:color w:val="auto"/>
              <w:sz w:val="30"/>
              <w:szCs w:val="30"/>
            </w:rPr>
            <w:fldChar w:fldCharType="end"/>
          </w:r>
          <w:r>
            <w:rPr>
              <w:rFonts w:hint="default" w:ascii="Times New Roman" w:hAnsi="Times New Roman" w:eastAsia="仿宋_GB2312" w:cs="Times New Roman"/>
              <w:color w:val="auto"/>
              <w:sz w:val="30"/>
              <w:szCs w:val="30"/>
            </w:rPr>
            <w:fldChar w:fldCharType="end"/>
          </w:r>
        </w:p>
        <w:p>
          <w:pPr>
            <w:pStyle w:val="18"/>
            <w:pageBreakBefore w:val="0"/>
            <w:kinsoku/>
            <w:wordWrap/>
            <w:overflowPunct/>
            <w:topLinePunct w:val="0"/>
            <w:bidi w:val="0"/>
            <w:spacing w:line="560" w:lineRule="exact"/>
            <w:rPr>
              <w:rFonts w:hint="default" w:ascii="Times New Roman" w:hAnsi="Times New Roman" w:eastAsia="仿宋_GB2312" w:cs="Times New Roman"/>
              <w:color w:val="auto"/>
              <w:sz w:val="30"/>
              <w:szCs w:val="30"/>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"_Toc112248429" </w:instrText>
          </w:r>
          <w:r>
            <w:rPr>
              <w:rFonts w:hint="default" w:ascii="Times New Roman" w:hAnsi="Times New Roman" w:cs="Times New Roman"/>
              <w:color w:val="auto"/>
            </w:rPr>
            <w:fldChar w:fldCharType="separate"/>
          </w:r>
          <w:r>
            <w:rPr>
              <w:rStyle w:val="24"/>
              <w:rFonts w:hint="default" w:ascii="Times New Roman" w:hAnsi="Times New Roman" w:eastAsia="仿宋_GB2312" w:cs="Times New Roman"/>
              <w:color w:val="auto"/>
              <w:sz w:val="30"/>
              <w:szCs w:val="30"/>
            </w:rPr>
            <w:t>七、一般公共预算财政拨款支出决算明细表</w:t>
          </w:r>
          <w:r>
            <w:rPr>
              <w:rFonts w:hint="default" w:ascii="Times New Roman" w:hAnsi="Times New Roman" w:eastAsia="仿宋_GB2312" w:cs="Times New Roman"/>
              <w:color w:val="auto"/>
              <w:sz w:val="30"/>
              <w:szCs w:val="30"/>
            </w:rPr>
            <w:tab/>
          </w:r>
          <w:r>
            <w:rPr>
              <w:rFonts w:hint="default" w:ascii="Times New Roman" w:hAnsi="Times New Roman" w:eastAsia="仿宋_GB2312" w:cs="Times New Roman"/>
              <w:color w:val="auto"/>
              <w:sz w:val="30"/>
              <w:szCs w:val="30"/>
            </w:rPr>
            <w:fldChar w:fldCharType="begin"/>
          </w:r>
          <w:r>
            <w:rPr>
              <w:rFonts w:hint="default" w:ascii="Times New Roman" w:hAnsi="Times New Roman" w:eastAsia="仿宋_GB2312" w:cs="Times New Roman"/>
              <w:color w:val="auto"/>
              <w:sz w:val="30"/>
              <w:szCs w:val="30"/>
            </w:rPr>
            <w:instrText xml:space="preserve"> PAGEREF _Toc112248429 \h </w:instrText>
          </w:r>
          <w:r>
            <w:rPr>
              <w:rFonts w:hint="default" w:ascii="Times New Roman" w:hAnsi="Times New Roman" w:eastAsia="仿宋_GB2312" w:cs="Times New Roman"/>
              <w:color w:val="auto"/>
              <w:sz w:val="30"/>
              <w:szCs w:val="30"/>
            </w:rPr>
            <w:fldChar w:fldCharType="separate"/>
          </w:r>
          <w:r>
            <w:rPr>
              <w:rFonts w:hint="default" w:ascii="Times New Roman" w:hAnsi="Times New Roman" w:eastAsia="仿宋_GB2312" w:cs="Times New Roman"/>
              <w:color w:val="auto"/>
              <w:sz w:val="30"/>
              <w:szCs w:val="30"/>
            </w:rPr>
            <w:t>72</w:t>
          </w:r>
          <w:r>
            <w:rPr>
              <w:rFonts w:hint="default" w:ascii="Times New Roman" w:hAnsi="Times New Roman" w:eastAsia="仿宋_GB2312" w:cs="Times New Roman"/>
              <w:color w:val="auto"/>
              <w:sz w:val="30"/>
              <w:szCs w:val="30"/>
            </w:rPr>
            <w:fldChar w:fldCharType="end"/>
          </w:r>
          <w:r>
            <w:rPr>
              <w:rFonts w:hint="default" w:ascii="Times New Roman" w:hAnsi="Times New Roman" w:eastAsia="仿宋_GB2312" w:cs="Times New Roman"/>
              <w:color w:val="auto"/>
              <w:sz w:val="30"/>
              <w:szCs w:val="30"/>
            </w:rPr>
            <w:fldChar w:fldCharType="end"/>
          </w:r>
        </w:p>
        <w:p>
          <w:pPr>
            <w:pStyle w:val="18"/>
            <w:pageBreakBefore w:val="0"/>
            <w:kinsoku/>
            <w:wordWrap/>
            <w:overflowPunct/>
            <w:topLinePunct w:val="0"/>
            <w:bidi w:val="0"/>
            <w:spacing w:line="560" w:lineRule="exact"/>
            <w:rPr>
              <w:rFonts w:hint="default" w:ascii="Times New Roman" w:hAnsi="Times New Roman" w:eastAsia="仿宋_GB2312" w:cs="Times New Roman"/>
              <w:color w:val="auto"/>
              <w:sz w:val="30"/>
              <w:szCs w:val="30"/>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"_Toc112248430" </w:instrText>
          </w:r>
          <w:r>
            <w:rPr>
              <w:rFonts w:hint="default" w:ascii="Times New Roman" w:hAnsi="Times New Roman" w:cs="Times New Roman"/>
              <w:color w:val="auto"/>
            </w:rPr>
            <w:fldChar w:fldCharType="separate"/>
          </w:r>
          <w:r>
            <w:rPr>
              <w:rStyle w:val="24"/>
              <w:rFonts w:hint="default" w:ascii="Times New Roman" w:hAnsi="Times New Roman" w:eastAsia="仿宋_GB2312" w:cs="Times New Roman"/>
              <w:color w:val="auto"/>
              <w:sz w:val="30"/>
              <w:szCs w:val="30"/>
            </w:rPr>
            <w:t>八、一般公共预算财政拨款基本支出决算表</w:t>
          </w:r>
          <w:r>
            <w:rPr>
              <w:rFonts w:hint="default" w:ascii="Times New Roman" w:hAnsi="Times New Roman" w:eastAsia="仿宋_GB2312" w:cs="Times New Roman"/>
              <w:color w:val="auto"/>
              <w:sz w:val="30"/>
              <w:szCs w:val="30"/>
            </w:rPr>
            <w:tab/>
          </w:r>
          <w:r>
            <w:rPr>
              <w:rFonts w:hint="default" w:ascii="Times New Roman" w:hAnsi="Times New Roman" w:eastAsia="仿宋_GB2312" w:cs="Times New Roman"/>
              <w:color w:val="auto"/>
              <w:sz w:val="30"/>
              <w:szCs w:val="30"/>
            </w:rPr>
            <w:fldChar w:fldCharType="begin"/>
          </w:r>
          <w:r>
            <w:rPr>
              <w:rFonts w:hint="default" w:ascii="Times New Roman" w:hAnsi="Times New Roman" w:eastAsia="仿宋_GB2312" w:cs="Times New Roman"/>
              <w:color w:val="auto"/>
              <w:sz w:val="30"/>
              <w:szCs w:val="30"/>
            </w:rPr>
            <w:instrText xml:space="preserve"> PAGEREF _Toc112248430 \h </w:instrText>
          </w:r>
          <w:r>
            <w:rPr>
              <w:rFonts w:hint="default" w:ascii="Times New Roman" w:hAnsi="Times New Roman" w:eastAsia="仿宋_GB2312" w:cs="Times New Roman"/>
              <w:color w:val="auto"/>
              <w:sz w:val="30"/>
              <w:szCs w:val="30"/>
            </w:rPr>
            <w:fldChar w:fldCharType="separate"/>
          </w:r>
          <w:r>
            <w:rPr>
              <w:rFonts w:hint="default" w:ascii="Times New Roman" w:hAnsi="Times New Roman" w:eastAsia="仿宋_GB2312" w:cs="Times New Roman"/>
              <w:color w:val="auto"/>
              <w:sz w:val="30"/>
              <w:szCs w:val="30"/>
            </w:rPr>
            <w:t>72</w:t>
          </w:r>
          <w:r>
            <w:rPr>
              <w:rFonts w:hint="default" w:ascii="Times New Roman" w:hAnsi="Times New Roman" w:eastAsia="仿宋_GB2312" w:cs="Times New Roman"/>
              <w:color w:val="auto"/>
              <w:sz w:val="30"/>
              <w:szCs w:val="30"/>
            </w:rPr>
            <w:fldChar w:fldCharType="end"/>
          </w:r>
          <w:r>
            <w:rPr>
              <w:rFonts w:hint="default" w:ascii="Times New Roman" w:hAnsi="Times New Roman" w:eastAsia="仿宋_GB2312" w:cs="Times New Roman"/>
              <w:color w:val="auto"/>
              <w:sz w:val="30"/>
              <w:szCs w:val="30"/>
            </w:rPr>
            <w:fldChar w:fldCharType="end"/>
          </w:r>
        </w:p>
        <w:p>
          <w:pPr>
            <w:pStyle w:val="18"/>
            <w:pageBreakBefore w:val="0"/>
            <w:kinsoku/>
            <w:wordWrap/>
            <w:overflowPunct/>
            <w:topLinePunct w:val="0"/>
            <w:bidi w:val="0"/>
            <w:spacing w:line="560" w:lineRule="exact"/>
            <w:rPr>
              <w:rFonts w:hint="default" w:ascii="Times New Roman" w:hAnsi="Times New Roman" w:eastAsia="仿宋_GB2312" w:cs="Times New Roman"/>
              <w:color w:val="auto"/>
              <w:sz w:val="30"/>
              <w:szCs w:val="30"/>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"_Toc112248431" </w:instrText>
          </w:r>
          <w:r>
            <w:rPr>
              <w:rFonts w:hint="default" w:ascii="Times New Roman" w:hAnsi="Times New Roman" w:cs="Times New Roman"/>
              <w:color w:val="auto"/>
            </w:rPr>
            <w:fldChar w:fldCharType="separate"/>
          </w:r>
          <w:r>
            <w:rPr>
              <w:rStyle w:val="24"/>
              <w:rFonts w:hint="default" w:ascii="Times New Roman" w:hAnsi="Times New Roman" w:eastAsia="仿宋_GB2312" w:cs="Times New Roman"/>
              <w:color w:val="auto"/>
              <w:sz w:val="30"/>
              <w:szCs w:val="30"/>
            </w:rPr>
            <w:t>九、一般公共预算财政拨款项目支出决算表</w:t>
          </w:r>
          <w:r>
            <w:rPr>
              <w:rFonts w:hint="default" w:ascii="Times New Roman" w:hAnsi="Times New Roman" w:eastAsia="仿宋_GB2312" w:cs="Times New Roman"/>
              <w:color w:val="auto"/>
              <w:sz w:val="30"/>
              <w:szCs w:val="30"/>
            </w:rPr>
            <w:tab/>
          </w:r>
          <w:r>
            <w:rPr>
              <w:rFonts w:hint="default" w:ascii="Times New Roman" w:hAnsi="Times New Roman" w:eastAsia="仿宋_GB2312" w:cs="Times New Roman"/>
              <w:color w:val="auto"/>
              <w:sz w:val="30"/>
              <w:szCs w:val="30"/>
            </w:rPr>
            <w:fldChar w:fldCharType="begin"/>
          </w:r>
          <w:r>
            <w:rPr>
              <w:rFonts w:hint="default" w:ascii="Times New Roman" w:hAnsi="Times New Roman" w:eastAsia="仿宋_GB2312" w:cs="Times New Roman"/>
              <w:color w:val="auto"/>
              <w:sz w:val="30"/>
              <w:szCs w:val="30"/>
            </w:rPr>
            <w:instrText xml:space="preserve"> PAGEREF _Toc112248431 \h </w:instrText>
          </w:r>
          <w:r>
            <w:rPr>
              <w:rFonts w:hint="default" w:ascii="Times New Roman" w:hAnsi="Times New Roman" w:eastAsia="仿宋_GB2312" w:cs="Times New Roman"/>
              <w:color w:val="auto"/>
              <w:sz w:val="30"/>
              <w:szCs w:val="30"/>
            </w:rPr>
            <w:fldChar w:fldCharType="separate"/>
          </w:r>
          <w:r>
            <w:rPr>
              <w:rFonts w:hint="default" w:ascii="Times New Roman" w:hAnsi="Times New Roman" w:eastAsia="仿宋_GB2312" w:cs="Times New Roman"/>
              <w:color w:val="auto"/>
              <w:sz w:val="30"/>
              <w:szCs w:val="30"/>
            </w:rPr>
            <w:t>72</w:t>
          </w:r>
          <w:r>
            <w:rPr>
              <w:rFonts w:hint="default" w:ascii="Times New Roman" w:hAnsi="Times New Roman" w:eastAsia="仿宋_GB2312" w:cs="Times New Roman"/>
              <w:color w:val="auto"/>
              <w:sz w:val="30"/>
              <w:szCs w:val="30"/>
            </w:rPr>
            <w:fldChar w:fldCharType="end"/>
          </w:r>
          <w:r>
            <w:rPr>
              <w:rFonts w:hint="default" w:ascii="Times New Roman" w:hAnsi="Times New Roman" w:eastAsia="仿宋_GB2312" w:cs="Times New Roman"/>
              <w:color w:val="auto"/>
              <w:sz w:val="30"/>
              <w:szCs w:val="30"/>
            </w:rPr>
            <w:fldChar w:fldCharType="end"/>
          </w:r>
        </w:p>
        <w:p>
          <w:pPr>
            <w:pStyle w:val="18"/>
            <w:pageBreakBefore w:val="0"/>
            <w:kinsoku/>
            <w:wordWrap/>
            <w:overflowPunct/>
            <w:topLinePunct w:val="0"/>
            <w:bidi w:val="0"/>
            <w:spacing w:line="560" w:lineRule="exact"/>
            <w:rPr>
              <w:rFonts w:hint="default" w:ascii="Times New Roman" w:hAnsi="Times New Roman" w:eastAsia="仿宋_GB2312" w:cs="Times New Roman"/>
              <w:color w:val="auto"/>
              <w:sz w:val="30"/>
              <w:szCs w:val="30"/>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"_Toc112248432" </w:instrText>
          </w:r>
          <w:r>
            <w:rPr>
              <w:rFonts w:hint="default" w:ascii="Times New Roman" w:hAnsi="Times New Roman" w:cs="Times New Roman"/>
              <w:color w:val="auto"/>
            </w:rPr>
            <w:fldChar w:fldCharType="separate"/>
          </w:r>
          <w:r>
            <w:rPr>
              <w:rStyle w:val="24"/>
              <w:rFonts w:hint="default" w:ascii="Times New Roman" w:hAnsi="Times New Roman" w:eastAsia="仿宋_GB2312" w:cs="Times New Roman"/>
              <w:color w:val="auto"/>
              <w:sz w:val="30"/>
              <w:szCs w:val="30"/>
            </w:rPr>
            <w:t>十、一般公共预算财政拨款“三公”经费支出决算表</w:t>
          </w:r>
          <w:r>
            <w:rPr>
              <w:rFonts w:hint="default" w:ascii="Times New Roman" w:hAnsi="Times New Roman" w:eastAsia="仿宋_GB2312" w:cs="Times New Roman"/>
              <w:color w:val="auto"/>
              <w:sz w:val="30"/>
              <w:szCs w:val="30"/>
            </w:rPr>
            <w:tab/>
          </w:r>
          <w:r>
            <w:rPr>
              <w:rFonts w:hint="default" w:ascii="Times New Roman" w:hAnsi="Times New Roman" w:eastAsia="仿宋_GB2312" w:cs="Times New Roman"/>
              <w:color w:val="auto"/>
              <w:sz w:val="30"/>
              <w:szCs w:val="30"/>
            </w:rPr>
            <w:fldChar w:fldCharType="begin"/>
          </w:r>
          <w:r>
            <w:rPr>
              <w:rFonts w:hint="default" w:ascii="Times New Roman" w:hAnsi="Times New Roman" w:eastAsia="仿宋_GB2312" w:cs="Times New Roman"/>
              <w:color w:val="auto"/>
              <w:sz w:val="30"/>
              <w:szCs w:val="30"/>
            </w:rPr>
            <w:instrText xml:space="preserve"> PAGEREF _Toc112248432 \h </w:instrText>
          </w:r>
          <w:r>
            <w:rPr>
              <w:rFonts w:hint="default" w:ascii="Times New Roman" w:hAnsi="Times New Roman" w:eastAsia="仿宋_GB2312" w:cs="Times New Roman"/>
              <w:color w:val="auto"/>
              <w:sz w:val="30"/>
              <w:szCs w:val="30"/>
            </w:rPr>
            <w:fldChar w:fldCharType="separate"/>
          </w:r>
          <w:r>
            <w:rPr>
              <w:rFonts w:hint="default" w:ascii="Times New Roman" w:hAnsi="Times New Roman" w:eastAsia="仿宋_GB2312" w:cs="Times New Roman"/>
              <w:color w:val="auto"/>
              <w:sz w:val="30"/>
              <w:szCs w:val="30"/>
            </w:rPr>
            <w:t>72</w:t>
          </w:r>
          <w:r>
            <w:rPr>
              <w:rFonts w:hint="default" w:ascii="Times New Roman" w:hAnsi="Times New Roman" w:eastAsia="仿宋_GB2312" w:cs="Times New Roman"/>
              <w:color w:val="auto"/>
              <w:sz w:val="30"/>
              <w:szCs w:val="30"/>
            </w:rPr>
            <w:fldChar w:fldCharType="end"/>
          </w:r>
          <w:r>
            <w:rPr>
              <w:rFonts w:hint="default" w:ascii="Times New Roman" w:hAnsi="Times New Roman" w:eastAsia="仿宋_GB2312" w:cs="Times New Roman"/>
              <w:color w:val="auto"/>
              <w:sz w:val="30"/>
              <w:szCs w:val="30"/>
            </w:rPr>
            <w:fldChar w:fldCharType="end"/>
          </w:r>
        </w:p>
        <w:p>
          <w:pPr>
            <w:pStyle w:val="18"/>
            <w:pageBreakBefore w:val="0"/>
            <w:kinsoku/>
            <w:wordWrap/>
            <w:overflowPunct/>
            <w:topLinePunct w:val="0"/>
            <w:bidi w:val="0"/>
            <w:spacing w:line="560" w:lineRule="exact"/>
            <w:rPr>
              <w:rFonts w:hint="default" w:ascii="Times New Roman" w:hAnsi="Times New Roman" w:eastAsia="仿宋_GB2312" w:cs="Times New Roman"/>
              <w:color w:val="auto"/>
              <w:sz w:val="30"/>
              <w:szCs w:val="30"/>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"_Toc112248433" </w:instrText>
          </w:r>
          <w:r>
            <w:rPr>
              <w:rFonts w:hint="default" w:ascii="Times New Roman" w:hAnsi="Times New Roman" w:cs="Times New Roman"/>
              <w:color w:val="auto"/>
            </w:rPr>
            <w:fldChar w:fldCharType="separate"/>
          </w:r>
          <w:r>
            <w:rPr>
              <w:rStyle w:val="24"/>
              <w:rFonts w:hint="default" w:ascii="Times New Roman" w:hAnsi="Times New Roman" w:eastAsia="仿宋_GB2312" w:cs="Times New Roman"/>
              <w:color w:val="auto"/>
              <w:sz w:val="30"/>
              <w:szCs w:val="30"/>
            </w:rPr>
            <w:t>十一、政府性基金预算财政拨款收入支出决算表</w:t>
          </w:r>
          <w:r>
            <w:rPr>
              <w:rFonts w:hint="default" w:ascii="Times New Roman" w:hAnsi="Times New Roman" w:eastAsia="仿宋_GB2312" w:cs="Times New Roman"/>
              <w:color w:val="auto"/>
              <w:sz w:val="30"/>
              <w:szCs w:val="30"/>
            </w:rPr>
            <w:tab/>
          </w:r>
          <w:r>
            <w:rPr>
              <w:rFonts w:hint="default" w:ascii="Times New Roman" w:hAnsi="Times New Roman" w:eastAsia="仿宋_GB2312" w:cs="Times New Roman"/>
              <w:color w:val="auto"/>
              <w:sz w:val="30"/>
              <w:szCs w:val="30"/>
            </w:rPr>
            <w:fldChar w:fldCharType="begin"/>
          </w:r>
          <w:r>
            <w:rPr>
              <w:rFonts w:hint="default" w:ascii="Times New Roman" w:hAnsi="Times New Roman" w:eastAsia="仿宋_GB2312" w:cs="Times New Roman"/>
              <w:color w:val="auto"/>
              <w:sz w:val="30"/>
              <w:szCs w:val="30"/>
            </w:rPr>
            <w:instrText xml:space="preserve"> PAGEREF _Toc112248433 \h </w:instrText>
          </w:r>
          <w:r>
            <w:rPr>
              <w:rFonts w:hint="default" w:ascii="Times New Roman" w:hAnsi="Times New Roman" w:eastAsia="仿宋_GB2312" w:cs="Times New Roman"/>
              <w:color w:val="auto"/>
              <w:sz w:val="30"/>
              <w:szCs w:val="30"/>
            </w:rPr>
            <w:fldChar w:fldCharType="separate"/>
          </w:r>
          <w:r>
            <w:rPr>
              <w:rFonts w:hint="default" w:ascii="Times New Roman" w:hAnsi="Times New Roman" w:eastAsia="仿宋_GB2312" w:cs="Times New Roman"/>
              <w:color w:val="auto"/>
              <w:sz w:val="30"/>
              <w:szCs w:val="30"/>
            </w:rPr>
            <w:t>72</w:t>
          </w:r>
          <w:r>
            <w:rPr>
              <w:rFonts w:hint="default" w:ascii="Times New Roman" w:hAnsi="Times New Roman" w:eastAsia="仿宋_GB2312" w:cs="Times New Roman"/>
              <w:color w:val="auto"/>
              <w:sz w:val="30"/>
              <w:szCs w:val="30"/>
            </w:rPr>
            <w:fldChar w:fldCharType="end"/>
          </w:r>
          <w:r>
            <w:rPr>
              <w:rFonts w:hint="default" w:ascii="Times New Roman" w:hAnsi="Times New Roman" w:eastAsia="仿宋_GB2312" w:cs="Times New Roman"/>
              <w:color w:val="auto"/>
              <w:sz w:val="30"/>
              <w:szCs w:val="30"/>
            </w:rPr>
            <w:fldChar w:fldCharType="end"/>
          </w:r>
        </w:p>
        <w:p>
          <w:pPr>
            <w:pStyle w:val="18"/>
            <w:pageBreakBefore w:val="0"/>
            <w:kinsoku/>
            <w:wordWrap/>
            <w:overflowPunct/>
            <w:topLinePunct w:val="0"/>
            <w:bidi w:val="0"/>
            <w:spacing w:line="560" w:lineRule="exact"/>
            <w:rPr>
              <w:rFonts w:hint="default" w:ascii="Times New Roman" w:hAnsi="Times New Roman" w:eastAsia="仿宋_GB2312" w:cs="Times New Roman"/>
              <w:color w:val="auto"/>
              <w:sz w:val="30"/>
              <w:szCs w:val="30"/>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"_Toc112248434" </w:instrText>
          </w:r>
          <w:r>
            <w:rPr>
              <w:rFonts w:hint="default" w:ascii="Times New Roman" w:hAnsi="Times New Roman" w:cs="Times New Roman"/>
              <w:color w:val="auto"/>
            </w:rPr>
            <w:fldChar w:fldCharType="separate"/>
          </w:r>
          <w:r>
            <w:rPr>
              <w:rStyle w:val="24"/>
              <w:rFonts w:hint="default" w:ascii="Times New Roman" w:hAnsi="Times New Roman" w:eastAsia="仿宋_GB2312" w:cs="Times New Roman"/>
              <w:color w:val="auto"/>
              <w:sz w:val="30"/>
              <w:szCs w:val="30"/>
            </w:rPr>
            <w:t>十二、政府性基金预算财政拨款“三公”经费支出决算表</w:t>
          </w:r>
          <w:r>
            <w:rPr>
              <w:rFonts w:hint="default" w:ascii="Times New Roman" w:hAnsi="Times New Roman" w:eastAsia="仿宋_GB2312" w:cs="Times New Roman"/>
              <w:color w:val="auto"/>
              <w:sz w:val="30"/>
              <w:szCs w:val="30"/>
            </w:rPr>
            <w:tab/>
          </w:r>
          <w:r>
            <w:rPr>
              <w:rFonts w:hint="default" w:ascii="Times New Roman" w:hAnsi="Times New Roman" w:eastAsia="仿宋_GB2312" w:cs="Times New Roman"/>
              <w:color w:val="auto"/>
              <w:sz w:val="30"/>
              <w:szCs w:val="30"/>
            </w:rPr>
            <w:fldChar w:fldCharType="begin"/>
          </w:r>
          <w:r>
            <w:rPr>
              <w:rFonts w:hint="default" w:ascii="Times New Roman" w:hAnsi="Times New Roman" w:eastAsia="仿宋_GB2312" w:cs="Times New Roman"/>
              <w:color w:val="auto"/>
              <w:sz w:val="30"/>
              <w:szCs w:val="30"/>
            </w:rPr>
            <w:instrText xml:space="preserve"> PAGEREF _Toc112248434 \h </w:instrText>
          </w:r>
          <w:r>
            <w:rPr>
              <w:rFonts w:hint="default" w:ascii="Times New Roman" w:hAnsi="Times New Roman" w:eastAsia="仿宋_GB2312" w:cs="Times New Roman"/>
              <w:color w:val="auto"/>
              <w:sz w:val="30"/>
              <w:szCs w:val="30"/>
            </w:rPr>
            <w:fldChar w:fldCharType="separate"/>
          </w:r>
          <w:r>
            <w:rPr>
              <w:rFonts w:hint="default" w:ascii="Times New Roman" w:hAnsi="Times New Roman" w:eastAsia="仿宋_GB2312" w:cs="Times New Roman"/>
              <w:color w:val="auto"/>
              <w:sz w:val="30"/>
              <w:szCs w:val="30"/>
            </w:rPr>
            <w:t>72</w:t>
          </w:r>
          <w:r>
            <w:rPr>
              <w:rFonts w:hint="default" w:ascii="Times New Roman" w:hAnsi="Times New Roman" w:eastAsia="仿宋_GB2312" w:cs="Times New Roman"/>
              <w:color w:val="auto"/>
              <w:sz w:val="30"/>
              <w:szCs w:val="30"/>
            </w:rPr>
            <w:fldChar w:fldCharType="end"/>
          </w:r>
          <w:r>
            <w:rPr>
              <w:rFonts w:hint="default" w:ascii="Times New Roman" w:hAnsi="Times New Roman" w:eastAsia="仿宋_GB2312" w:cs="Times New Roman"/>
              <w:color w:val="auto"/>
              <w:sz w:val="30"/>
              <w:szCs w:val="30"/>
            </w:rPr>
            <w:fldChar w:fldCharType="end"/>
          </w:r>
        </w:p>
        <w:p>
          <w:pPr>
            <w:pStyle w:val="18"/>
            <w:pageBreakBefore w:val="0"/>
            <w:kinsoku/>
            <w:wordWrap/>
            <w:overflowPunct/>
            <w:topLinePunct w:val="0"/>
            <w:bidi w:val="0"/>
            <w:spacing w:line="560" w:lineRule="exact"/>
            <w:rPr>
              <w:rFonts w:hint="default" w:ascii="Times New Roman" w:hAnsi="Times New Roman" w:eastAsia="仿宋_GB2312" w:cs="Times New Roman"/>
              <w:color w:val="auto"/>
              <w:sz w:val="30"/>
              <w:szCs w:val="30"/>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"_Toc112248435" </w:instrText>
          </w:r>
          <w:r>
            <w:rPr>
              <w:rFonts w:hint="default" w:ascii="Times New Roman" w:hAnsi="Times New Roman" w:cs="Times New Roman"/>
              <w:color w:val="auto"/>
            </w:rPr>
            <w:fldChar w:fldCharType="separate"/>
          </w:r>
          <w:r>
            <w:rPr>
              <w:rStyle w:val="24"/>
              <w:rFonts w:hint="default" w:ascii="Times New Roman" w:hAnsi="Times New Roman" w:eastAsia="仿宋_GB2312" w:cs="Times New Roman"/>
              <w:color w:val="auto"/>
              <w:sz w:val="30"/>
              <w:szCs w:val="30"/>
            </w:rPr>
            <w:t>十三、国有资本经营预算财政拨款收入支出决算表</w:t>
          </w:r>
          <w:r>
            <w:rPr>
              <w:rFonts w:hint="default" w:ascii="Times New Roman" w:hAnsi="Times New Roman" w:eastAsia="仿宋_GB2312" w:cs="Times New Roman"/>
              <w:color w:val="auto"/>
              <w:sz w:val="30"/>
              <w:szCs w:val="30"/>
            </w:rPr>
            <w:tab/>
          </w:r>
          <w:r>
            <w:rPr>
              <w:rFonts w:hint="default" w:ascii="Times New Roman" w:hAnsi="Times New Roman" w:eastAsia="仿宋_GB2312" w:cs="Times New Roman"/>
              <w:color w:val="auto"/>
              <w:sz w:val="30"/>
              <w:szCs w:val="30"/>
            </w:rPr>
            <w:fldChar w:fldCharType="begin"/>
          </w:r>
          <w:r>
            <w:rPr>
              <w:rFonts w:hint="default" w:ascii="Times New Roman" w:hAnsi="Times New Roman" w:eastAsia="仿宋_GB2312" w:cs="Times New Roman"/>
              <w:color w:val="auto"/>
              <w:sz w:val="30"/>
              <w:szCs w:val="30"/>
            </w:rPr>
            <w:instrText xml:space="preserve"> PAGEREF _Toc112248435 \h </w:instrText>
          </w:r>
          <w:r>
            <w:rPr>
              <w:rFonts w:hint="default" w:ascii="Times New Roman" w:hAnsi="Times New Roman" w:eastAsia="仿宋_GB2312" w:cs="Times New Roman"/>
              <w:color w:val="auto"/>
              <w:sz w:val="30"/>
              <w:szCs w:val="30"/>
            </w:rPr>
            <w:fldChar w:fldCharType="separate"/>
          </w:r>
          <w:r>
            <w:rPr>
              <w:rFonts w:hint="default" w:ascii="Times New Roman" w:hAnsi="Times New Roman" w:eastAsia="仿宋_GB2312" w:cs="Times New Roman"/>
              <w:color w:val="auto"/>
              <w:sz w:val="30"/>
              <w:szCs w:val="30"/>
            </w:rPr>
            <w:t>72</w:t>
          </w:r>
          <w:r>
            <w:rPr>
              <w:rFonts w:hint="default" w:ascii="Times New Roman" w:hAnsi="Times New Roman" w:eastAsia="仿宋_GB2312" w:cs="Times New Roman"/>
              <w:color w:val="auto"/>
              <w:sz w:val="30"/>
              <w:szCs w:val="30"/>
            </w:rPr>
            <w:fldChar w:fldCharType="end"/>
          </w:r>
          <w:r>
            <w:rPr>
              <w:rFonts w:hint="default" w:ascii="Times New Roman" w:hAnsi="Times New Roman" w:eastAsia="仿宋_GB2312" w:cs="Times New Roman"/>
              <w:color w:val="auto"/>
              <w:sz w:val="30"/>
              <w:szCs w:val="30"/>
            </w:rPr>
            <w:fldChar w:fldCharType="end"/>
          </w:r>
        </w:p>
        <w:p>
          <w:pPr>
            <w:pStyle w:val="18"/>
            <w:pageBreakBefore w:val="0"/>
            <w:kinsoku/>
            <w:wordWrap/>
            <w:overflowPunct/>
            <w:topLinePunct w:val="0"/>
            <w:bidi w:val="0"/>
            <w:spacing w:line="560" w:lineRule="exact"/>
            <w:rPr>
              <w:rFonts w:hint="default" w:ascii="Times New Roman" w:hAnsi="Times New Roman" w:eastAsia="仿宋_GB2312" w:cs="Times New Roman"/>
              <w:color w:val="auto"/>
              <w:sz w:val="30"/>
              <w:szCs w:val="30"/>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"_Toc112248436" </w:instrText>
          </w:r>
          <w:r>
            <w:rPr>
              <w:rFonts w:hint="default" w:ascii="Times New Roman" w:hAnsi="Times New Roman" w:cs="Times New Roman"/>
              <w:color w:val="auto"/>
            </w:rPr>
            <w:fldChar w:fldCharType="separate"/>
          </w:r>
          <w:r>
            <w:rPr>
              <w:rStyle w:val="24"/>
              <w:rFonts w:hint="default" w:ascii="Times New Roman" w:hAnsi="Times New Roman" w:eastAsia="仿宋_GB2312" w:cs="Times New Roman"/>
              <w:color w:val="auto"/>
              <w:sz w:val="30"/>
              <w:szCs w:val="30"/>
            </w:rPr>
            <w:t>十四、国有资本经营预算财政拨款支出决算表</w:t>
          </w:r>
          <w:r>
            <w:rPr>
              <w:rFonts w:hint="default" w:ascii="Times New Roman" w:hAnsi="Times New Roman" w:eastAsia="仿宋_GB2312" w:cs="Times New Roman"/>
              <w:color w:val="auto"/>
              <w:sz w:val="30"/>
              <w:szCs w:val="30"/>
            </w:rPr>
            <w:tab/>
          </w:r>
          <w:r>
            <w:rPr>
              <w:rFonts w:hint="default" w:ascii="Times New Roman" w:hAnsi="Times New Roman" w:eastAsia="仿宋_GB2312" w:cs="Times New Roman"/>
              <w:color w:val="auto"/>
              <w:sz w:val="30"/>
              <w:szCs w:val="30"/>
            </w:rPr>
            <w:fldChar w:fldCharType="begin"/>
          </w:r>
          <w:r>
            <w:rPr>
              <w:rFonts w:hint="default" w:ascii="Times New Roman" w:hAnsi="Times New Roman" w:eastAsia="仿宋_GB2312" w:cs="Times New Roman"/>
              <w:color w:val="auto"/>
              <w:sz w:val="30"/>
              <w:szCs w:val="30"/>
            </w:rPr>
            <w:instrText xml:space="preserve"> PAGEREF _Toc112248436 \h </w:instrText>
          </w:r>
          <w:r>
            <w:rPr>
              <w:rFonts w:hint="default" w:ascii="Times New Roman" w:hAnsi="Times New Roman" w:eastAsia="仿宋_GB2312" w:cs="Times New Roman"/>
              <w:color w:val="auto"/>
              <w:sz w:val="30"/>
              <w:szCs w:val="30"/>
            </w:rPr>
            <w:fldChar w:fldCharType="separate"/>
          </w:r>
          <w:r>
            <w:rPr>
              <w:rFonts w:hint="default" w:ascii="Times New Roman" w:hAnsi="Times New Roman" w:eastAsia="仿宋_GB2312" w:cs="Times New Roman"/>
              <w:color w:val="auto"/>
              <w:sz w:val="30"/>
              <w:szCs w:val="30"/>
            </w:rPr>
            <w:t>72</w:t>
          </w:r>
          <w:r>
            <w:rPr>
              <w:rFonts w:hint="default" w:ascii="Times New Roman" w:hAnsi="Times New Roman" w:eastAsia="仿宋_GB2312" w:cs="Times New Roman"/>
              <w:color w:val="auto"/>
              <w:sz w:val="30"/>
              <w:szCs w:val="30"/>
            </w:rPr>
            <w:fldChar w:fldCharType="end"/>
          </w:r>
          <w:r>
            <w:rPr>
              <w:rFonts w:hint="default" w:ascii="Times New Roman" w:hAnsi="Times New Roman" w:eastAsia="仿宋_GB2312" w:cs="Times New Roman"/>
              <w:color w:val="auto"/>
              <w:sz w:val="30"/>
              <w:szCs w:val="30"/>
            </w:rPr>
            <w:fldChar w:fldCharType="end"/>
          </w:r>
        </w:p>
        <w:p>
          <w:pPr>
            <w:pageBreakBefore w:val="0"/>
            <w:kinsoku/>
            <w:wordWrap/>
            <w:overflowPunct/>
            <w:topLinePunct w:val="0"/>
            <w:bidi w:val="0"/>
            <w:spacing w:line="560" w:lineRule="exact"/>
            <w:rPr>
              <w:rFonts w:hint="default" w:ascii="Times New Roman" w:hAnsi="Times New Roman" w:cs="Times New Roman"/>
              <w:color w:val="auto"/>
            </w:rPr>
          </w:pPr>
          <w:r>
            <w:rPr>
              <w:rFonts w:hint="default" w:ascii="Times New Roman" w:hAnsi="Times New Roman" w:cs="Times New Roman"/>
              <w:color w:val="auto"/>
            </w:rPr>
            <w:fldChar w:fldCharType="end"/>
          </w:r>
        </w:p>
      </w:sdtContent>
    </w:sdt>
    <w:p>
      <w:pPr>
        <w:pageBreakBefore w:val="0"/>
        <w:widowControl/>
        <w:kinsoku/>
        <w:wordWrap/>
        <w:overflowPunct/>
        <w:topLinePunct w:val="0"/>
        <w:bidi w:val="0"/>
        <w:spacing w:line="560" w:lineRule="exact"/>
        <w:jc w:val="left"/>
        <w:rPr>
          <w:rFonts w:hint="default" w:ascii="Times New Roman" w:hAnsi="Times New Roman" w:eastAsia="仿宋_GB2312" w:cs="Times New Roman"/>
          <w:bCs/>
          <w:color w:val="auto"/>
          <w:kern w:val="44"/>
          <w:sz w:val="30"/>
          <w:szCs w:val="30"/>
        </w:rPr>
      </w:pPr>
      <w:bookmarkStart w:id="15" w:name="_Toc15396599"/>
      <w:bookmarkStart w:id="16" w:name="_Toc15377196"/>
      <w:r>
        <w:rPr>
          <w:rFonts w:hint="default" w:ascii="Times New Roman" w:hAnsi="Times New Roman" w:eastAsia="仿宋_GB2312" w:cs="Times New Roman"/>
          <w:b/>
          <w:color w:val="auto"/>
          <w:sz w:val="30"/>
          <w:szCs w:val="30"/>
        </w:rPr>
        <w:br w:type="page"/>
      </w:r>
    </w:p>
    <w:p>
      <w:pPr>
        <w:pStyle w:val="3"/>
        <w:pageBreakBefore w:val="0"/>
        <w:kinsoku/>
        <w:wordWrap/>
        <w:overflowPunct/>
        <w:topLinePunct w:val="0"/>
        <w:bidi w:val="0"/>
        <w:spacing w:line="560" w:lineRule="exact"/>
        <w:jc w:val="center"/>
        <w:rPr>
          <w:rFonts w:hint="default" w:ascii="Times New Roman" w:hAnsi="Times New Roman" w:eastAsia="黑体" w:cs="Times New Roman"/>
          <w:color w:val="auto"/>
          <w:sz w:val="32"/>
          <w:szCs w:val="32"/>
        </w:rPr>
      </w:pPr>
      <w:bookmarkStart w:id="17" w:name="_Toc112248379"/>
      <w:r>
        <w:rPr>
          <w:rFonts w:hint="default" w:ascii="Times New Roman" w:hAnsi="Times New Roman" w:eastAsia="黑体" w:cs="Times New Roman"/>
          <w:b w:val="0"/>
          <w:color w:val="auto"/>
        </w:rPr>
        <w:t xml:space="preserve">第一部分 </w:t>
      </w:r>
      <w:r>
        <w:rPr>
          <w:rStyle w:val="33"/>
          <w:rFonts w:hint="default" w:ascii="Times New Roman" w:hAnsi="Times New Roman" w:eastAsia="黑体" w:cs="Times New Roman"/>
          <w:b w:val="0"/>
          <w:bCs w:val="0"/>
          <w:color w:val="auto"/>
        </w:rPr>
        <w:t>部门概况</w:t>
      </w:r>
      <w:bookmarkEnd w:id="15"/>
      <w:bookmarkEnd w:id="16"/>
      <w:bookmarkEnd w:id="17"/>
    </w:p>
    <w:p>
      <w:pPr>
        <w:pStyle w:val="4"/>
        <w:pageBreakBefore w:val="0"/>
        <w:numPr>
          <w:ilvl w:val="0"/>
          <w:numId w:val="1"/>
        </w:numPr>
        <w:kinsoku/>
        <w:wordWrap/>
        <w:overflowPunct/>
        <w:topLinePunct w:val="0"/>
        <w:bidi w:val="0"/>
        <w:spacing w:before="0" w:after="0" w:line="560" w:lineRule="exact"/>
        <w:rPr>
          <w:rStyle w:val="34"/>
          <w:rFonts w:hint="default" w:ascii="Times New Roman" w:hAnsi="Times New Roman" w:eastAsia="黑体" w:cs="Times New Roman"/>
          <w:b w:val="0"/>
          <w:bCs w:val="0"/>
          <w:color w:val="auto"/>
        </w:rPr>
      </w:pPr>
      <w:bookmarkStart w:id="18" w:name="_Toc15396600"/>
      <w:bookmarkStart w:id="19" w:name="_Toc15377197"/>
      <w:bookmarkStart w:id="20" w:name="_Toc112248380"/>
      <w:r>
        <w:rPr>
          <w:rFonts w:hint="default" w:ascii="Times New Roman" w:hAnsi="Times New Roman" w:eastAsia="黑体" w:cs="Times New Roman"/>
          <w:b w:val="0"/>
          <w:color w:val="auto"/>
        </w:rPr>
        <w:t>基</w:t>
      </w:r>
      <w:r>
        <w:rPr>
          <w:rStyle w:val="34"/>
          <w:rFonts w:hint="default" w:ascii="Times New Roman" w:hAnsi="Times New Roman" w:eastAsia="黑体" w:cs="Times New Roman"/>
          <w:b w:val="0"/>
          <w:bCs w:val="0"/>
          <w:color w:val="auto"/>
        </w:rPr>
        <w:t>本职能及主要工作</w:t>
      </w:r>
      <w:bookmarkEnd w:id="18"/>
      <w:bookmarkEnd w:id="19"/>
      <w:bookmarkEnd w:id="20"/>
      <w:bookmarkStart w:id="21" w:name="_Toc15377198"/>
      <w:bookmarkStart w:id="22" w:name="_Toc15378445"/>
    </w:p>
    <w:p>
      <w:pPr>
        <w:pStyle w:val="4"/>
        <w:pageBreakBefore w:val="0"/>
        <w:numPr>
          <w:ilvl w:val="0"/>
          <w:numId w:val="2"/>
        </w:numPr>
        <w:kinsoku/>
        <w:wordWrap/>
        <w:overflowPunct/>
        <w:topLinePunct w:val="0"/>
        <w:bidi w:val="0"/>
        <w:spacing w:before="0" w:after="0" w:line="560" w:lineRule="exact"/>
        <w:ind w:firstLine="642" w:firstLineChars="200"/>
        <w:rPr>
          <w:rFonts w:hint="default" w:ascii="Times New Roman" w:hAnsi="Times New Roman" w:eastAsia="楷体_GB2312" w:cs="Times New Roman"/>
          <w:color w:val="auto"/>
        </w:rPr>
      </w:pPr>
      <w:bookmarkStart w:id="23" w:name="_Toc112248381"/>
      <w:r>
        <w:rPr>
          <w:rFonts w:hint="default" w:ascii="Times New Roman" w:hAnsi="Times New Roman" w:eastAsia="楷体_GB2312" w:cs="Times New Roman"/>
          <w:color w:val="auto"/>
        </w:rPr>
        <w:t>主要职能。</w:t>
      </w:r>
      <w:bookmarkEnd w:id="21"/>
      <w:bookmarkEnd w:id="22"/>
      <w:bookmarkEnd w:id="23"/>
      <w:bookmarkStart w:id="24" w:name="_Toc15378446"/>
      <w:bookmarkStart w:id="25" w:name="_Toc15377199"/>
    </w:p>
    <w:p>
      <w:pPr>
        <w:pageBreakBefore w:val="0"/>
        <w:kinsoku/>
        <w:wordWrap/>
        <w:overflowPunct/>
        <w:topLinePunct w:val="0"/>
        <w:bidi w:val="0"/>
        <w:snapToGrid w:val="0"/>
        <w:spacing w:line="560" w:lineRule="exact"/>
        <w:ind w:firstLine="640" w:firstLineChars="200"/>
        <w:rPr>
          <w:rFonts w:hint="default" w:ascii="Times New Roman" w:hAnsi="Times New Roman" w:cs="Times New Roman"/>
          <w:bCs/>
          <w:color w:val="auto"/>
        </w:rPr>
      </w:pPr>
      <w:r>
        <w:rPr>
          <w:rFonts w:hint="default" w:ascii="Times New Roman" w:hAnsi="Times New Roman" w:eastAsia="仿宋_GB2312" w:cs="Times New Roman"/>
          <w:bCs/>
          <w:color w:val="auto"/>
          <w:sz w:val="32"/>
          <w:szCs w:val="32"/>
        </w:rPr>
        <w:t>1.贯彻实施国家有关国民经济和社会发展、经济体制改革的方针、政策和法律、法规。拟订全省有关国民经济和社会发展、经济体制改革的地方性法规、规章草案，负责本系统、本部门依法行政工作，落实行政执法责任制。</w:t>
      </w:r>
    </w:p>
    <w:p>
      <w:pPr>
        <w:pageBreakBefore w:val="0"/>
        <w:kinsoku/>
        <w:wordWrap/>
        <w:overflowPunct/>
        <w:topLinePunct w:val="0"/>
        <w:bidi w:val="0"/>
        <w:snapToGrid w:val="0"/>
        <w:spacing w:line="560" w:lineRule="exact"/>
        <w:ind w:firstLine="640" w:firstLineChars="200"/>
        <w:rPr>
          <w:rFonts w:hint="default" w:ascii="Times New Roman" w:hAnsi="Times New Roman" w:cs="Times New Roman"/>
          <w:bCs/>
          <w:color w:val="auto"/>
        </w:rPr>
      </w:pPr>
      <w:r>
        <w:rPr>
          <w:rFonts w:hint="default" w:ascii="Times New Roman" w:hAnsi="Times New Roman" w:eastAsia="仿宋_GB2312" w:cs="Times New Roman"/>
          <w:bCs/>
          <w:color w:val="auto"/>
          <w:sz w:val="32"/>
          <w:szCs w:val="32"/>
        </w:rPr>
        <w:t>2.负责拟订并组织实施全省国民经济和社会发展战略、中长期规划和年度计划，统筹协调全省经济社会发展，研究分析宏观经济形势，提出全省经济社会发展、经济结构优化、价格总水平调控目标和政策建议。受省政府委托向省人大提交国民经济和社会发展计划报告。</w:t>
      </w:r>
    </w:p>
    <w:p>
      <w:pPr>
        <w:pageBreakBefore w:val="0"/>
        <w:kinsoku/>
        <w:wordWrap/>
        <w:overflowPunct/>
        <w:topLinePunct w:val="0"/>
        <w:bidi w:val="0"/>
        <w:snapToGrid w:val="0"/>
        <w:spacing w:line="560" w:lineRule="exact"/>
        <w:ind w:firstLine="640" w:firstLineChars="200"/>
        <w:rPr>
          <w:rFonts w:hint="default" w:ascii="Times New Roman" w:hAnsi="Times New Roman" w:cs="Times New Roman"/>
          <w:bCs/>
          <w:color w:val="auto"/>
        </w:rPr>
      </w:pPr>
      <w:r>
        <w:rPr>
          <w:rFonts w:hint="default" w:ascii="Times New Roman" w:hAnsi="Times New Roman" w:eastAsia="仿宋_GB2312" w:cs="Times New Roman"/>
          <w:bCs/>
          <w:color w:val="auto"/>
          <w:sz w:val="32"/>
          <w:szCs w:val="32"/>
        </w:rPr>
        <w:t>3.负责监测宏观经济和社会发展态势，承担预测预警和信息引导的责任，研究宏观调控重大问题并提出政策建议，搞好总量平衡，综合协调经济社会发展中的重大问题。负责省级以上开发区的指导、协调和宏观管理。</w:t>
      </w:r>
    </w:p>
    <w:p>
      <w:pPr>
        <w:pageBreakBefore w:val="0"/>
        <w:kinsoku/>
        <w:wordWrap/>
        <w:overflowPunct/>
        <w:topLinePunct w:val="0"/>
        <w:bidi w:val="0"/>
        <w:snapToGrid w:val="0"/>
        <w:spacing w:line="560" w:lineRule="exact"/>
        <w:ind w:firstLine="640" w:firstLineChars="200"/>
        <w:rPr>
          <w:rFonts w:hint="default" w:ascii="Times New Roman" w:hAnsi="Times New Roman" w:cs="Times New Roman"/>
          <w:bCs/>
          <w:color w:val="auto"/>
        </w:rPr>
      </w:pPr>
      <w:r>
        <w:rPr>
          <w:rFonts w:hint="default" w:ascii="Times New Roman" w:hAnsi="Times New Roman" w:eastAsia="仿宋_GB2312" w:cs="Times New Roman"/>
          <w:bCs/>
          <w:color w:val="auto"/>
          <w:sz w:val="32"/>
          <w:szCs w:val="32"/>
        </w:rPr>
        <w:t>4.负责汇总分析全省财政、金融等方面情况，参与制订财政、金融、土地政策，综合分析政策执行效果，负责全省全口径外债管理有关工作，提出多渠道融资的政策建议，综合协调财政、金融、价格和产业政策等经济杠杆，保证全省国民经济计划和发展规划的实施。</w:t>
      </w:r>
    </w:p>
    <w:p>
      <w:pPr>
        <w:pageBreakBefore w:val="0"/>
        <w:kinsoku/>
        <w:wordWrap/>
        <w:overflowPunct/>
        <w:topLinePunct w:val="0"/>
        <w:bidi w:val="0"/>
        <w:snapToGrid w:val="0"/>
        <w:spacing w:line="560" w:lineRule="exact"/>
        <w:ind w:firstLine="640" w:firstLineChars="200"/>
        <w:rPr>
          <w:rFonts w:hint="default" w:ascii="Times New Roman" w:hAnsi="Times New Roman" w:cs="Times New Roman"/>
          <w:bCs/>
          <w:color w:val="auto"/>
        </w:rPr>
      </w:pPr>
      <w:r>
        <w:rPr>
          <w:rFonts w:hint="default" w:ascii="Times New Roman" w:hAnsi="Times New Roman" w:eastAsia="仿宋_GB2312" w:cs="Times New Roman"/>
          <w:bCs/>
          <w:color w:val="auto"/>
          <w:sz w:val="32"/>
          <w:szCs w:val="32"/>
        </w:rPr>
        <w:t>5.承担指导推进和综合协调全省经济体制改革的责任，研究经济体制改革和对外开放的重大问题，组织拟订综合性经济体制改革方案，协调有关专项经济体制改革方案，会同有关部门搞好重要专项经济体制改革之间的衔接，指导经济体制改革试点和改革试验区工作。</w:t>
      </w:r>
    </w:p>
    <w:p>
      <w:pPr>
        <w:pageBreakBefore w:val="0"/>
        <w:kinsoku/>
        <w:wordWrap/>
        <w:overflowPunct/>
        <w:topLinePunct w:val="0"/>
        <w:bidi w:val="0"/>
        <w:snapToGrid w:val="0"/>
        <w:spacing w:line="560" w:lineRule="exact"/>
        <w:ind w:firstLine="640" w:firstLineChars="200"/>
        <w:rPr>
          <w:rFonts w:hint="default" w:ascii="Times New Roman" w:hAnsi="Times New Roman" w:cs="Times New Roman"/>
          <w:bCs/>
          <w:color w:val="auto"/>
        </w:rPr>
      </w:pPr>
      <w:r>
        <w:rPr>
          <w:rFonts w:hint="default" w:ascii="Times New Roman" w:hAnsi="Times New Roman" w:eastAsia="仿宋_GB2312" w:cs="Times New Roman"/>
          <w:bCs/>
          <w:color w:val="auto"/>
          <w:sz w:val="32"/>
          <w:szCs w:val="32"/>
        </w:rPr>
        <w:t>6.贯彻实施国家和省价格法律、法规和方针、政策，编制和执行价格调整改革规划，提出年度价格总水平调控目标及价格调控措施并组织实施，管理国家、省列名管理的商品和服务价格，承担行政事业性收费管理工作，负责全省价格成本调查监审、价格监测、价格认证等工作。</w:t>
      </w:r>
    </w:p>
    <w:p>
      <w:pPr>
        <w:pageBreakBefore w:val="0"/>
        <w:kinsoku/>
        <w:wordWrap/>
        <w:overflowPunct/>
        <w:topLinePunct w:val="0"/>
        <w:bidi w:val="0"/>
        <w:snapToGrid w:val="0"/>
        <w:spacing w:line="560" w:lineRule="exact"/>
        <w:ind w:firstLine="640" w:firstLineChars="200"/>
        <w:rPr>
          <w:rFonts w:hint="default" w:ascii="Times New Roman" w:hAnsi="Times New Roman" w:cs="Times New Roman"/>
          <w:bCs/>
          <w:color w:val="auto"/>
        </w:rPr>
      </w:pPr>
      <w:r>
        <w:rPr>
          <w:rFonts w:hint="default" w:ascii="Times New Roman" w:hAnsi="Times New Roman" w:eastAsia="仿宋_GB2312" w:cs="Times New Roman"/>
          <w:bCs/>
          <w:color w:val="auto"/>
          <w:sz w:val="32"/>
          <w:szCs w:val="32"/>
        </w:rPr>
        <w:t>7.负责全省投资宏观管理和协调推进重大项目建设。拟订全社会固定资产投资总规模和投资结构的调控目标、政策及措施，安排省级预算内基本建设资金，按规定权限审批、核准、备案或转报固定资产投资项目（企业技术改造项目除外）和资源开发利用、外资、境外投资项目。引导民间投资方向，研究提出利用外资和境外投资的规划、总量平衡和结构优化的目标和政策，指导和协调国外贷款项目实施。</w:t>
      </w:r>
    </w:p>
    <w:p>
      <w:pPr>
        <w:pageBreakBefore w:val="0"/>
        <w:kinsoku/>
        <w:wordWrap/>
        <w:overflowPunct/>
        <w:topLinePunct w:val="0"/>
        <w:bidi w:val="0"/>
        <w:snapToGrid w:val="0"/>
        <w:spacing w:line="560" w:lineRule="exact"/>
        <w:ind w:firstLine="640" w:firstLineChars="200"/>
        <w:rPr>
          <w:rFonts w:hint="default" w:ascii="Times New Roman" w:hAnsi="Times New Roman" w:cs="Times New Roman"/>
          <w:bCs/>
          <w:color w:val="auto"/>
        </w:rPr>
      </w:pPr>
      <w:r>
        <w:rPr>
          <w:rFonts w:hint="default" w:ascii="Times New Roman" w:hAnsi="Times New Roman" w:eastAsia="仿宋_GB2312" w:cs="Times New Roman"/>
          <w:bCs/>
          <w:color w:val="auto"/>
          <w:sz w:val="32"/>
          <w:szCs w:val="32"/>
        </w:rPr>
        <w:t>8.推进经济结构战略性调整。组织拟订全省综合性产业政策，负责协调第一、二、三产业发展的重大问题，衔接平衡相关发展规划和重大政策，拟订重大产业发展规划，引导全省重大生产力合理布局，协调推进全省重大技术装备推广应用和重大产业基地建设，会同有关部门拟订服务业、现代物流业发展战略、规划和重大政策。组织拟订高技术产业发展、产业技术进步的战略、规划和重大政策，指导全省自主创新体系建设发展。</w:t>
      </w:r>
    </w:p>
    <w:p>
      <w:pPr>
        <w:pageBreakBefore w:val="0"/>
        <w:kinsoku/>
        <w:wordWrap/>
        <w:overflowPunct/>
        <w:topLinePunct w:val="0"/>
        <w:bidi w:val="0"/>
        <w:snapToGrid w:val="0"/>
        <w:spacing w:line="560" w:lineRule="exact"/>
        <w:ind w:firstLine="640" w:firstLineChars="200"/>
        <w:rPr>
          <w:rFonts w:hint="default" w:ascii="Times New Roman" w:hAnsi="Times New Roman" w:cs="Times New Roman"/>
          <w:bCs/>
          <w:color w:val="auto"/>
        </w:rPr>
      </w:pPr>
      <w:r>
        <w:rPr>
          <w:rFonts w:hint="default" w:ascii="Times New Roman" w:hAnsi="Times New Roman" w:eastAsia="仿宋_GB2312" w:cs="Times New Roman"/>
          <w:bCs/>
          <w:color w:val="auto"/>
          <w:sz w:val="32"/>
          <w:szCs w:val="32"/>
        </w:rPr>
        <w:t>9.促进城乡区域协调发展。组织拟订区域协调发展战略、规划和重大政策，研究提出城镇化发展战略，负责地区经济协作的统筹协调。</w:t>
      </w:r>
    </w:p>
    <w:p>
      <w:pPr>
        <w:pageBreakBefore w:val="0"/>
        <w:kinsoku/>
        <w:wordWrap/>
        <w:overflowPunct/>
        <w:topLinePunct w:val="0"/>
        <w:bidi w:val="0"/>
        <w:snapToGrid w:val="0"/>
        <w:spacing w:line="560" w:lineRule="exact"/>
        <w:ind w:firstLine="640" w:firstLineChars="200"/>
        <w:rPr>
          <w:rFonts w:hint="default" w:ascii="Times New Roman" w:hAnsi="Times New Roman" w:cs="Times New Roman"/>
          <w:bCs/>
          <w:color w:val="auto"/>
        </w:rPr>
      </w:pPr>
      <w:r>
        <w:rPr>
          <w:rFonts w:hint="default" w:ascii="Times New Roman" w:hAnsi="Times New Roman" w:eastAsia="仿宋_GB2312" w:cs="Times New Roman"/>
          <w:bCs/>
          <w:color w:val="auto"/>
          <w:sz w:val="32"/>
          <w:szCs w:val="32"/>
        </w:rPr>
        <w:t>10.负责重要商品总量平衡和宏观调控。研究分析省内外市场和对外贸易运行情况，会同有关部门管理重要物资的省级储备工作。</w:t>
      </w:r>
    </w:p>
    <w:p>
      <w:pPr>
        <w:pageBreakBefore w:val="0"/>
        <w:kinsoku/>
        <w:wordWrap/>
        <w:overflowPunct/>
        <w:topLinePunct w:val="0"/>
        <w:bidi w:val="0"/>
        <w:snapToGrid w:val="0"/>
        <w:spacing w:line="560" w:lineRule="exact"/>
        <w:ind w:firstLine="640" w:firstLineChars="200"/>
        <w:rPr>
          <w:rFonts w:hint="default" w:ascii="Times New Roman" w:hAnsi="Times New Roman" w:cs="Times New Roman"/>
          <w:bCs/>
          <w:color w:val="auto"/>
        </w:rPr>
      </w:pPr>
      <w:r>
        <w:rPr>
          <w:rFonts w:hint="default" w:ascii="Times New Roman" w:hAnsi="Times New Roman" w:eastAsia="仿宋_GB2312" w:cs="Times New Roman"/>
          <w:bCs/>
          <w:color w:val="auto"/>
          <w:sz w:val="32"/>
          <w:szCs w:val="32"/>
        </w:rPr>
        <w:t>11.负责全省社会发展与国民经济发展的政策衔接，组织拟订社会发展战略、总体规划和年度计划，研究提出促进就业、调整收入分配、完善社会保障与经济协调发展的政策建议，协调社会事业发展中的重大问题及政策。</w:t>
      </w:r>
    </w:p>
    <w:p>
      <w:pPr>
        <w:pageBreakBefore w:val="0"/>
        <w:kinsoku/>
        <w:wordWrap/>
        <w:overflowPunct/>
        <w:topLinePunct w:val="0"/>
        <w:bidi w:val="0"/>
        <w:snapToGrid w:val="0"/>
        <w:spacing w:line="560" w:lineRule="exact"/>
        <w:ind w:firstLine="640" w:firstLineChars="200"/>
        <w:rPr>
          <w:rFonts w:hint="default" w:ascii="Times New Roman" w:hAnsi="Times New Roman" w:cs="Times New Roman"/>
          <w:bCs/>
          <w:color w:val="auto"/>
        </w:rPr>
      </w:pPr>
      <w:r>
        <w:rPr>
          <w:rFonts w:hint="default" w:ascii="Times New Roman" w:hAnsi="Times New Roman" w:eastAsia="仿宋_GB2312" w:cs="Times New Roman"/>
          <w:bCs/>
          <w:color w:val="auto"/>
          <w:sz w:val="32"/>
          <w:szCs w:val="32"/>
        </w:rPr>
        <w:t>12.推进可持续发展，负责全省节能的综合协调工作，组织拟订并协调实施全省发展循环经济、能源资源节约和综合利用规划及政策措施，参与编制生态建设规划，协调生态建设、能源资源节约和综合利用的重大问题，综合协调环保产业和清洁生产促进有关工作。</w:t>
      </w:r>
    </w:p>
    <w:p>
      <w:pPr>
        <w:pageBreakBefore w:val="0"/>
        <w:kinsoku/>
        <w:wordWrap/>
        <w:overflowPunct/>
        <w:topLinePunct w:val="0"/>
        <w:bidi w:val="0"/>
        <w:snapToGrid w:val="0"/>
        <w:spacing w:line="560" w:lineRule="exact"/>
        <w:ind w:firstLine="640" w:firstLineChars="200"/>
        <w:rPr>
          <w:rFonts w:hint="default" w:ascii="Times New Roman" w:hAnsi="Times New Roman" w:cs="Times New Roman"/>
          <w:bCs/>
          <w:color w:val="auto"/>
        </w:rPr>
      </w:pPr>
      <w:r>
        <w:rPr>
          <w:rFonts w:hint="default" w:ascii="Times New Roman" w:hAnsi="Times New Roman" w:eastAsia="仿宋_GB2312" w:cs="Times New Roman"/>
          <w:bCs/>
          <w:color w:val="auto"/>
          <w:sz w:val="32"/>
          <w:szCs w:val="32"/>
        </w:rPr>
        <w:t>13.会同有关部门拟订民族地区、革命老区、贫困地区经济发展规划，会同有关部门制定加快民族地区、革命老区、贫困地区经济发展的重大政策，协调推进重大项目建设。</w:t>
      </w:r>
    </w:p>
    <w:p>
      <w:pPr>
        <w:pageBreakBefore w:val="0"/>
        <w:kinsoku/>
        <w:wordWrap/>
        <w:overflowPunct/>
        <w:topLinePunct w:val="0"/>
        <w:bidi w:val="0"/>
        <w:snapToGrid w:val="0"/>
        <w:spacing w:line="560" w:lineRule="exact"/>
        <w:ind w:firstLine="640" w:firstLineChars="200"/>
        <w:rPr>
          <w:rFonts w:hint="default" w:ascii="Times New Roman" w:hAnsi="Times New Roman" w:cs="Times New Roman"/>
          <w:bCs/>
          <w:color w:val="auto"/>
        </w:rPr>
      </w:pPr>
      <w:r>
        <w:rPr>
          <w:rFonts w:hint="default" w:ascii="Times New Roman" w:hAnsi="Times New Roman" w:eastAsia="仿宋_GB2312" w:cs="Times New Roman"/>
          <w:bCs/>
          <w:color w:val="auto"/>
          <w:sz w:val="32"/>
          <w:szCs w:val="32"/>
        </w:rPr>
        <w:t>14.指导、协调并综合管理全省招标投标工作。</w:t>
      </w:r>
    </w:p>
    <w:p>
      <w:pPr>
        <w:pageBreakBefore w:val="0"/>
        <w:kinsoku/>
        <w:wordWrap/>
        <w:overflowPunct/>
        <w:topLinePunct w:val="0"/>
        <w:bidi w:val="0"/>
        <w:snapToGrid w:val="0"/>
        <w:spacing w:line="560" w:lineRule="exact"/>
        <w:ind w:firstLine="640" w:firstLineChars="200"/>
        <w:rPr>
          <w:rFonts w:hint="default" w:ascii="Times New Roman" w:hAnsi="Times New Roman" w:cs="Times New Roman"/>
          <w:bCs/>
          <w:color w:val="auto"/>
        </w:rPr>
      </w:pPr>
      <w:r>
        <w:rPr>
          <w:rFonts w:hint="default" w:ascii="Times New Roman" w:hAnsi="Times New Roman" w:eastAsia="仿宋_GB2312" w:cs="Times New Roman"/>
          <w:bCs/>
          <w:color w:val="auto"/>
          <w:sz w:val="32"/>
          <w:szCs w:val="32"/>
        </w:rPr>
        <w:t>15.负责组织协调和处理全省铁路、机场建设项目前期工作、征地拆迁、建设过程中涉及的重大问题，做好全省铁路、机场建设规划及年度计划编制的相关工作。</w:t>
      </w:r>
    </w:p>
    <w:p>
      <w:pPr>
        <w:pageBreakBefore w:val="0"/>
        <w:kinsoku/>
        <w:wordWrap/>
        <w:overflowPunct/>
        <w:topLinePunct w:val="0"/>
        <w:bidi w:val="0"/>
        <w:snapToGrid w:val="0"/>
        <w:spacing w:line="560" w:lineRule="exact"/>
        <w:ind w:firstLine="640" w:firstLineChars="200"/>
        <w:rPr>
          <w:rFonts w:hint="default" w:ascii="Times New Roman" w:hAnsi="Times New Roman" w:cs="Times New Roman"/>
          <w:bCs/>
          <w:color w:val="auto"/>
        </w:rPr>
      </w:pPr>
      <w:r>
        <w:rPr>
          <w:rFonts w:hint="default" w:ascii="Times New Roman" w:hAnsi="Times New Roman" w:eastAsia="仿宋_GB2312" w:cs="Times New Roman"/>
          <w:bCs/>
          <w:color w:val="auto"/>
          <w:sz w:val="32"/>
          <w:szCs w:val="32"/>
        </w:rPr>
        <w:t>16.承担省实施西部大开发领导小组（省攀西地区资源开发领导小组）、省重点项目领导小组等具体工作。</w:t>
      </w:r>
    </w:p>
    <w:p>
      <w:pPr>
        <w:pageBreakBefore w:val="0"/>
        <w:kinsoku/>
        <w:wordWrap/>
        <w:overflowPunct/>
        <w:topLinePunct w:val="0"/>
        <w:bidi w:val="0"/>
        <w:snapToGrid w:val="0"/>
        <w:spacing w:line="560" w:lineRule="exact"/>
        <w:ind w:firstLine="640" w:firstLineChars="200"/>
        <w:rPr>
          <w:rFonts w:hint="default" w:ascii="Times New Roman" w:hAnsi="Times New Roman" w:cs="Times New Roman"/>
          <w:bCs/>
          <w:color w:val="auto"/>
        </w:rPr>
      </w:pPr>
      <w:r>
        <w:rPr>
          <w:rFonts w:hint="default" w:ascii="Times New Roman" w:hAnsi="Times New Roman" w:eastAsia="仿宋_GB2312" w:cs="Times New Roman"/>
          <w:bCs/>
          <w:color w:val="auto"/>
          <w:sz w:val="32"/>
          <w:szCs w:val="32"/>
        </w:rPr>
        <w:t>17.承担省政府公布的有关行政审批事项。</w:t>
      </w:r>
    </w:p>
    <w:p>
      <w:pPr>
        <w:pageBreakBefore w:val="0"/>
        <w:kinsoku/>
        <w:wordWrap/>
        <w:overflowPunct/>
        <w:topLinePunct w:val="0"/>
        <w:bidi w:val="0"/>
        <w:snapToGrid w:val="0"/>
        <w:spacing w:line="560" w:lineRule="exact"/>
        <w:ind w:firstLine="640" w:firstLineChars="200"/>
        <w:rPr>
          <w:rFonts w:hint="default" w:ascii="Times New Roman" w:hAnsi="Times New Roman" w:cs="Times New Roman"/>
          <w:bCs/>
          <w:color w:val="auto"/>
        </w:rPr>
      </w:pPr>
      <w:r>
        <w:rPr>
          <w:rFonts w:hint="default" w:ascii="Times New Roman" w:hAnsi="Times New Roman" w:eastAsia="仿宋_GB2312" w:cs="Times New Roman"/>
          <w:bCs/>
          <w:color w:val="auto"/>
          <w:sz w:val="32"/>
          <w:szCs w:val="32"/>
        </w:rPr>
        <w:t>18.承办省政府交办的其他事项。</w:t>
      </w:r>
    </w:p>
    <w:p>
      <w:pPr>
        <w:pStyle w:val="8"/>
        <w:pageBreakBefore w:val="0"/>
        <w:kinsoku/>
        <w:wordWrap/>
        <w:overflowPunct/>
        <w:topLinePunct w:val="0"/>
        <w:bidi w:val="0"/>
        <w:adjustRightInd w:val="0"/>
        <w:snapToGrid w:val="0"/>
        <w:spacing w:beforeLines="0" w:line="560" w:lineRule="exact"/>
        <w:ind w:firstLine="674" w:firstLineChars="210"/>
        <w:outlineLvl w:val="2"/>
        <w:rPr>
          <w:rFonts w:hint="default" w:ascii="Times New Roman" w:hAnsi="Times New Roman" w:eastAsia="楷体_GB2312" w:cs="Times New Roman"/>
          <w:b/>
          <w:bCs w:val="0"/>
          <w:color w:val="auto"/>
          <w:sz w:val="32"/>
          <w:szCs w:val="32"/>
        </w:rPr>
      </w:pPr>
      <w:bookmarkStart w:id="26" w:name="_Toc112248382"/>
      <w:r>
        <w:rPr>
          <w:rFonts w:hint="default" w:ascii="Times New Roman" w:hAnsi="Times New Roman" w:eastAsia="楷体_GB2312" w:cs="Times New Roman"/>
          <w:b/>
          <w:bCs w:val="0"/>
          <w:color w:val="auto"/>
          <w:sz w:val="32"/>
          <w:szCs w:val="32"/>
        </w:rPr>
        <w:t>（二）2021年重点工作完成情况。</w:t>
      </w:r>
      <w:bookmarkEnd w:id="24"/>
      <w:bookmarkEnd w:id="25"/>
      <w:bookmarkEnd w:id="26"/>
    </w:p>
    <w:p>
      <w:pPr>
        <w:pStyle w:val="20"/>
        <w:pageBreakBefore w:val="0"/>
        <w:widowControl/>
        <w:shd w:val="clear" w:color="auto" w:fill="FFFFFF"/>
        <w:kinsoku/>
        <w:wordWrap/>
        <w:overflowPunct/>
        <w:topLinePunct w:val="0"/>
        <w:bidi w:val="0"/>
        <w:adjustRightInd w:val="0"/>
        <w:snapToGrid w:val="0"/>
        <w:spacing w:beforeAutospacing="0" w:afterAutospacing="0" w:line="560" w:lineRule="exact"/>
        <w:ind w:firstLine="640" w:firstLineChars="200"/>
        <w:jc w:val="both"/>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一是坚持把稳增长放在突出位置，强化“周监测、月调度、季盘点”，充分发挥投资关键作用，努力推动经济稳中加固、稳中向好</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二是强化统筹协调，推动“十四五”规划落地落实</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三是强化协同联动，推动双城经济圈建设成势见效</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四是强化创新驱动，推动特色优势产业竞争力提升。五是强化生态保护，推动绿色低碳转型发展</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六是强化民生保障，推动民生领域补短板强弱项。</w:t>
      </w:r>
    </w:p>
    <w:p>
      <w:pPr>
        <w:pStyle w:val="4"/>
        <w:pageBreakBefore w:val="0"/>
        <w:kinsoku/>
        <w:wordWrap/>
        <w:overflowPunct/>
        <w:topLinePunct w:val="0"/>
        <w:bidi w:val="0"/>
        <w:spacing w:before="0" w:after="0" w:line="560" w:lineRule="exact"/>
        <w:ind w:firstLine="640" w:firstLineChars="200"/>
        <w:rPr>
          <w:rStyle w:val="34"/>
          <w:rFonts w:hint="default" w:ascii="Times New Roman" w:hAnsi="Times New Roman" w:cs="Times New Roman"/>
          <w:b w:val="0"/>
          <w:bCs w:val="0"/>
          <w:color w:val="auto"/>
        </w:rPr>
      </w:pPr>
      <w:bookmarkStart w:id="27" w:name="_Toc112248383"/>
      <w:bookmarkStart w:id="28" w:name="_Toc15377200"/>
      <w:bookmarkStart w:id="29" w:name="_Toc15396601"/>
      <w:r>
        <w:rPr>
          <w:rFonts w:hint="default" w:ascii="Times New Roman" w:hAnsi="Times New Roman" w:eastAsia="黑体" w:cs="Times New Roman"/>
          <w:b w:val="0"/>
          <w:color w:val="auto"/>
        </w:rPr>
        <w:t>二、机</w:t>
      </w:r>
      <w:r>
        <w:rPr>
          <w:rStyle w:val="34"/>
          <w:rFonts w:hint="default" w:ascii="Times New Roman" w:hAnsi="Times New Roman" w:eastAsia="黑体" w:cs="Times New Roman"/>
          <w:b w:val="0"/>
          <w:bCs w:val="0"/>
          <w:color w:val="auto"/>
        </w:rPr>
        <w:t>构设置</w:t>
      </w:r>
      <w:bookmarkEnd w:id="27"/>
      <w:bookmarkEnd w:id="28"/>
      <w:bookmarkEnd w:id="29"/>
    </w:p>
    <w:p>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四川省发展和改革委员会下属二级单位12个，其中行政单位3个，参照公务员法管理的事业单位</w:t>
      </w:r>
      <w:r>
        <w:rPr>
          <w:rFonts w:hint="default" w:ascii="Times New Roman" w:hAnsi="Times New Roman" w:eastAsia="仿宋_GB2312" w:cs="Times New Roman"/>
          <w:bCs/>
          <w:color w:val="auto"/>
          <w:sz w:val="32"/>
          <w:szCs w:val="32"/>
        </w:rPr>
        <w:t>2</w:t>
      </w:r>
      <w:r>
        <w:rPr>
          <w:rFonts w:hint="default" w:ascii="Times New Roman" w:hAnsi="Times New Roman" w:eastAsia="仿宋_GB2312" w:cs="Times New Roman"/>
          <w:color w:val="auto"/>
          <w:sz w:val="32"/>
          <w:szCs w:val="32"/>
        </w:rPr>
        <w:t>个，其他事业单位7个。</w:t>
      </w:r>
    </w:p>
    <w:p>
      <w:pPr>
        <w:pStyle w:val="8"/>
        <w:pageBreakBefore w:val="0"/>
        <w:kinsoku/>
        <w:wordWrap/>
        <w:overflowPunct/>
        <w:topLinePunct w:val="0"/>
        <w:bidi w:val="0"/>
        <w:adjustRightInd w:val="0"/>
        <w:snapToGrid w:val="0"/>
        <w:spacing w:beforeLines="0" w:line="560" w:lineRule="exact"/>
        <w:ind w:firstLine="672" w:firstLineChars="21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纳入四川省发展和改革委员会2021年度部门决算编制范围的二级预算单位包括：</w:t>
      </w:r>
    </w:p>
    <w:p>
      <w:pPr>
        <w:pStyle w:val="8"/>
        <w:pageBreakBefore w:val="0"/>
        <w:numPr>
          <w:ilvl w:val="0"/>
          <w:numId w:val="3"/>
        </w:numPr>
        <w:kinsoku/>
        <w:wordWrap/>
        <w:overflowPunct/>
        <w:topLinePunct w:val="0"/>
        <w:bidi w:val="0"/>
        <w:adjustRightInd w:val="0"/>
        <w:snapToGrid w:val="0"/>
        <w:spacing w:beforeLines="0" w:line="560" w:lineRule="exact"/>
        <w:outlineLvl w:val="2"/>
        <w:rPr>
          <w:rFonts w:hint="default" w:ascii="Times New Roman" w:hAnsi="Times New Roman" w:cs="Times New Roman"/>
          <w:color w:val="auto"/>
          <w:sz w:val="32"/>
          <w:szCs w:val="32"/>
        </w:rPr>
      </w:pPr>
      <w:bookmarkStart w:id="30" w:name="_Toc112248384"/>
      <w:bookmarkStart w:id="31" w:name="_Toc15377433"/>
      <w:bookmarkStart w:id="32" w:name="_Toc15377202"/>
      <w:bookmarkStart w:id="33" w:name="_Toc15378449"/>
      <w:bookmarkStart w:id="34" w:name="_Toc15306276"/>
      <w:r>
        <w:rPr>
          <w:rFonts w:hint="default" w:ascii="Times New Roman" w:hAnsi="Times New Roman" w:cs="Times New Roman"/>
          <w:color w:val="auto"/>
          <w:sz w:val="32"/>
          <w:szCs w:val="32"/>
        </w:rPr>
        <w:t>四川省发展和改革委员会</w:t>
      </w:r>
      <w:r>
        <w:rPr>
          <w:rFonts w:hint="eastAsia" w:ascii="Times New Roman" w:cs="Times New Roman"/>
          <w:color w:val="auto"/>
          <w:sz w:val="32"/>
          <w:szCs w:val="32"/>
          <w:lang w:eastAsia="zh-CN"/>
        </w:rPr>
        <w:t>（</w:t>
      </w:r>
      <w:r>
        <w:rPr>
          <w:rFonts w:hint="default" w:ascii="Times New Roman" w:hAnsi="Times New Roman" w:cs="Times New Roman"/>
          <w:color w:val="auto"/>
          <w:sz w:val="32"/>
          <w:szCs w:val="32"/>
        </w:rPr>
        <w:t>本级）</w:t>
      </w:r>
      <w:bookmarkEnd w:id="30"/>
    </w:p>
    <w:p>
      <w:pPr>
        <w:pStyle w:val="8"/>
        <w:pageBreakBefore w:val="0"/>
        <w:numPr>
          <w:ilvl w:val="0"/>
          <w:numId w:val="3"/>
        </w:numPr>
        <w:kinsoku/>
        <w:wordWrap/>
        <w:overflowPunct/>
        <w:topLinePunct w:val="0"/>
        <w:bidi w:val="0"/>
        <w:adjustRightInd w:val="0"/>
        <w:snapToGrid w:val="0"/>
        <w:spacing w:beforeLines="0" w:line="560" w:lineRule="exact"/>
        <w:outlineLvl w:val="2"/>
        <w:rPr>
          <w:rFonts w:hint="default" w:ascii="Times New Roman" w:hAnsi="Times New Roman" w:cs="Times New Roman"/>
          <w:color w:val="auto"/>
          <w:sz w:val="32"/>
          <w:szCs w:val="32"/>
        </w:rPr>
      </w:pPr>
      <w:bookmarkStart w:id="35" w:name="_Toc112248385"/>
      <w:r>
        <w:rPr>
          <w:rFonts w:hint="default" w:ascii="Times New Roman" w:hAnsi="Times New Roman" w:cs="Times New Roman"/>
          <w:color w:val="auto"/>
          <w:sz w:val="32"/>
          <w:szCs w:val="32"/>
        </w:rPr>
        <w:t>四川省发展和改革委员会机关服务中心</w:t>
      </w:r>
      <w:bookmarkEnd w:id="35"/>
    </w:p>
    <w:p>
      <w:pPr>
        <w:pStyle w:val="8"/>
        <w:pageBreakBefore w:val="0"/>
        <w:numPr>
          <w:ilvl w:val="0"/>
          <w:numId w:val="3"/>
        </w:numPr>
        <w:kinsoku/>
        <w:wordWrap/>
        <w:overflowPunct/>
        <w:topLinePunct w:val="0"/>
        <w:bidi w:val="0"/>
        <w:adjustRightInd w:val="0"/>
        <w:snapToGrid w:val="0"/>
        <w:spacing w:beforeLines="0" w:line="560" w:lineRule="exact"/>
        <w:outlineLvl w:val="2"/>
        <w:rPr>
          <w:rFonts w:hint="default" w:ascii="Times New Roman" w:hAnsi="Times New Roman" w:cs="Times New Roman"/>
          <w:color w:val="auto"/>
          <w:sz w:val="32"/>
          <w:szCs w:val="32"/>
        </w:rPr>
      </w:pPr>
      <w:bookmarkStart w:id="36" w:name="_Toc112248386"/>
      <w:r>
        <w:rPr>
          <w:rFonts w:hint="default" w:ascii="Times New Roman" w:hAnsi="Times New Roman" w:cs="Times New Roman"/>
          <w:color w:val="auto"/>
          <w:sz w:val="32"/>
          <w:szCs w:val="32"/>
        </w:rPr>
        <w:t>四川省总部经济发展中心（原四川省对外交流合作中心）</w:t>
      </w:r>
      <w:bookmarkEnd w:id="36"/>
    </w:p>
    <w:p>
      <w:pPr>
        <w:pStyle w:val="8"/>
        <w:pageBreakBefore w:val="0"/>
        <w:numPr>
          <w:ilvl w:val="0"/>
          <w:numId w:val="3"/>
        </w:numPr>
        <w:kinsoku/>
        <w:wordWrap/>
        <w:overflowPunct/>
        <w:topLinePunct w:val="0"/>
        <w:bidi w:val="0"/>
        <w:adjustRightInd w:val="0"/>
        <w:snapToGrid w:val="0"/>
        <w:spacing w:beforeLines="0" w:line="560" w:lineRule="exact"/>
        <w:outlineLvl w:val="2"/>
        <w:rPr>
          <w:rFonts w:hint="default" w:ascii="Times New Roman" w:hAnsi="Times New Roman" w:cs="Times New Roman"/>
          <w:color w:val="auto"/>
          <w:sz w:val="32"/>
          <w:szCs w:val="32"/>
        </w:rPr>
      </w:pPr>
      <w:bookmarkStart w:id="37" w:name="_Toc112248387"/>
      <w:r>
        <w:rPr>
          <w:rFonts w:hint="default" w:ascii="Times New Roman" w:hAnsi="Times New Roman" w:cs="Times New Roman"/>
          <w:color w:val="auto"/>
          <w:sz w:val="32"/>
          <w:szCs w:val="32"/>
        </w:rPr>
        <w:t>四川省成本调查监审局</w:t>
      </w:r>
      <w:bookmarkEnd w:id="37"/>
    </w:p>
    <w:p>
      <w:pPr>
        <w:pStyle w:val="8"/>
        <w:pageBreakBefore w:val="0"/>
        <w:numPr>
          <w:ilvl w:val="0"/>
          <w:numId w:val="3"/>
        </w:numPr>
        <w:kinsoku/>
        <w:wordWrap/>
        <w:overflowPunct/>
        <w:topLinePunct w:val="0"/>
        <w:bidi w:val="0"/>
        <w:adjustRightInd w:val="0"/>
        <w:snapToGrid w:val="0"/>
        <w:spacing w:beforeLines="0" w:line="560" w:lineRule="exact"/>
        <w:outlineLvl w:val="2"/>
        <w:rPr>
          <w:rFonts w:hint="default" w:ascii="Times New Roman" w:hAnsi="Times New Roman" w:cs="Times New Roman"/>
          <w:color w:val="auto"/>
          <w:sz w:val="32"/>
          <w:szCs w:val="32"/>
        </w:rPr>
      </w:pPr>
      <w:bookmarkStart w:id="38" w:name="_Toc112248388"/>
      <w:r>
        <w:rPr>
          <w:rFonts w:hint="default" w:ascii="Times New Roman" w:hAnsi="Times New Roman" w:cs="Times New Roman"/>
          <w:color w:val="auto"/>
          <w:sz w:val="32"/>
          <w:szCs w:val="32"/>
        </w:rPr>
        <w:t>四川省价格监测局</w:t>
      </w:r>
      <w:bookmarkEnd w:id="38"/>
    </w:p>
    <w:p>
      <w:pPr>
        <w:pStyle w:val="8"/>
        <w:pageBreakBefore w:val="0"/>
        <w:numPr>
          <w:ilvl w:val="0"/>
          <w:numId w:val="3"/>
        </w:numPr>
        <w:kinsoku/>
        <w:wordWrap/>
        <w:overflowPunct/>
        <w:topLinePunct w:val="0"/>
        <w:bidi w:val="0"/>
        <w:adjustRightInd w:val="0"/>
        <w:snapToGrid w:val="0"/>
        <w:spacing w:beforeLines="0" w:line="560" w:lineRule="exact"/>
        <w:outlineLvl w:val="2"/>
        <w:rPr>
          <w:rFonts w:hint="default" w:ascii="Times New Roman" w:hAnsi="Times New Roman" w:cs="Times New Roman"/>
          <w:color w:val="auto"/>
          <w:sz w:val="32"/>
          <w:szCs w:val="32"/>
        </w:rPr>
      </w:pPr>
      <w:bookmarkStart w:id="39" w:name="_Toc112248389"/>
      <w:r>
        <w:rPr>
          <w:rFonts w:hint="default" w:ascii="Times New Roman" w:hAnsi="Times New Roman" w:cs="Times New Roman"/>
          <w:color w:val="auto"/>
          <w:sz w:val="32"/>
          <w:szCs w:val="32"/>
        </w:rPr>
        <w:t>四川省价格认证中心</w:t>
      </w:r>
      <w:bookmarkEnd w:id="39"/>
    </w:p>
    <w:p>
      <w:pPr>
        <w:pStyle w:val="8"/>
        <w:pageBreakBefore w:val="0"/>
        <w:numPr>
          <w:ilvl w:val="0"/>
          <w:numId w:val="3"/>
        </w:numPr>
        <w:kinsoku/>
        <w:wordWrap/>
        <w:overflowPunct/>
        <w:topLinePunct w:val="0"/>
        <w:bidi w:val="0"/>
        <w:adjustRightInd w:val="0"/>
        <w:snapToGrid w:val="0"/>
        <w:spacing w:beforeLines="0" w:line="560" w:lineRule="exact"/>
        <w:outlineLvl w:val="2"/>
        <w:rPr>
          <w:rFonts w:hint="default" w:ascii="Times New Roman" w:hAnsi="Times New Roman" w:cs="Times New Roman"/>
          <w:color w:val="auto"/>
          <w:sz w:val="32"/>
          <w:szCs w:val="32"/>
        </w:rPr>
      </w:pPr>
      <w:bookmarkStart w:id="40" w:name="_Toc112248390"/>
      <w:r>
        <w:rPr>
          <w:rFonts w:hint="default" w:ascii="Times New Roman" w:hAnsi="Times New Roman" w:cs="Times New Roman"/>
          <w:color w:val="auto"/>
          <w:sz w:val="32"/>
          <w:szCs w:val="32"/>
        </w:rPr>
        <w:t>四川省发展与改革研究所</w:t>
      </w:r>
      <w:bookmarkEnd w:id="40"/>
    </w:p>
    <w:p>
      <w:pPr>
        <w:pStyle w:val="8"/>
        <w:pageBreakBefore w:val="0"/>
        <w:numPr>
          <w:ilvl w:val="0"/>
          <w:numId w:val="3"/>
        </w:numPr>
        <w:kinsoku/>
        <w:wordWrap/>
        <w:overflowPunct/>
        <w:topLinePunct w:val="0"/>
        <w:bidi w:val="0"/>
        <w:adjustRightInd w:val="0"/>
        <w:snapToGrid w:val="0"/>
        <w:spacing w:beforeLines="0" w:line="560" w:lineRule="exact"/>
        <w:outlineLvl w:val="2"/>
        <w:rPr>
          <w:rFonts w:hint="default" w:ascii="Times New Roman" w:hAnsi="Times New Roman" w:cs="Times New Roman"/>
          <w:color w:val="auto"/>
          <w:sz w:val="32"/>
          <w:szCs w:val="32"/>
        </w:rPr>
      </w:pPr>
      <w:bookmarkStart w:id="41" w:name="_Toc112248391"/>
      <w:r>
        <w:rPr>
          <w:rFonts w:hint="default" w:ascii="Times New Roman" w:hAnsi="Times New Roman" w:cs="Times New Roman"/>
          <w:color w:val="auto"/>
          <w:sz w:val="32"/>
          <w:szCs w:val="32"/>
        </w:rPr>
        <w:t>四川省经济和社会发展研究院</w:t>
      </w:r>
      <w:bookmarkEnd w:id="41"/>
    </w:p>
    <w:p>
      <w:pPr>
        <w:pStyle w:val="8"/>
        <w:pageBreakBefore w:val="0"/>
        <w:numPr>
          <w:ilvl w:val="0"/>
          <w:numId w:val="3"/>
        </w:numPr>
        <w:kinsoku/>
        <w:wordWrap/>
        <w:overflowPunct/>
        <w:topLinePunct w:val="0"/>
        <w:bidi w:val="0"/>
        <w:adjustRightInd w:val="0"/>
        <w:snapToGrid w:val="0"/>
        <w:spacing w:beforeLines="0" w:line="560" w:lineRule="exact"/>
        <w:outlineLvl w:val="2"/>
        <w:rPr>
          <w:rFonts w:hint="default" w:ascii="Times New Roman" w:hAnsi="Times New Roman" w:cs="Times New Roman"/>
          <w:color w:val="auto"/>
          <w:sz w:val="32"/>
          <w:szCs w:val="32"/>
        </w:rPr>
      </w:pPr>
      <w:bookmarkStart w:id="42" w:name="_Toc112248392"/>
      <w:r>
        <w:rPr>
          <w:rFonts w:hint="default" w:ascii="Times New Roman" w:hAnsi="Times New Roman" w:cs="Times New Roman"/>
          <w:color w:val="auto"/>
          <w:sz w:val="32"/>
          <w:szCs w:val="32"/>
        </w:rPr>
        <w:t>四川省县域经济研究中心</w:t>
      </w:r>
      <w:bookmarkEnd w:id="42"/>
    </w:p>
    <w:p>
      <w:pPr>
        <w:pStyle w:val="8"/>
        <w:pageBreakBefore w:val="0"/>
        <w:numPr>
          <w:ilvl w:val="0"/>
          <w:numId w:val="3"/>
        </w:numPr>
        <w:kinsoku/>
        <w:wordWrap/>
        <w:overflowPunct/>
        <w:topLinePunct w:val="0"/>
        <w:bidi w:val="0"/>
        <w:adjustRightInd w:val="0"/>
        <w:snapToGrid w:val="0"/>
        <w:spacing w:beforeLines="0" w:line="560" w:lineRule="exact"/>
        <w:outlineLvl w:val="2"/>
        <w:rPr>
          <w:rFonts w:hint="default" w:ascii="Times New Roman" w:hAnsi="Times New Roman" w:cs="Times New Roman"/>
          <w:color w:val="auto"/>
          <w:sz w:val="32"/>
          <w:szCs w:val="32"/>
        </w:rPr>
      </w:pPr>
      <w:bookmarkStart w:id="43" w:name="_Toc112248393"/>
      <w:r>
        <w:rPr>
          <w:rFonts w:hint="default" w:ascii="Times New Roman" w:hAnsi="Times New Roman" w:cs="Times New Roman"/>
          <w:color w:val="auto"/>
          <w:sz w:val="32"/>
          <w:szCs w:val="32"/>
        </w:rPr>
        <w:t>四川省工程咨询研究院</w:t>
      </w:r>
      <w:bookmarkEnd w:id="43"/>
    </w:p>
    <w:p>
      <w:pPr>
        <w:pStyle w:val="8"/>
        <w:pageBreakBefore w:val="0"/>
        <w:numPr>
          <w:ilvl w:val="0"/>
          <w:numId w:val="3"/>
        </w:numPr>
        <w:kinsoku/>
        <w:wordWrap/>
        <w:overflowPunct/>
        <w:topLinePunct w:val="0"/>
        <w:bidi w:val="0"/>
        <w:adjustRightInd w:val="0"/>
        <w:snapToGrid w:val="0"/>
        <w:spacing w:beforeLines="0" w:line="560" w:lineRule="exact"/>
        <w:outlineLvl w:val="2"/>
        <w:rPr>
          <w:rFonts w:hint="default" w:ascii="Times New Roman" w:hAnsi="Times New Roman" w:cs="Times New Roman"/>
          <w:color w:val="auto"/>
          <w:sz w:val="32"/>
          <w:szCs w:val="32"/>
        </w:rPr>
      </w:pPr>
      <w:bookmarkStart w:id="44" w:name="_Toc112248394"/>
      <w:r>
        <w:rPr>
          <w:rFonts w:hint="default" w:ascii="Times New Roman" w:hAnsi="Times New Roman" w:cs="Times New Roman"/>
          <w:color w:val="auto"/>
          <w:sz w:val="32"/>
          <w:szCs w:val="32"/>
        </w:rPr>
        <w:t>四川省创新驱动发展中心</w:t>
      </w:r>
      <w:bookmarkEnd w:id="44"/>
    </w:p>
    <w:bookmarkEnd w:id="31"/>
    <w:bookmarkEnd w:id="32"/>
    <w:bookmarkEnd w:id="33"/>
    <w:bookmarkEnd w:id="34"/>
    <w:p>
      <w:pPr>
        <w:pStyle w:val="8"/>
        <w:pageBreakBefore w:val="0"/>
        <w:numPr>
          <w:ilvl w:val="0"/>
          <w:numId w:val="3"/>
        </w:numPr>
        <w:kinsoku/>
        <w:wordWrap/>
        <w:overflowPunct/>
        <w:topLinePunct w:val="0"/>
        <w:bidi w:val="0"/>
        <w:adjustRightInd w:val="0"/>
        <w:snapToGrid w:val="0"/>
        <w:spacing w:beforeLines="0" w:line="560" w:lineRule="exact"/>
        <w:outlineLvl w:val="2"/>
        <w:rPr>
          <w:rFonts w:hint="default" w:ascii="Times New Roman" w:hAnsi="Times New Roman" w:cs="Times New Roman"/>
          <w:color w:val="auto"/>
          <w:sz w:val="32"/>
          <w:szCs w:val="32"/>
        </w:rPr>
      </w:pPr>
      <w:bookmarkStart w:id="45" w:name="_Toc112248395"/>
      <w:bookmarkStart w:id="46" w:name="_Toc15396602"/>
      <w:bookmarkStart w:id="47" w:name="_Toc15377204"/>
      <w:r>
        <w:rPr>
          <w:rFonts w:hint="default" w:ascii="Times New Roman" w:hAnsi="Times New Roman" w:cs="Times New Roman"/>
          <w:color w:val="auto"/>
          <w:sz w:val="32"/>
          <w:szCs w:val="32"/>
        </w:rPr>
        <w:t>四川省数字经济研究中心</w:t>
      </w:r>
      <w:bookmarkEnd w:id="45"/>
    </w:p>
    <w:p>
      <w:pPr>
        <w:pStyle w:val="3"/>
        <w:pageBreakBefore w:val="0"/>
        <w:kinsoku/>
        <w:wordWrap/>
        <w:overflowPunct/>
        <w:topLinePunct w:val="0"/>
        <w:bidi w:val="0"/>
        <w:spacing w:before="0" w:after="0" w:line="560" w:lineRule="exact"/>
        <w:ind w:right="440"/>
        <w:rPr>
          <w:rFonts w:hint="default" w:ascii="Times New Roman" w:hAnsi="Times New Roman" w:eastAsia="黑体" w:cs="Times New Roman"/>
          <w:b w:val="0"/>
          <w:color w:val="auto"/>
        </w:rPr>
      </w:pPr>
    </w:p>
    <w:p>
      <w:pPr>
        <w:pStyle w:val="3"/>
        <w:pageBreakBefore w:val="0"/>
        <w:kinsoku/>
        <w:wordWrap/>
        <w:overflowPunct/>
        <w:topLinePunct w:val="0"/>
        <w:bidi w:val="0"/>
        <w:spacing w:before="0" w:after="0" w:line="560" w:lineRule="exact"/>
        <w:ind w:right="440"/>
        <w:jc w:val="center"/>
        <w:rPr>
          <w:rFonts w:hint="default" w:ascii="Times New Roman" w:hAnsi="Times New Roman" w:eastAsia="黑体" w:cs="Times New Roman"/>
          <w:b w:val="0"/>
          <w:color w:val="auto"/>
        </w:rPr>
      </w:pPr>
    </w:p>
    <w:p>
      <w:pPr>
        <w:pStyle w:val="3"/>
        <w:pageBreakBefore w:val="0"/>
        <w:kinsoku/>
        <w:wordWrap/>
        <w:overflowPunct/>
        <w:topLinePunct w:val="0"/>
        <w:bidi w:val="0"/>
        <w:spacing w:before="0" w:after="0" w:line="560" w:lineRule="exact"/>
        <w:ind w:right="440"/>
        <w:jc w:val="center"/>
        <w:rPr>
          <w:rFonts w:hint="default" w:ascii="Times New Roman" w:hAnsi="Times New Roman" w:eastAsia="黑体" w:cs="Times New Roman"/>
          <w:b w:val="0"/>
          <w:color w:val="auto"/>
        </w:rPr>
      </w:pPr>
    </w:p>
    <w:p>
      <w:pPr>
        <w:pStyle w:val="3"/>
        <w:pageBreakBefore w:val="0"/>
        <w:kinsoku/>
        <w:wordWrap/>
        <w:overflowPunct/>
        <w:topLinePunct w:val="0"/>
        <w:bidi w:val="0"/>
        <w:spacing w:before="0" w:after="0" w:line="560" w:lineRule="exact"/>
        <w:ind w:right="440"/>
        <w:jc w:val="center"/>
        <w:rPr>
          <w:rFonts w:hint="default" w:ascii="Times New Roman" w:hAnsi="Times New Roman" w:eastAsia="黑体" w:cs="Times New Roman"/>
          <w:b w:val="0"/>
          <w:color w:val="auto"/>
        </w:rPr>
      </w:pPr>
    </w:p>
    <w:p>
      <w:pPr>
        <w:pStyle w:val="3"/>
        <w:pageBreakBefore w:val="0"/>
        <w:kinsoku/>
        <w:wordWrap/>
        <w:overflowPunct/>
        <w:topLinePunct w:val="0"/>
        <w:bidi w:val="0"/>
        <w:spacing w:before="0" w:after="0" w:line="560" w:lineRule="exact"/>
        <w:ind w:right="440"/>
        <w:jc w:val="center"/>
        <w:rPr>
          <w:rFonts w:hint="default" w:ascii="Times New Roman" w:hAnsi="Times New Roman" w:eastAsia="黑体" w:cs="Times New Roman"/>
          <w:b w:val="0"/>
          <w:color w:val="auto"/>
        </w:rPr>
      </w:pPr>
    </w:p>
    <w:p>
      <w:pPr>
        <w:pStyle w:val="3"/>
        <w:pageBreakBefore w:val="0"/>
        <w:kinsoku/>
        <w:wordWrap/>
        <w:overflowPunct/>
        <w:topLinePunct w:val="0"/>
        <w:bidi w:val="0"/>
        <w:spacing w:before="0" w:after="0" w:line="560" w:lineRule="exact"/>
        <w:ind w:right="440"/>
        <w:rPr>
          <w:rFonts w:hint="default" w:ascii="Times New Roman" w:hAnsi="Times New Roman" w:eastAsia="黑体" w:cs="Times New Roman"/>
          <w:b w:val="0"/>
          <w:color w:val="auto"/>
        </w:rPr>
      </w:pPr>
    </w:p>
    <w:p>
      <w:pPr>
        <w:pageBreakBefore w:val="0"/>
        <w:kinsoku/>
        <w:wordWrap/>
        <w:overflowPunct/>
        <w:topLinePunct w:val="0"/>
        <w:bidi w:val="0"/>
        <w:spacing w:line="560" w:lineRule="exact"/>
        <w:rPr>
          <w:rFonts w:hint="default" w:ascii="Times New Roman" w:hAnsi="Times New Roman" w:eastAsia="黑体" w:cs="Times New Roman"/>
          <w:color w:val="auto"/>
        </w:rPr>
      </w:pPr>
    </w:p>
    <w:p>
      <w:pPr>
        <w:pStyle w:val="7"/>
        <w:pageBreakBefore w:val="0"/>
        <w:kinsoku/>
        <w:wordWrap/>
        <w:overflowPunct/>
        <w:topLinePunct w:val="0"/>
        <w:bidi w:val="0"/>
        <w:spacing w:line="560" w:lineRule="exact"/>
        <w:rPr>
          <w:rFonts w:hint="default" w:ascii="Times New Roman" w:hAnsi="Times New Roman" w:eastAsia="黑体" w:cs="Times New Roman"/>
          <w:color w:val="auto"/>
        </w:rPr>
      </w:pPr>
    </w:p>
    <w:p>
      <w:pPr>
        <w:pageBreakBefore w:val="0"/>
        <w:kinsoku/>
        <w:wordWrap/>
        <w:overflowPunct/>
        <w:topLinePunct w:val="0"/>
        <w:bidi w:val="0"/>
        <w:spacing w:line="560" w:lineRule="exact"/>
        <w:rPr>
          <w:rFonts w:hint="default" w:ascii="Times New Roman" w:hAnsi="Times New Roman" w:eastAsia="黑体" w:cs="Times New Roman"/>
          <w:color w:val="auto"/>
        </w:rPr>
      </w:pPr>
    </w:p>
    <w:p>
      <w:pPr>
        <w:pStyle w:val="7"/>
        <w:pageBreakBefore w:val="0"/>
        <w:kinsoku/>
        <w:wordWrap/>
        <w:overflowPunct/>
        <w:topLinePunct w:val="0"/>
        <w:bidi w:val="0"/>
        <w:spacing w:line="560" w:lineRule="exact"/>
        <w:rPr>
          <w:rFonts w:hint="default" w:ascii="Times New Roman" w:hAnsi="Times New Roman" w:eastAsia="黑体" w:cs="Times New Roman"/>
          <w:color w:val="auto"/>
        </w:rPr>
      </w:pPr>
    </w:p>
    <w:p>
      <w:pPr>
        <w:pageBreakBefore w:val="0"/>
        <w:kinsoku/>
        <w:wordWrap/>
        <w:overflowPunct/>
        <w:topLinePunct w:val="0"/>
        <w:bidi w:val="0"/>
        <w:spacing w:line="560" w:lineRule="exact"/>
        <w:rPr>
          <w:rFonts w:hint="default" w:ascii="Times New Roman" w:hAnsi="Times New Roman" w:eastAsia="黑体" w:cs="Times New Roman"/>
          <w:color w:val="auto"/>
        </w:rPr>
      </w:pPr>
    </w:p>
    <w:p>
      <w:pPr>
        <w:pStyle w:val="7"/>
        <w:pageBreakBefore w:val="0"/>
        <w:kinsoku/>
        <w:wordWrap/>
        <w:overflowPunct/>
        <w:topLinePunct w:val="0"/>
        <w:bidi w:val="0"/>
        <w:spacing w:line="560" w:lineRule="exact"/>
        <w:rPr>
          <w:rFonts w:hint="default" w:ascii="Times New Roman" w:hAnsi="Times New Roman" w:cs="Times New Roman"/>
          <w:color w:val="auto"/>
        </w:rPr>
      </w:pPr>
    </w:p>
    <w:p>
      <w:pPr>
        <w:pageBreakBefore w:val="0"/>
        <w:kinsoku/>
        <w:wordWrap/>
        <w:overflowPunct/>
        <w:topLinePunct w:val="0"/>
        <w:bidi w:val="0"/>
        <w:spacing w:line="560" w:lineRule="exact"/>
        <w:rPr>
          <w:rFonts w:hint="default" w:ascii="Times New Roman" w:hAnsi="Times New Roman" w:cs="Times New Roman"/>
          <w:color w:val="auto"/>
        </w:rPr>
      </w:pPr>
    </w:p>
    <w:p>
      <w:pPr>
        <w:pStyle w:val="8"/>
        <w:pageBreakBefore w:val="0"/>
        <w:kinsoku/>
        <w:wordWrap/>
        <w:overflowPunct/>
        <w:topLinePunct w:val="0"/>
        <w:bidi w:val="0"/>
        <w:spacing w:before="93" w:line="560" w:lineRule="exact"/>
        <w:rPr>
          <w:rFonts w:hint="default" w:ascii="Times New Roman" w:hAnsi="Times New Roman" w:cs="Times New Roman"/>
          <w:color w:val="auto"/>
        </w:rPr>
      </w:pPr>
    </w:p>
    <w:p>
      <w:pPr>
        <w:pStyle w:val="3"/>
        <w:pageBreakBefore w:val="0"/>
        <w:kinsoku/>
        <w:wordWrap/>
        <w:overflowPunct/>
        <w:topLinePunct w:val="0"/>
        <w:bidi w:val="0"/>
        <w:spacing w:before="0" w:after="0" w:line="560" w:lineRule="exact"/>
        <w:ind w:right="440"/>
        <w:jc w:val="center"/>
        <w:rPr>
          <w:rFonts w:hint="default" w:ascii="Times New Roman" w:hAnsi="Times New Roman" w:eastAsia="黑体" w:cs="Times New Roman"/>
          <w:b w:val="0"/>
          <w:color w:val="auto"/>
        </w:rPr>
      </w:pPr>
      <w:bookmarkStart w:id="48" w:name="_Toc112248396"/>
      <w:r>
        <w:rPr>
          <w:rFonts w:hint="default" w:ascii="Times New Roman" w:hAnsi="Times New Roman" w:eastAsia="黑体" w:cs="Times New Roman"/>
          <w:b w:val="0"/>
          <w:color w:val="auto"/>
        </w:rPr>
        <w:t>第二部分 2021年度</w:t>
      </w:r>
      <w:r>
        <w:rPr>
          <w:rStyle w:val="33"/>
          <w:rFonts w:hint="default" w:ascii="Times New Roman" w:hAnsi="Times New Roman" w:eastAsia="黑体" w:cs="Times New Roman"/>
          <w:b w:val="0"/>
          <w:bCs/>
          <w:color w:val="auto"/>
        </w:rPr>
        <w:t>部门决算情况说明</w:t>
      </w:r>
      <w:bookmarkEnd w:id="46"/>
      <w:bookmarkEnd w:id="47"/>
      <w:bookmarkEnd w:id="48"/>
    </w:p>
    <w:p>
      <w:pPr>
        <w:pStyle w:val="32"/>
        <w:pageBreakBefore w:val="0"/>
        <w:kinsoku/>
        <w:wordWrap/>
        <w:overflowPunct/>
        <w:topLinePunct w:val="0"/>
        <w:bidi w:val="0"/>
        <w:spacing w:line="560" w:lineRule="exact"/>
        <w:ind w:firstLine="640"/>
        <w:outlineLvl w:val="1"/>
        <w:rPr>
          <w:rFonts w:hint="default" w:ascii="Times New Roman" w:hAnsi="Times New Roman" w:eastAsia="黑体" w:cs="Times New Roman"/>
          <w:color w:val="auto"/>
          <w:sz w:val="32"/>
          <w:szCs w:val="32"/>
        </w:rPr>
      </w:pPr>
      <w:bookmarkStart w:id="49" w:name="_Toc15396603"/>
      <w:bookmarkStart w:id="50" w:name="_Toc15377205"/>
    </w:p>
    <w:p>
      <w:pPr>
        <w:pStyle w:val="32"/>
        <w:pageBreakBefore w:val="0"/>
        <w:kinsoku/>
        <w:wordWrap/>
        <w:overflowPunct/>
        <w:topLinePunct w:val="0"/>
        <w:bidi w:val="0"/>
        <w:spacing w:line="560" w:lineRule="exact"/>
        <w:ind w:firstLine="640"/>
        <w:outlineLvl w:val="1"/>
        <w:rPr>
          <w:rStyle w:val="34"/>
          <w:rFonts w:hint="default" w:ascii="Times New Roman" w:hAnsi="Times New Roman" w:eastAsia="黑体" w:cs="Times New Roman"/>
          <w:b w:val="0"/>
          <w:color w:val="auto"/>
        </w:rPr>
      </w:pPr>
      <w:bookmarkStart w:id="51" w:name="_Toc112248397"/>
      <w:r>
        <w:rPr>
          <w:rFonts w:hint="default" w:ascii="Times New Roman" w:hAnsi="Times New Roman" w:eastAsia="黑体" w:cs="Times New Roman"/>
          <w:color w:val="auto"/>
          <w:sz w:val="32"/>
          <w:szCs w:val="32"/>
        </w:rPr>
        <w:t>一、收</w:t>
      </w:r>
      <w:r>
        <w:rPr>
          <w:rStyle w:val="34"/>
          <w:rFonts w:hint="default" w:ascii="Times New Roman" w:hAnsi="Times New Roman" w:eastAsia="黑体" w:cs="Times New Roman"/>
          <w:b w:val="0"/>
          <w:color w:val="auto"/>
        </w:rPr>
        <w:t>入支出决算总体情况说明</w:t>
      </w:r>
      <w:bookmarkEnd w:id="49"/>
      <w:bookmarkEnd w:id="50"/>
      <w:bookmarkEnd w:id="51"/>
    </w:p>
    <w:p>
      <w:pPr>
        <w:keepNext w:val="0"/>
        <w:keepLines w:val="0"/>
        <w:widowControl/>
        <w:suppressLineNumbers w:val="0"/>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drawing>
          <wp:anchor distT="0" distB="0" distL="114300" distR="114300" simplePos="0" relativeHeight="251666432" behindDoc="0" locked="0" layoutInCell="1" allowOverlap="1">
            <wp:simplePos x="0" y="0"/>
            <wp:positionH relativeFrom="column">
              <wp:posOffset>165735</wp:posOffset>
            </wp:positionH>
            <wp:positionV relativeFrom="paragraph">
              <wp:posOffset>2592705</wp:posOffset>
            </wp:positionV>
            <wp:extent cx="5473700" cy="2752725"/>
            <wp:effectExtent l="4445" t="4445" r="8255" b="5080"/>
            <wp:wrapTopAndBottom/>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default" w:ascii="Times New Roman" w:hAnsi="Times New Roman" w:eastAsia="仿宋_GB2312" w:cs="Times New Roman"/>
          <w:color w:val="auto"/>
          <w:sz w:val="32"/>
          <w:szCs w:val="32"/>
        </w:rPr>
        <w:t>2021年度收、支总计29,477.23万元。与2020年相比，收、支总计各增加9,400.09万元，增长46.82%。主要变动原因：</w:t>
      </w:r>
      <w:r>
        <w:rPr>
          <w:rFonts w:hint="default" w:ascii="Times New Roman" w:hAnsi="Times New Roman" w:eastAsia="仿宋_GB2312" w:cs="Times New Roman"/>
          <w:b/>
          <w:bCs/>
          <w:color w:val="auto"/>
          <w:sz w:val="32"/>
          <w:szCs w:val="32"/>
        </w:rPr>
        <w:t>一是</w:t>
      </w:r>
      <w:r>
        <w:rPr>
          <w:rFonts w:hint="default" w:ascii="Times New Roman" w:hAnsi="Times New Roman" w:eastAsia="仿宋_GB2312" w:cs="Times New Roman"/>
          <w:i w:val="0"/>
          <w:caps w:val="0"/>
          <w:color w:val="auto"/>
          <w:spacing w:val="0"/>
          <w:kern w:val="0"/>
          <w:sz w:val="31"/>
          <w:szCs w:val="31"/>
          <w:shd w:val="clear" w:fill="FFFFFF"/>
          <w:lang w:val="en-US" w:eastAsia="zh-CN" w:bidi="ar"/>
        </w:rPr>
        <w:t>下达我委作为预算主体购买服务省预算内基本建设投资等专项资金较上年增加2711.47万元</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bCs/>
          <w:color w:val="auto"/>
          <w:sz w:val="32"/>
          <w:szCs w:val="32"/>
        </w:rPr>
        <w:t>二是</w:t>
      </w:r>
      <w:r>
        <w:rPr>
          <w:rFonts w:hint="default" w:ascii="Times New Roman" w:hAnsi="Times New Roman" w:eastAsia="仿宋_GB2312" w:cs="Times New Roman"/>
          <w:color w:val="auto"/>
          <w:sz w:val="32"/>
          <w:szCs w:val="32"/>
        </w:rPr>
        <w:t>调资及新进人员等因素导致人员经费增加2409.18万元，</w:t>
      </w:r>
      <w:r>
        <w:rPr>
          <w:rFonts w:hint="default" w:ascii="Times New Roman" w:hAnsi="Times New Roman" w:eastAsia="仿宋_GB2312" w:cs="Times New Roman"/>
          <w:b/>
          <w:bCs/>
          <w:color w:val="auto"/>
          <w:sz w:val="32"/>
          <w:szCs w:val="32"/>
        </w:rPr>
        <w:t>三是</w:t>
      </w:r>
      <w:r>
        <w:rPr>
          <w:rFonts w:hint="default" w:ascii="Times New Roman" w:hAnsi="Times New Roman" w:eastAsia="仿宋_GB2312" w:cs="Times New Roman"/>
          <w:color w:val="auto"/>
          <w:sz w:val="32"/>
          <w:szCs w:val="32"/>
        </w:rPr>
        <w:t>省工程咨询研究院于2021年纳入部门预算管理，其收、支总计2891.17万元。</w:t>
      </w:r>
    </w:p>
    <w:p>
      <w:pPr>
        <w:pStyle w:val="32"/>
        <w:pageBreakBefore w:val="0"/>
        <w:kinsoku/>
        <w:wordWrap/>
        <w:overflowPunct/>
        <w:topLinePunct w:val="0"/>
        <w:bidi w:val="0"/>
        <w:spacing w:line="560" w:lineRule="exact"/>
        <w:ind w:left="640" w:firstLine="0" w:firstLineChars="0"/>
        <w:outlineLvl w:val="1"/>
        <w:rPr>
          <w:rStyle w:val="34"/>
          <w:rFonts w:hint="default" w:ascii="Times New Roman" w:hAnsi="Times New Roman" w:eastAsia="黑体" w:cs="Times New Roman"/>
          <w:b w:val="0"/>
          <w:color w:val="auto"/>
        </w:rPr>
      </w:pPr>
      <w:bookmarkStart w:id="52" w:name="_Toc112248398"/>
      <w:r>
        <w:rPr>
          <w:rFonts w:hint="default" w:ascii="Times New Roman" w:hAnsi="Times New Roman" w:eastAsia="黑体" w:cs="Times New Roman"/>
          <w:color w:val="auto"/>
          <w:sz w:val="32"/>
          <w:szCs w:val="32"/>
        </w:rPr>
        <w:t>二、收</w:t>
      </w:r>
      <w:r>
        <w:rPr>
          <w:rStyle w:val="34"/>
          <w:rFonts w:hint="default" w:ascii="Times New Roman" w:hAnsi="Times New Roman" w:eastAsia="黑体" w:cs="Times New Roman"/>
          <w:b w:val="0"/>
          <w:color w:val="auto"/>
        </w:rPr>
        <w:t>入决算情况说明</w:t>
      </w:r>
      <w:bookmarkEnd w:id="52"/>
    </w:p>
    <w:p>
      <w:pPr>
        <w:pageBreakBefore w:val="0"/>
        <w:kinsoku/>
        <w:wordWrap/>
        <w:overflowPunct/>
        <w:topLinePunct w:val="0"/>
        <w:bidi w:val="0"/>
        <w:spacing w:line="560" w:lineRule="exact"/>
        <w:ind w:firstLine="640" w:firstLineChars="200"/>
        <w:outlineLvl w:val="1"/>
        <w:rPr>
          <w:rFonts w:hint="default" w:ascii="Times New Roman" w:hAnsi="Times New Roman" w:eastAsia="仿宋_GB2312" w:cs="Times New Roman"/>
          <w:color w:val="auto"/>
          <w:sz w:val="32"/>
          <w:szCs w:val="32"/>
        </w:rPr>
      </w:pPr>
      <w:bookmarkStart w:id="53" w:name="_Toc112248399"/>
      <w:r>
        <w:rPr>
          <w:rFonts w:hint="default" w:ascii="Times New Roman" w:hAnsi="Times New Roman" w:eastAsia="仿宋_GB2312" w:cs="Times New Roman"/>
          <w:color w:val="auto"/>
          <w:sz w:val="32"/>
          <w:szCs w:val="32"/>
        </w:rPr>
        <w:t>2021年本年收入合计29,149.45万元，其中：一般公共预算财政拨款收入23,766.68万元，占81.53%；事业收入1,374.30万元，占4.72%；经营收入3,596.87万元，占12.34%；其他收入</w:t>
      </w:r>
      <w:r>
        <w:rPr>
          <w:rFonts w:hint="default" w:ascii="Times New Roman" w:hAnsi="Times New Roman" w:eastAsia="黑体" w:cs="Times New Roman"/>
          <w:bCs/>
          <w:color w:val="auto"/>
          <w:sz w:val="32"/>
          <w:szCs w:val="32"/>
        </w:rPr>
        <w:drawing>
          <wp:anchor distT="0" distB="0" distL="114300" distR="114300" simplePos="0" relativeHeight="251660288" behindDoc="0" locked="0" layoutInCell="1" allowOverlap="1">
            <wp:simplePos x="0" y="0"/>
            <wp:positionH relativeFrom="margin">
              <wp:posOffset>142240</wp:posOffset>
            </wp:positionH>
            <wp:positionV relativeFrom="margin">
              <wp:posOffset>450215</wp:posOffset>
            </wp:positionV>
            <wp:extent cx="5248275" cy="2924175"/>
            <wp:effectExtent l="4445" t="4445" r="5080" b="508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default" w:ascii="Times New Roman" w:hAnsi="Times New Roman" w:eastAsia="仿宋_GB2312" w:cs="Times New Roman"/>
          <w:color w:val="auto"/>
          <w:sz w:val="32"/>
          <w:szCs w:val="32"/>
        </w:rPr>
        <w:t>411.60万元，占1.41%。</w:t>
      </w:r>
      <w:bookmarkEnd w:id="53"/>
    </w:p>
    <w:p>
      <w:pPr>
        <w:pStyle w:val="32"/>
        <w:pageBreakBefore w:val="0"/>
        <w:kinsoku/>
        <w:wordWrap/>
        <w:overflowPunct/>
        <w:topLinePunct w:val="0"/>
        <w:bidi w:val="0"/>
        <w:spacing w:line="560" w:lineRule="exact"/>
        <w:ind w:left="640" w:firstLine="0" w:firstLineChars="0"/>
        <w:outlineLvl w:val="1"/>
        <w:rPr>
          <w:rStyle w:val="34"/>
          <w:rFonts w:hint="default" w:ascii="Times New Roman" w:hAnsi="Times New Roman" w:eastAsia="黑体" w:cs="Times New Roman"/>
          <w:b w:val="0"/>
          <w:color w:val="auto"/>
        </w:rPr>
      </w:pPr>
      <w:bookmarkStart w:id="54" w:name="_Toc112248400"/>
      <w:r>
        <w:rPr>
          <w:rFonts w:hint="default" w:ascii="Times New Roman" w:hAnsi="Times New Roman" w:eastAsia="黑体" w:cs="Times New Roman"/>
          <w:color w:val="auto"/>
          <w:sz w:val="32"/>
          <w:szCs w:val="32"/>
        </w:rPr>
        <w:t>三、支</w:t>
      </w:r>
      <w:r>
        <w:rPr>
          <w:rStyle w:val="34"/>
          <w:rFonts w:hint="default" w:ascii="Times New Roman" w:hAnsi="Times New Roman" w:eastAsia="黑体" w:cs="Times New Roman"/>
          <w:b w:val="0"/>
          <w:color w:val="auto"/>
        </w:rPr>
        <w:t>出决算情况说明</w:t>
      </w:r>
      <w:bookmarkEnd w:id="54"/>
    </w:p>
    <w:p>
      <w:pPr>
        <w:pageBreakBefore w:val="0"/>
        <w:kinsoku/>
        <w:wordWrap/>
        <w:overflowPunct/>
        <w:topLinePunct w:val="0"/>
        <w:bidi w:val="0"/>
        <w:spacing w:line="560" w:lineRule="exact"/>
        <w:ind w:firstLine="640" w:firstLineChars="200"/>
        <w:outlineLvl w:val="1"/>
        <w:rPr>
          <w:rFonts w:hint="default" w:ascii="Times New Roman" w:hAnsi="Times New Roman" w:eastAsia="仿宋_GB2312" w:cs="Times New Roman"/>
          <w:color w:val="auto"/>
          <w:sz w:val="32"/>
          <w:szCs w:val="32"/>
        </w:rPr>
      </w:pPr>
      <w:bookmarkStart w:id="55" w:name="_Toc112248401"/>
      <w:r>
        <w:rPr>
          <w:rFonts w:hint="default" w:ascii="Times New Roman" w:hAnsi="Times New Roman" w:eastAsia="仿宋_GB2312" w:cs="Times New Roman"/>
          <w:color w:val="auto"/>
          <w:sz w:val="32"/>
          <w:szCs w:val="32"/>
        </w:rPr>
        <w:drawing>
          <wp:anchor distT="0" distB="0" distL="114300" distR="114300" simplePos="0" relativeHeight="251661312" behindDoc="0" locked="0" layoutInCell="1" allowOverlap="1">
            <wp:simplePos x="0" y="0"/>
            <wp:positionH relativeFrom="column">
              <wp:posOffset>163830</wp:posOffset>
            </wp:positionH>
            <wp:positionV relativeFrom="paragraph">
              <wp:posOffset>1259205</wp:posOffset>
            </wp:positionV>
            <wp:extent cx="5250815" cy="2857500"/>
            <wp:effectExtent l="5080" t="4445" r="20955" b="1460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default" w:ascii="Times New Roman" w:hAnsi="Times New Roman" w:eastAsia="仿宋_GB2312" w:cs="Times New Roman"/>
          <w:color w:val="auto"/>
          <w:sz w:val="32"/>
          <w:szCs w:val="32"/>
        </w:rPr>
        <w:t>2021年本年支出合计28,149.42万元，其中：基本支出15,242.91万元，占54.15%；项目支出9,795.98万元，占34.80%；经营支出3,110.53万元，占11.05%。</w:t>
      </w:r>
      <w:bookmarkEnd w:id="55"/>
      <w:bookmarkStart w:id="56" w:name="_Toc112248402"/>
      <w:bookmarkStart w:id="57" w:name="_Toc15377208"/>
      <w:bookmarkStart w:id="58" w:name="_Toc15396606"/>
    </w:p>
    <w:p>
      <w:pPr>
        <w:pageBreakBefore w:val="0"/>
        <w:kinsoku/>
        <w:wordWrap/>
        <w:overflowPunct/>
        <w:topLinePunct w:val="0"/>
        <w:bidi w:val="0"/>
        <w:spacing w:line="560" w:lineRule="exact"/>
        <w:ind w:firstLine="640" w:firstLineChars="200"/>
        <w:outlineLvl w:val="1"/>
        <w:rPr>
          <w:rStyle w:val="34"/>
          <w:rFonts w:hint="default" w:ascii="Times New Roman" w:hAnsi="Times New Roman" w:eastAsia="黑体" w:cs="Times New Roman"/>
          <w:b w:val="0"/>
          <w:color w:val="auto"/>
        </w:rPr>
      </w:pPr>
      <w:r>
        <w:rPr>
          <w:rFonts w:hint="default" w:ascii="Times New Roman" w:hAnsi="Times New Roman" w:eastAsia="黑体" w:cs="Times New Roman"/>
          <w:color w:val="auto"/>
          <w:sz w:val="32"/>
          <w:szCs w:val="32"/>
        </w:rPr>
        <w:t>四、财</w:t>
      </w:r>
      <w:r>
        <w:rPr>
          <w:rStyle w:val="34"/>
          <w:rFonts w:hint="default" w:ascii="Times New Roman" w:hAnsi="Times New Roman" w:eastAsia="黑体" w:cs="Times New Roman"/>
          <w:b w:val="0"/>
          <w:color w:val="auto"/>
        </w:rPr>
        <w:t>政拨款收入支出决算总体情况说明</w:t>
      </w:r>
      <w:bookmarkEnd w:id="56"/>
      <w:bookmarkEnd w:id="57"/>
      <w:bookmarkEnd w:id="58"/>
    </w:p>
    <w:p>
      <w:pPr>
        <w:keepNext w:val="0"/>
        <w:keepLines w:val="0"/>
        <w:widowControl/>
        <w:suppressLineNumbers w:val="0"/>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2021年财政拨款收、支总计23,767.18万元。与2020年相比，财政拨款收、支总计各增加5,621.32 万元，增长30.98%。主要变动原因：</w:t>
      </w:r>
      <w:r>
        <w:rPr>
          <w:rFonts w:hint="default" w:ascii="Times New Roman" w:hAnsi="Times New Roman" w:eastAsia="仿宋_GB2312" w:cs="Times New Roman"/>
          <w:b/>
          <w:bCs/>
          <w:color w:val="auto"/>
          <w:sz w:val="32"/>
          <w:szCs w:val="32"/>
        </w:rPr>
        <w:t>一是</w:t>
      </w:r>
      <w:r>
        <w:rPr>
          <w:rFonts w:hint="default" w:ascii="Times New Roman" w:hAnsi="Times New Roman" w:eastAsia="仿宋_GB2312" w:cs="Times New Roman"/>
          <w:i w:val="0"/>
          <w:caps w:val="0"/>
          <w:color w:val="auto"/>
          <w:spacing w:val="0"/>
          <w:kern w:val="0"/>
          <w:sz w:val="31"/>
          <w:szCs w:val="31"/>
          <w:shd w:val="clear" w:fill="FFFFFF"/>
          <w:lang w:val="en-US" w:eastAsia="zh-CN" w:bidi="ar"/>
        </w:rPr>
        <w:t>下达我委作为预算主体购买服务省预算内基本建设投资等专项资金较上年增加2711.47万元</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bCs/>
          <w:color w:val="auto"/>
          <w:sz w:val="32"/>
          <w:szCs w:val="32"/>
        </w:rPr>
        <w:t>二是</w:t>
      </w:r>
      <w:r>
        <w:rPr>
          <w:rFonts w:hint="default" w:ascii="Times New Roman" w:hAnsi="Times New Roman" w:eastAsia="仿宋_GB2312" w:cs="Times New Roman"/>
          <w:color w:val="auto"/>
          <w:sz w:val="32"/>
          <w:szCs w:val="32"/>
        </w:rPr>
        <w:t>调资及新进人员等因素导致人员经费增加2359.2万元。</w:t>
      </w:r>
    </w:p>
    <w:p>
      <w:pPr>
        <w:pageBreakBefore w:val="0"/>
        <w:kinsoku/>
        <w:wordWrap/>
        <w:overflowPunct/>
        <w:topLinePunct w:val="0"/>
        <w:bidi w:val="0"/>
        <w:spacing w:line="560" w:lineRule="exact"/>
        <w:ind w:firstLine="640" w:firstLineChars="200"/>
        <w:outlineLvl w:val="1"/>
        <w:rPr>
          <w:rStyle w:val="34"/>
          <w:rFonts w:hint="default" w:ascii="Times New Roman" w:hAnsi="Times New Roman" w:eastAsia="黑体" w:cs="Times New Roman"/>
          <w:b w:val="0"/>
          <w:color w:val="auto"/>
        </w:rPr>
      </w:pPr>
      <w:bookmarkStart w:id="59" w:name="_Toc15377210"/>
      <w:r>
        <w:rPr>
          <w:rFonts w:hint="default" w:ascii="Times New Roman" w:hAnsi="Times New Roman" w:eastAsia="仿宋_GB2312" w:cs="Times New Roman"/>
          <w:color w:val="auto"/>
          <w:sz w:val="32"/>
          <w:szCs w:val="32"/>
        </w:rPr>
        <w:drawing>
          <wp:anchor distT="0" distB="0" distL="114300" distR="114300" simplePos="0" relativeHeight="251662336" behindDoc="0" locked="0" layoutInCell="1" allowOverlap="1">
            <wp:simplePos x="0" y="0"/>
            <wp:positionH relativeFrom="column">
              <wp:posOffset>165735</wp:posOffset>
            </wp:positionH>
            <wp:positionV relativeFrom="paragraph">
              <wp:posOffset>105410</wp:posOffset>
            </wp:positionV>
            <wp:extent cx="5430520" cy="2493645"/>
            <wp:effectExtent l="4445" t="4445" r="13335" b="16510"/>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bookmarkStart w:id="60" w:name="_Toc112248403"/>
      <w:r>
        <w:rPr>
          <w:rFonts w:hint="default" w:ascii="Times New Roman" w:hAnsi="Times New Roman" w:eastAsia="黑体" w:cs="Times New Roman"/>
          <w:color w:val="auto"/>
          <w:sz w:val="32"/>
          <w:szCs w:val="32"/>
        </w:rPr>
        <w:t>五、</w:t>
      </w:r>
      <w:r>
        <w:rPr>
          <w:rFonts w:hint="default" w:ascii="Times New Roman" w:hAnsi="Times New Roman" w:eastAsia="黑体" w:cs="Times New Roman"/>
          <w:b/>
          <w:color w:val="auto"/>
          <w:sz w:val="32"/>
          <w:szCs w:val="32"/>
        </w:rPr>
        <w:t>一</w:t>
      </w:r>
      <w:r>
        <w:rPr>
          <w:rStyle w:val="34"/>
          <w:rFonts w:hint="default" w:ascii="Times New Roman" w:hAnsi="Times New Roman" w:eastAsia="黑体" w:cs="Times New Roman"/>
          <w:b w:val="0"/>
          <w:color w:val="auto"/>
        </w:rPr>
        <w:t>般公共预算财政拨款支出决算情况说明</w:t>
      </w:r>
      <w:bookmarkEnd w:id="60"/>
    </w:p>
    <w:p>
      <w:pPr>
        <w:pageBreakBefore w:val="0"/>
        <w:kinsoku/>
        <w:wordWrap/>
        <w:overflowPunct/>
        <w:topLinePunct w:val="0"/>
        <w:bidi w:val="0"/>
        <w:spacing w:line="560" w:lineRule="exact"/>
        <w:ind w:firstLine="642" w:firstLineChars="200"/>
        <w:outlineLvl w:val="2"/>
        <w:rPr>
          <w:rFonts w:hint="default" w:ascii="Times New Roman" w:hAnsi="Times New Roman" w:eastAsia="楷体_GB2312" w:cs="Times New Roman"/>
          <w:b/>
          <w:bCs w:val="0"/>
          <w:color w:val="auto"/>
          <w:sz w:val="32"/>
          <w:szCs w:val="32"/>
        </w:rPr>
      </w:pPr>
      <w:bookmarkStart w:id="61" w:name="_Toc112248404"/>
      <w:r>
        <w:rPr>
          <w:rFonts w:hint="default" w:ascii="Times New Roman" w:hAnsi="Times New Roman" w:eastAsia="楷体_GB2312" w:cs="Times New Roman"/>
          <w:b/>
          <w:bCs w:val="0"/>
          <w:color w:val="auto"/>
          <w:sz w:val="32"/>
          <w:szCs w:val="32"/>
        </w:rPr>
        <w:t>（一）一般公共预算财政拨款支出决算总体情况</w:t>
      </w:r>
      <w:bookmarkEnd w:id="59"/>
      <w:r>
        <w:rPr>
          <w:rFonts w:hint="default" w:ascii="Times New Roman" w:hAnsi="Times New Roman" w:eastAsia="楷体_GB2312" w:cs="Times New Roman"/>
          <w:b/>
          <w:bCs w:val="0"/>
          <w:color w:val="auto"/>
          <w:sz w:val="32"/>
          <w:szCs w:val="32"/>
        </w:rPr>
        <w:t>。</w:t>
      </w:r>
      <w:bookmarkEnd w:id="61"/>
    </w:p>
    <w:p>
      <w:pPr>
        <w:keepNext w:val="0"/>
        <w:keepLines w:val="0"/>
        <w:widowControl/>
        <w:suppressLineNumbers w:val="0"/>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2021年一般公共预算财政拨款支出23,766.68万元，占本年支出合计的84.43%。与2020年相比，一般公共预算财政拨款支出增加5,621.32 万元，增长30.98%。主要变动原因：</w:t>
      </w:r>
      <w:r>
        <w:rPr>
          <w:rFonts w:hint="default" w:ascii="Times New Roman" w:hAnsi="Times New Roman" w:eastAsia="仿宋_GB2312" w:cs="Times New Roman"/>
          <w:b/>
          <w:bCs/>
          <w:color w:val="auto"/>
          <w:sz w:val="32"/>
          <w:szCs w:val="32"/>
        </w:rPr>
        <w:t>一是</w:t>
      </w:r>
      <w:r>
        <w:rPr>
          <w:rFonts w:hint="default" w:ascii="Times New Roman" w:hAnsi="Times New Roman" w:eastAsia="仿宋_GB2312" w:cs="Times New Roman"/>
          <w:i w:val="0"/>
          <w:caps w:val="0"/>
          <w:color w:val="auto"/>
          <w:spacing w:val="0"/>
          <w:kern w:val="0"/>
          <w:sz w:val="31"/>
          <w:szCs w:val="31"/>
          <w:shd w:val="clear" w:fill="FFFFFF"/>
          <w:lang w:val="en-US" w:eastAsia="zh-CN" w:bidi="ar"/>
        </w:rPr>
        <w:t>下达我委作为预算主体购买服务省预算内基本建设投资等专项资金较上年增加2711.47万元</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bCs/>
          <w:color w:val="auto"/>
          <w:sz w:val="32"/>
          <w:szCs w:val="32"/>
        </w:rPr>
        <w:t>二是</w:t>
      </w:r>
      <w:r>
        <w:rPr>
          <w:rFonts w:hint="default" w:ascii="Times New Roman" w:hAnsi="Times New Roman" w:eastAsia="仿宋_GB2312" w:cs="Times New Roman"/>
          <w:color w:val="auto"/>
          <w:sz w:val="32"/>
          <w:szCs w:val="32"/>
        </w:rPr>
        <w:t>调资及新进人员等因素导致人员经费增加2359.2万元。</w:t>
      </w:r>
    </w:p>
    <w:p>
      <w:pPr>
        <w:pageBreakBefore w:val="0"/>
        <w:kinsoku/>
        <w:wordWrap/>
        <w:overflowPunct/>
        <w:topLinePunct w:val="0"/>
        <w:bidi w:val="0"/>
        <w:spacing w:line="560" w:lineRule="exact"/>
        <w:ind w:firstLine="641"/>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drawing>
          <wp:anchor distT="0" distB="0" distL="114300" distR="114300" simplePos="0" relativeHeight="251663360" behindDoc="0" locked="0" layoutInCell="1" allowOverlap="1">
            <wp:simplePos x="0" y="0"/>
            <wp:positionH relativeFrom="column">
              <wp:posOffset>147955</wp:posOffset>
            </wp:positionH>
            <wp:positionV relativeFrom="paragraph">
              <wp:posOffset>5715</wp:posOffset>
            </wp:positionV>
            <wp:extent cx="5423535" cy="2478405"/>
            <wp:effectExtent l="4445" t="4445" r="20320" b="12700"/>
            <wp:wrapTopAndBottom/>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bookmarkStart w:id="62" w:name="_Toc15377211"/>
      <w:bookmarkStart w:id="63" w:name="_Toc112248405"/>
      <w:r>
        <w:rPr>
          <w:rFonts w:hint="default" w:ascii="Times New Roman" w:hAnsi="Times New Roman" w:eastAsia="楷体_GB2312" w:cs="Times New Roman"/>
          <w:b/>
          <w:bCs w:val="0"/>
          <w:color w:val="auto"/>
          <w:sz w:val="32"/>
          <w:szCs w:val="32"/>
        </w:rPr>
        <w:t>（二）一般公共预算财政拨款支出决算结构情况</w:t>
      </w:r>
      <w:bookmarkEnd w:id="62"/>
      <w:r>
        <w:rPr>
          <w:rFonts w:hint="default" w:ascii="Times New Roman" w:hAnsi="Times New Roman" w:eastAsia="楷体_GB2312" w:cs="Times New Roman"/>
          <w:b/>
          <w:bCs w:val="0"/>
          <w:color w:val="auto"/>
          <w:sz w:val="32"/>
          <w:szCs w:val="32"/>
        </w:rPr>
        <w:t>。</w:t>
      </w:r>
      <w:bookmarkEnd w:id="63"/>
    </w:p>
    <w:p>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drawing>
          <wp:anchor distT="0" distB="0" distL="114300" distR="114300" simplePos="0" relativeHeight="251664384" behindDoc="0" locked="0" layoutInCell="1" allowOverlap="1">
            <wp:simplePos x="0" y="0"/>
            <wp:positionH relativeFrom="column">
              <wp:posOffset>240030</wp:posOffset>
            </wp:positionH>
            <wp:positionV relativeFrom="paragraph">
              <wp:posOffset>2541270</wp:posOffset>
            </wp:positionV>
            <wp:extent cx="5300345" cy="2457450"/>
            <wp:effectExtent l="4445" t="4445" r="10160" b="14605"/>
            <wp:wrapTopAndBottom/>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default" w:ascii="Times New Roman" w:hAnsi="Times New Roman" w:eastAsia="仿宋_GB2312" w:cs="Times New Roman"/>
          <w:color w:val="auto"/>
          <w:sz w:val="32"/>
          <w:szCs w:val="32"/>
        </w:rPr>
        <w:t>2021年一般公共预算财政拨款支出23,766.68万元，主要用于以下方面:</w:t>
      </w:r>
      <w:r>
        <w:rPr>
          <w:rFonts w:hint="default" w:ascii="Times New Roman" w:hAnsi="Times New Roman" w:eastAsia="仿宋_GB2312" w:cs="Times New Roman"/>
          <w:b/>
          <w:bCs/>
          <w:color w:val="auto"/>
          <w:sz w:val="32"/>
          <w:szCs w:val="32"/>
        </w:rPr>
        <w:t>一般公共服务（类）</w:t>
      </w:r>
      <w:r>
        <w:rPr>
          <w:rFonts w:hint="default" w:ascii="Times New Roman" w:hAnsi="Times New Roman" w:eastAsia="仿宋_GB2312" w:cs="Times New Roman"/>
          <w:color w:val="auto"/>
          <w:sz w:val="32"/>
          <w:szCs w:val="32"/>
        </w:rPr>
        <w:t>支出17,764.60万元，占74.74%；</w:t>
      </w:r>
      <w:r>
        <w:rPr>
          <w:rFonts w:hint="default" w:ascii="Times New Roman" w:hAnsi="Times New Roman" w:eastAsia="仿宋_GB2312" w:cs="Times New Roman"/>
          <w:b/>
          <w:bCs/>
          <w:color w:val="auto"/>
          <w:sz w:val="32"/>
          <w:szCs w:val="32"/>
        </w:rPr>
        <w:t>教育支出（类）</w:t>
      </w:r>
      <w:r>
        <w:rPr>
          <w:rFonts w:hint="default" w:ascii="Times New Roman" w:hAnsi="Times New Roman" w:eastAsia="仿宋_GB2312" w:cs="Times New Roman"/>
          <w:color w:val="auto"/>
          <w:sz w:val="32"/>
          <w:szCs w:val="32"/>
        </w:rPr>
        <w:t>75.80万元，占0.32%；</w:t>
      </w:r>
      <w:r>
        <w:rPr>
          <w:rFonts w:hint="default" w:ascii="Times New Roman" w:hAnsi="Times New Roman" w:eastAsia="仿宋_GB2312" w:cs="Times New Roman"/>
          <w:b/>
          <w:bCs/>
          <w:color w:val="auto"/>
          <w:sz w:val="32"/>
          <w:szCs w:val="32"/>
        </w:rPr>
        <w:t>科学技术（类）</w:t>
      </w:r>
      <w:r>
        <w:rPr>
          <w:rFonts w:hint="default" w:ascii="Times New Roman" w:hAnsi="Times New Roman" w:eastAsia="仿宋_GB2312" w:cs="Times New Roman"/>
          <w:color w:val="auto"/>
          <w:sz w:val="32"/>
          <w:szCs w:val="32"/>
        </w:rPr>
        <w:t>支出435.60万元，占1.83%；</w:t>
      </w:r>
      <w:r>
        <w:rPr>
          <w:rFonts w:hint="default" w:ascii="Times New Roman" w:hAnsi="Times New Roman" w:eastAsia="仿宋_GB2312" w:cs="Times New Roman"/>
          <w:b/>
          <w:bCs/>
          <w:color w:val="auto"/>
          <w:sz w:val="32"/>
          <w:szCs w:val="32"/>
        </w:rPr>
        <w:t>社会保障和就业（类）</w:t>
      </w:r>
      <w:r>
        <w:rPr>
          <w:rFonts w:hint="default" w:ascii="Times New Roman" w:hAnsi="Times New Roman" w:eastAsia="仿宋_GB2312" w:cs="Times New Roman"/>
          <w:color w:val="auto"/>
          <w:sz w:val="32"/>
          <w:szCs w:val="32"/>
        </w:rPr>
        <w:t>支出2,972.68万元，占12.51%；</w:t>
      </w:r>
      <w:r>
        <w:rPr>
          <w:rFonts w:hint="default" w:ascii="Times New Roman" w:hAnsi="Times New Roman" w:eastAsia="仿宋_GB2312" w:cs="Times New Roman"/>
          <w:b/>
          <w:bCs/>
          <w:color w:val="auto"/>
          <w:sz w:val="32"/>
          <w:szCs w:val="32"/>
        </w:rPr>
        <w:t>卫生健康支出</w:t>
      </w:r>
      <w:r>
        <w:rPr>
          <w:rFonts w:hint="default" w:ascii="Times New Roman" w:hAnsi="Times New Roman" w:eastAsia="仿宋_GB2312" w:cs="Times New Roman"/>
          <w:color w:val="auto"/>
          <w:sz w:val="32"/>
          <w:szCs w:val="32"/>
        </w:rPr>
        <w:t>710.46万元，占2.99%；</w:t>
      </w:r>
      <w:r>
        <w:rPr>
          <w:rFonts w:hint="default" w:ascii="Times New Roman" w:hAnsi="Times New Roman" w:eastAsia="仿宋_GB2312" w:cs="Times New Roman"/>
          <w:b/>
          <w:bCs/>
          <w:color w:val="auto"/>
          <w:sz w:val="32"/>
          <w:szCs w:val="32"/>
        </w:rPr>
        <w:t>住房保障支出</w:t>
      </w:r>
      <w:r>
        <w:rPr>
          <w:rFonts w:hint="default" w:ascii="Times New Roman" w:hAnsi="Times New Roman" w:eastAsia="仿宋_GB2312" w:cs="Times New Roman"/>
          <w:color w:val="auto"/>
          <w:sz w:val="32"/>
          <w:szCs w:val="32"/>
        </w:rPr>
        <w:t>1,270.97万元，占5.35%；</w:t>
      </w:r>
      <w:r>
        <w:rPr>
          <w:rFonts w:hint="default" w:ascii="Times New Roman" w:hAnsi="Times New Roman" w:eastAsia="仿宋_GB2312" w:cs="Times New Roman"/>
          <w:b/>
          <w:bCs/>
          <w:color w:val="auto"/>
          <w:sz w:val="32"/>
          <w:szCs w:val="32"/>
        </w:rPr>
        <w:t>灾害防治及应急管理支出</w:t>
      </w:r>
      <w:r>
        <w:rPr>
          <w:rFonts w:hint="default" w:ascii="Times New Roman" w:hAnsi="Times New Roman" w:eastAsia="仿宋_GB2312" w:cs="Times New Roman"/>
          <w:color w:val="auto"/>
          <w:sz w:val="32"/>
          <w:szCs w:val="32"/>
        </w:rPr>
        <w:t>9.57万元，占0.04%；</w:t>
      </w:r>
      <w:r>
        <w:rPr>
          <w:rFonts w:hint="default" w:ascii="Times New Roman" w:hAnsi="Times New Roman" w:eastAsia="仿宋_GB2312" w:cs="Times New Roman"/>
          <w:b/>
          <w:bCs/>
          <w:color w:val="auto"/>
          <w:sz w:val="32"/>
          <w:szCs w:val="32"/>
        </w:rPr>
        <w:t>节能环保支出</w:t>
      </w:r>
      <w:r>
        <w:rPr>
          <w:rFonts w:hint="default" w:ascii="Times New Roman" w:hAnsi="Times New Roman" w:eastAsia="仿宋_GB2312" w:cs="Times New Roman"/>
          <w:color w:val="auto"/>
          <w:sz w:val="32"/>
          <w:szCs w:val="32"/>
        </w:rPr>
        <w:t>527.00万元，占2.22%。</w:t>
      </w:r>
    </w:p>
    <w:p>
      <w:pPr>
        <w:pageBreakBefore w:val="0"/>
        <w:kinsoku/>
        <w:wordWrap/>
        <w:overflowPunct/>
        <w:topLinePunct w:val="0"/>
        <w:bidi w:val="0"/>
        <w:spacing w:line="560" w:lineRule="exact"/>
        <w:ind w:firstLine="642" w:firstLineChars="200"/>
        <w:outlineLvl w:val="2"/>
        <w:rPr>
          <w:rFonts w:hint="default" w:ascii="Times New Roman" w:hAnsi="Times New Roman" w:eastAsia="楷体_GB2312" w:cs="Times New Roman"/>
          <w:b/>
          <w:bCs w:val="0"/>
          <w:color w:val="auto"/>
          <w:sz w:val="32"/>
          <w:szCs w:val="32"/>
        </w:rPr>
      </w:pPr>
      <w:bookmarkStart w:id="64" w:name="_Toc15377212"/>
      <w:bookmarkStart w:id="65" w:name="_Toc112248406"/>
      <w:r>
        <w:rPr>
          <w:rFonts w:hint="default" w:ascii="Times New Roman" w:hAnsi="Times New Roman" w:eastAsia="楷体_GB2312" w:cs="Times New Roman"/>
          <w:b/>
          <w:bCs w:val="0"/>
          <w:color w:val="auto"/>
          <w:sz w:val="32"/>
          <w:szCs w:val="32"/>
        </w:rPr>
        <w:t>（三）一般公共预算财政拨款支出决算具体情况</w:t>
      </w:r>
      <w:bookmarkEnd w:id="64"/>
      <w:r>
        <w:rPr>
          <w:rFonts w:hint="default" w:ascii="Times New Roman" w:hAnsi="Times New Roman" w:eastAsia="楷体_GB2312" w:cs="Times New Roman"/>
          <w:b/>
          <w:bCs w:val="0"/>
          <w:color w:val="auto"/>
          <w:sz w:val="32"/>
          <w:szCs w:val="32"/>
        </w:rPr>
        <w:t>。</w:t>
      </w:r>
      <w:bookmarkEnd w:id="65"/>
    </w:p>
    <w:p>
      <w:pPr>
        <w:pageBreakBefore w:val="0"/>
        <w:kinsoku/>
        <w:wordWrap/>
        <w:overflowPunct/>
        <w:topLinePunct w:val="0"/>
        <w:bidi w:val="0"/>
        <w:spacing w:line="560" w:lineRule="exact"/>
        <w:ind w:firstLine="640" w:firstLineChars="200"/>
        <w:outlineLvl w:val="2"/>
        <w:rPr>
          <w:rStyle w:val="23"/>
          <w:rFonts w:hint="default" w:ascii="Times New Roman" w:hAnsi="Times New Roman" w:eastAsia="仿宋_GB2312" w:cs="Times New Roman"/>
          <w:b w:val="0"/>
          <w:bCs/>
          <w:color w:val="auto"/>
          <w:sz w:val="32"/>
          <w:szCs w:val="32"/>
        </w:rPr>
      </w:pPr>
      <w:bookmarkStart w:id="66" w:name="_Toc112248407"/>
      <w:bookmarkStart w:id="67" w:name="_Toc15377444"/>
      <w:bookmarkStart w:id="68" w:name="_Toc15378460"/>
      <w:bookmarkStart w:id="69" w:name="_Toc15377213"/>
      <w:r>
        <w:rPr>
          <w:rFonts w:hint="default" w:ascii="Times New Roman" w:hAnsi="Times New Roman" w:eastAsia="仿宋_GB2312" w:cs="Times New Roman"/>
          <w:b w:val="0"/>
          <w:bCs/>
          <w:color w:val="auto"/>
          <w:sz w:val="32"/>
          <w:szCs w:val="32"/>
        </w:rPr>
        <w:t>2021年一般公共预算支出决算数为23,766.68万元，</w:t>
      </w:r>
      <w:r>
        <w:rPr>
          <w:rStyle w:val="23"/>
          <w:rFonts w:hint="default" w:ascii="Times New Roman" w:hAnsi="Times New Roman" w:eastAsia="仿宋_GB2312" w:cs="Times New Roman"/>
          <w:b w:val="0"/>
          <w:bCs/>
          <w:color w:val="auto"/>
          <w:sz w:val="32"/>
          <w:szCs w:val="32"/>
        </w:rPr>
        <w:t>完成预算100%。其中：</w:t>
      </w:r>
      <w:bookmarkEnd w:id="66"/>
      <w:bookmarkEnd w:id="67"/>
      <w:bookmarkEnd w:id="68"/>
      <w:bookmarkEnd w:id="69"/>
    </w:p>
    <w:p>
      <w:pPr>
        <w:pageBreakBefore w:val="0"/>
        <w:kinsoku/>
        <w:wordWrap/>
        <w:overflowPunct/>
        <w:topLinePunct w:val="0"/>
        <w:bidi w:val="0"/>
        <w:spacing w:line="560" w:lineRule="exact"/>
        <w:ind w:firstLine="642" w:firstLineChars="200"/>
        <w:rPr>
          <w:rStyle w:val="23"/>
          <w:rFonts w:hint="default" w:ascii="Times New Roman" w:hAnsi="Times New Roman" w:eastAsia="仿宋_GB2312" w:cs="Times New Roman"/>
          <w:b w:val="0"/>
          <w:bCs/>
          <w:color w:val="auto"/>
          <w:sz w:val="32"/>
          <w:szCs w:val="32"/>
        </w:rPr>
      </w:pPr>
      <w:r>
        <w:rPr>
          <w:rStyle w:val="23"/>
          <w:rFonts w:hint="default" w:ascii="Times New Roman" w:hAnsi="Times New Roman" w:eastAsia="仿宋_GB2312" w:cs="Times New Roman"/>
          <w:bCs/>
          <w:color w:val="auto"/>
          <w:sz w:val="32"/>
          <w:szCs w:val="32"/>
        </w:rPr>
        <w:t>1.一般公共服务支出（类）发展与改革事务（款）行政运行（项）:</w:t>
      </w:r>
      <w:r>
        <w:rPr>
          <w:rStyle w:val="23"/>
          <w:rFonts w:hint="default" w:ascii="Times New Roman" w:hAnsi="Times New Roman" w:eastAsia="仿宋_GB2312" w:cs="Times New Roman"/>
          <w:b w:val="0"/>
          <w:bCs/>
          <w:color w:val="auto"/>
          <w:sz w:val="32"/>
          <w:szCs w:val="32"/>
        </w:rPr>
        <w:t>支出决算为</w:t>
      </w:r>
      <w:r>
        <w:rPr>
          <w:rFonts w:hint="default" w:ascii="Times New Roman" w:hAnsi="Times New Roman" w:eastAsia="仿宋_GB2312" w:cs="Times New Roman"/>
          <w:bCs/>
          <w:color w:val="auto"/>
          <w:sz w:val="32"/>
          <w:szCs w:val="32"/>
        </w:rPr>
        <w:t>7,261.21</w:t>
      </w:r>
      <w:r>
        <w:rPr>
          <w:rStyle w:val="23"/>
          <w:rFonts w:hint="default" w:ascii="Times New Roman" w:hAnsi="Times New Roman" w:eastAsia="仿宋_GB2312" w:cs="Times New Roman"/>
          <w:b w:val="0"/>
          <w:bCs/>
          <w:color w:val="auto"/>
          <w:sz w:val="32"/>
          <w:szCs w:val="32"/>
        </w:rPr>
        <w:t>万元，完成预算100%，决算数等于预算数。</w:t>
      </w:r>
    </w:p>
    <w:p>
      <w:pPr>
        <w:pageBreakBefore w:val="0"/>
        <w:kinsoku/>
        <w:wordWrap/>
        <w:overflowPunct/>
        <w:topLinePunct w:val="0"/>
        <w:bidi w:val="0"/>
        <w:spacing w:line="560" w:lineRule="exact"/>
        <w:ind w:firstLine="642" w:firstLineChars="200"/>
        <w:rPr>
          <w:rFonts w:hint="default" w:ascii="Times New Roman" w:hAnsi="Times New Roman" w:eastAsia="仿宋_GB2312" w:cs="Times New Roman"/>
          <w:bCs/>
          <w:color w:val="auto"/>
          <w:sz w:val="32"/>
          <w:szCs w:val="32"/>
        </w:rPr>
      </w:pPr>
      <w:r>
        <w:rPr>
          <w:rStyle w:val="23"/>
          <w:rFonts w:hint="default" w:ascii="Times New Roman" w:hAnsi="Times New Roman" w:eastAsia="仿宋_GB2312" w:cs="Times New Roman"/>
          <w:bCs/>
          <w:color w:val="auto"/>
          <w:sz w:val="32"/>
          <w:szCs w:val="32"/>
        </w:rPr>
        <w:t>2.一般公共服务支出（类）发展与改革事务（款）一般行政管理事务（项）:</w:t>
      </w:r>
      <w:r>
        <w:rPr>
          <w:rStyle w:val="23"/>
          <w:rFonts w:hint="default" w:ascii="Times New Roman" w:hAnsi="Times New Roman" w:eastAsia="仿宋_GB2312" w:cs="Times New Roman"/>
          <w:b w:val="0"/>
          <w:bCs/>
          <w:color w:val="auto"/>
          <w:sz w:val="32"/>
          <w:szCs w:val="32"/>
        </w:rPr>
        <w:t>支出决算为</w:t>
      </w:r>
      <w:r>
        <w:rPr>
          <w:rFonts w:hint="default" w:ascii="Times New Roman" w:hAnsi="Times New Roman" w:eastAsia="仿宋_GB2312" w:cs="Times New Roman"/>
          <w:bCs/>
          <w:color w:val="auto"/>
          <w:sz w:val="32"/>
          <w:szCs w:val="32"/>
        </w:rPr>
        <w:t>2,508.23</w:t>
      </w:r>
      <w:r>
        <w:rPr>
          <w:rStyle w:val="23"/>
          <w:rFonts w:hint="default" w:ascii="Times New Roman" w:hAnsi="Times New Roman" w:eastAsia="仿宋_GB2312" w:cs="Times New Roman"/>
          <w:b w:val="0"/>
          <w:bCs/>
          <w:color w:val="auto"/>
          <w:sz w:val="32"/>
          <w:szCs w:val="32"/>
        </w:rPr>
        <w:t>万元，完成预算100%，决算数等于预算数。</w:t>
      </w:r>
    </w:p>
    <w:p>
      <w:pPr>
        <w:pageBreakBefore w:val="0"/>
        <w:kinsoku/>
        <w:wordWrap/>
        <w:overflowPunct/>
        <w:topLinePunct w:val="0"/>
        <w:bidi w:val="0"/>
        <w:spacing w:line="560" w:lineRule="exact"/>
        <w:ind w:firstLine="642" w:firstLineChars="200"/>
        <w:rPr>
          <w:rFonts w:hint="default" w:ascii="Times New Roman" w:hAnsi="Times New Roman" w:eastAsia="仿宋_GB2312" w:cs="Times New Roman"/>
          <w:bCs/>
          <w:color w:val="auto"/>
          <w:sz w:val="32"/>
          <w:szCs w:val="32"/>
        </w:rPr>
      </w:pPr>
      <w:r>
        <w:rPr>
          <w:rStyle w:val="23"/>
          <w:rFonts w:hint="default" w:ascii="Times New Roman" w:hAnsi="Times New Roman" w:eastAsia="仿宋_GB2312" w:cs="Times New Roman"/>
          <w:bCs/>
          <w:color w:val="auto"/>
          <w:sz w:val="32"/>
          <w:szCs w:val="32"/>
        </w:rPr>
        <w:t>3.一般公共服务支出（类）发展与改革事务（款）机关服务（项）:</w:t>
      </w:r>
      <w:r>
        <w:rPr>
          <w:rStyle w:val="23"/>
          <w:rFonts w:hint="default" w:ascii="Times New Roman" w:hAnsi="Times New Roman" w:eastAsia="仿宋_GB2312" w:cs="Times New Roman"/>
          <w:b w:val="0"/>
          <w:bCs/>
          <w:color w:val="auto"/>
          <w:sz w:val="32"/>
          <w:szCs w:val="32"/>
        </w:rPr>
        <w:t>支出决算为</w:t>
      </w:r>
      <w:r>
        <w:rPr>
          <w:rFonts w:hint="default" w:ascii="Times New Roman" w:hAnsi="Times New Roman" w:eastAsia="仿宋_GB2312" w:cs="Times New Roman"/>
          <w:bCs/>
          <w:color w:val="auto"/>
          <w:sz w:val="32"/>
          <w:szCs w:val="32"/>
        </w:rPr>
        <w:t>449.25</w:t>
      </w:r>
      <w:r>
        <w:rPr>
          <w:rStyle w:val="23"/>
          <w:rFonts w:hint="default" w:ascii="Times New Roman" w:hAnsi="Times New Roman" w:eastAsia="仿宋_GB2312" w:cs="Times New Roman"/>
          <w:b w:val="0"/>
          <w:bCs/>
          <w:color w:val="auto"/>
          <w:sz w:val="32"/>
          <w:szCs w:val="32"/>
        </w:rPr>
        <w:t>万元，完成预算100%，决算数等于预算数。</w:t>
      </w:r>
    </w:p>
    <w:p>
      <w:pPr>
        <w:pageBreakBefore w:val="0"/>
        <w:kinsoku/>
        <w:wordWrap/>
        <w:overflowPunct/>
        <w:topLinePunct w:val="0"/>
        <w:bidi w:val="0"/>
        <w:spacing w:line="560" w:lineRule="exact"/>
        <w:ind w:firstLine="642" w:firstLineChars="200"/>
        <w:rPr>
          <w:rFonts w:hint="default" w:ascii="Times New Roman" w:hAnsi="Times New Roman" w:eastAsia="仿宋_GB2312" w:cs="Times New Roman"/>
          <w:bCs/>
          <w:color w:val="auto"/>
          <w:sz w:val="32"/>
          <w:szCs w:val="32"/>
        </w:rPr>
      </w:pPr>
      <w:r>
        <w:rPr>
          <w:rStyle w:val="23"/>
          <w:rFonts w:hint="default" w:ascii="Times New Roman" w:hAnsi="Times New Roman" w:eastAsia="仿宋_GB2312" w:cs="Times New Roman"/>
          <w:bCs/>
          <w:color w:val="auto"/>
          <w:sz w:val="32"/>
          <w:szCs w:val="32"/>
        </w:rPr>
        <w:t>4.一般公共服务支出（类）发展与改革事务（款）战略规划与实施（项）:</w:t>
      </w:r>
      <w:r>
        <w:rPr>
          <w:rStyle w:val="23"/>
          <w:rFonts w:hint="default" w:ascii="Times New Roman" w:hAnsi="Times New Roman" w:eastAsia="仿宋_GB2312" w:cs="Times New Roman"/>
          <w:b w:val="0"/>
          <w:bCs/>
          <w:color w:val="auto"/>
          <w:sz w:val="32"/>
          <w:szCs w:val="32"/>
        </w:rPr>
        <w:t>支出决算为</w:t>
      </w:r>
      <w:r>
        <w:rPr>
          <w:rFonts w:hint="default" w:ascii="Times New Roman" w:hAnsi="Times New Roman" w:eastAsia="仿宋_GB2312" w:cs="Times New Roman"/>
          <w:bCs/>
          <w:color w:val="auto"/>
          <w:sz w:val="32"/>
          <w:szCs w:val="32"/>
        </w:rPr>
        <w:t>905.64</w:t>
      </w:r>
      <w:r>
        <w:rPr>
          <w:rStyle w:val="23"/>
          <w:rFonts w:hint="default" w:ascii="Times New Roman" w:hAnsi="Times New Roman" w:eastAsia="仿宋_GB2312" w:cs="Times New Roman"/>
          <w:b w:val="0"/>
          <w:bCs/>
          <w:color w:val="auto"/>
          <w:sz w:val="32"/>
          <w:szCs w:val="32"/>
        </w:rPr>
        <w:t>万元，完成预算100%，决算数等于预算数。</w:t>
      </w:r>
    </w:p>
    <w:p>
      <w:pPr>
        <w:pageBreakBefore w:val="0"/>
        <w:kinsoku/>
        <w:wordWrap/>
        <w:overflowPunct/>
        <w:topLinePunct w:val="0"/>
        <w:bidi w:val="0"/>
        <w:spacing w:line="560" w:lineRule="exact"/>
        <w:ind w:firstLine="642" w:firstLineChars="200"/>
        <w:rPr>
          <w:rFonts w:hint="default" w:ascii="Times New Roman" w:hAnsi="Times New Roman" w:eastAsia="仿宋_GB2312" w:cs="Times New Roman"/>
          <w:bCs/>
          <w:color w:val="auto"/>
          <w:sz w:val="32"/>
          <w:szCs w:val="32"/>
        </w:rPr>
      </w:pPr>
      <w:r>
        <w:rPr>
          <w:rStyle w:val="23"/>
          <w:rFonts w:hint="default" w:ascii="Times New Roman" w:hAnsi="Times New Roman" w:eastAsia="仿宋_GB2312" w:cs="Times New Roman"/>
          <w:bCs/>
          <w:color w:val="auto"/>
          <w:sz w:val="32"/>
          <w:szCs w:val="32"/>
        </w:rPr>
        <w:t>5.一般公共服务支出（类）发展与改革事务（款）物价管理（项）:</w:t>
      </w:r>
      <w:r>
        <w:rPr>
          <w:rStyle w:val="23"/>
          <w:rFonts w:hint="default" w:ascii="Times New Roman" w:hAnsi="Times New Roman" w:eastAsia="仿宋_GB2312" w:cs="Times New Roman"/>
          <w:b w:val="0"/>
          <w:bCs/>
          <w:color w:val="auto"/>
          <w:sz w:val="32"/>
          <w:szCs w:val="32"/>
        </w:rPr>
        <w:t>支出决算为</w:t>
      </w:r>
      <w:r>
        <w:rPr>
          <w:rFonts w:hint="default" w:ascii="Times New Roman" w:hAnsi="Times New Roman" w:eastAsia="仿宋_GB2312" w:cs="Times New Roman"/>
          <w:bCs/>
          <w:color w:val="auto"/>
          <w:sz w:val="32"/>
          <w:szCs w:val="32"/>
        </w:rPr>
        <w:t>207.95</w:t>
      </w:r>
      <w:r>
        <w:rPr>
          <w:rStyle w:val="23"/>
          <w:rFonts w:hint="default" w:ascii="Times New Roman" w:hAnsi="Times New Roman" w:eastAsia="仿宋_GB2312" w:cs="Times New Roman"/>
          <w:b w:val="0"/>
          <w:bCs/>
          <w:color w:val="auto"/>
          <w:sz w:val="32"/>
          <w:szCs w:val="32"/>
        </w:rPr>
        <w:t>万元，完成预算99.76%，</w:t>
      </w:r>
      <w:r>
        <w:rPr>
          <w:rFonts w:hint="default" w:ascii="Times New Roman" w:hAnsi="Times New Roman" w:eastAsia="仿宋_GB2312" w:cs="Times New Roman"/>
          <w:color w:val="auto"/>
          <w:sz w:val="32"/>
          <w:szCs w:val="32"/>
          <w:shd w:val="clear" w:color="auto" w:fill="FFFFFF"/>
        </w:rPr>
        <w:t>决算数小于预算数的主要原因：差额0.5万元为省价格监测局使用财政资金支付的复印机租赁押金，账面上未列支，形成财政拨款结转。</w:t>
      </w:r>
    </w:p>
    <w:p>
      <w:pPr>
        <w:pageBreakBefore w:val="0"/>
        <w:kinsoku/>
        <w:wordWrap/>
        <w:overflowPunct/>
        <w:topLinePunct w:val="0"/>
        <w:bidi w:val="0"/>
        <w:spacing w:line="560" w:lineRule="exact"/>
        <w:ind w:firstLine="642" w:firstLineChars="200"/>
        <w:rPr>
          <w:rFonts w:hint="default" w:ascii="Times New Roman" w:hAnsi="Times New Roman" w:eastAsia="仿宋_GB2312" w:cs="Times New Roman"/>
          <w:b/>
          <w:color w:val="auto"/>
          <w:sz w:val="32"/>
          <w:szCs w:val="32"/>
        </w:rPr>
      </w:pPr>
      <w:r>
        <w:rPr>
          <w:rStyle w:val="23"/>
          <w:rFonts w:hint="default" w:ascii="Times New Roman" w:hAnsi="Times New Roman" w:eastAsia="仿宋_GB2312" w:cs="Times New Roman"/>
          <w:bCs/>
          <w:color w:val="auto"/>
          <w:sz w:val="32"/>
          <w:szCs w:val="32"/>
        </w:rPr>
        <w:t>6.一般公共服务支出（类）发展与改革事务（款）事业运行（项）:</w:t>
      </w:r>
      <w:r>
        <w:rPr>
          <w:rStyle w:val="23"/>
          <w:rFonts w:hint="default" w:ascii="Times New Roman" w:hAnsi="Times New Roman" w:eastAsia="仿宋_GB2312" w:cs="Times New Roman"/>
          <w:b w:val="0"/>
          <w:bCs/>
          <w:color w:val="auto"/>
          <w:sz w:val="32"/>
          <w:szCs w:val="32"/>
        </w:rPr>
        <w:t>支出决算为652.73万元，完成预算100%，决算数等于预算数。</w:t>
      </w:r>
    </w:p>
    <w:p>
      <w:pPr>
        <w:pageBreakBefore w:val="0"/>
        <w:kinsoku/>
        <w:wordWrap/>
        <w:overflowPunct/>
        <w:topLinePunct w:val="0"/>
        <w:bidi w:val="0"/>
        <w:spacing w:line="560" w:lineRule="exact"/>
        <w:ind w:firstLine="642" w:firstLineChars="200"/>
        <w:rPr>
          <w:rStyle w:val="23"/>
          <w:rFonts w:hint="default" w:ascii="Times New Roman" w:hAnsi="Times New Roman" w:eastAsia="仿宋_GB2312" w:cs="Times New Roman"/>
          <w:b w:val="0"/>
          <w:bCs/>
          <w:color w:val="auto"/>
          <w:sz w:val="32"/>
          <w:szCs w:val="32"/>
        </w:rPr>
      </w:pPr>
      <w:r>
        <w:rPr>
          <w:rStyle w:val="23"/>
          <w:rFonts w:hint="default" w:ascii="Times New Roman" w:hAnsi="Times New Roman" w:eastAsia="仿宋_GB2312" w:cs="Times New Roman"/>
          <w:bCs/>
          <w:color w:val="auto"/>
          <w:sz w:val="32"/>
          <w:szCs w:val="32"/>
        </w:rPr>
        <w:t>7.一般公共服务支出（类）发展与改革事务（款）其他发展与改革事务支出（项）:</w:t>
      </w:r>
      <w:r>
        <w:rPr>
          <w:rStyle w:val="23"/>
          <w:rFonts w:hint="default" w:ascii="Times New Roman" w:hAnsi="Times New Roman" w:eastAsia="仿宋_GB2312" w:cs="Times New Roman"/>
          <w:b w:val="0"/>
          <w:bCs/>
          <w:color w:val="auto"/>
          <w:sz w:val="32"/>
          <w:szCs w:val="32"/>
        </w:rPr>
        <w:t>支出决算为</w:t>
      </w:r>
      <w:r>
        <w:rPr>
          <w:rFonts w:hint="default" w:ascii="Times New Roman" w:hAnsi="Times New Roman" w:eastAsia="仿宋_GB2312" w:cs="Times New Roman"/>
          <w:bCs/>
          <w:color w:val="auto"/>
          <w:sz w:val="32"/>
          <w:szCs w:val="32"/>
        </w:rPr>
        <w:t>4,741.86</w:t>
      </w:r>
      <w:r>
        <w:rPr>
          <w:rStyle w:val="23"/>
          <w:rFonts w:hint="default" w:ascii="Times New Roman" w:hAnsi="Times New Roman" w:eastAsia="仿宋_GB2312" w:cs="Times New Roman"/>
          <w:b w:val="0"/>
          <w:bCs/>
          <w:color w:val="auto"/>
          <w:sz w:val="32"/>
          <w:szCs w:val="32"/>
        </w:rPr>
        <w:t>万元，完成预算100%，决算数等于预算数。</w:t>
      </w:r>
    </w:p>
    <w:p>
      <w:pPr>
        <w:pageBreakBefore w:val="0"/>
        <w:kinsoku/>
        <w:wordWrap/>
        <w:overflowPunct/>
        <w:topLinePunct w:val="0"/>
        <w:bidi w:val="0"/>
        <w:spacing w:line="560" w:lineRule="exact"/>
        <w:ind w:firstLine="642" w:firstLineChars="200"/>
        <w:rPr>
          <w:rStyle w:val="23"/>
          <w:rFonts w:hint="default" w:ascii="Times New Roman" w:hAnsi="Times New Roman" w:eastAsia="仿宋_GB2312" w:cs="Times New Roman"/>
          <w:b w:val="0"/>
          <w:bCs/>
          <w:color w:val="auto"/>
          <w:sz w:val="32"/>
          <w:szCs w:val="32"/>
        </w:rPr>
      </w:pPr>
      <w:r>
        <w:rPr>
          <w:rStyle w:val="23"/>
          <w:rFonts w:hint="default" w:ascii="Times New Roman" w:hAnsi="Times New Roman" w:eastAsia="仿宋_GB2312" w:cs="Times New Roman"/>
          <w:bCs/>
          <w:color w:val="auto"/>
          <w:sz w:val="32"/>
          <w:szCs w:val="32"/>
        </w:rPr>
        <w:t>8.一般公共服务支出（类）其他共产党事务支出（款）其他共产党事务支出（项）:</w:t>
      </w:r>
      <w:r>
        <w:rPr>
          <w:rStyle w:val="23"/>
          <w:rFonts w:hint="default" w:ascii="Times New Roman" w:hAnsi="Times New Roman" w:eastAsia="仿宋_GB2312" w:cs="Times New Roman"/>
          <w:b w:val="0"/>
          <w:bCs/>
          <w:color w:val="auto"/>
          <w:sz w:val="32"/>
          <w:szCs w:val="32"/>
        </w:rPr>
        <w:t>支出决算为</w:t>
      </w:r>
      <w:r>
        <w:rPr>
          <w:rFonts w:hint="default" w:ascii="Times New Roman" w:hAnsi="Times New Roman" w:eastAsia="仿宋_GB2312" w:cs="Times New Roman"/>
          <w:bCs/>
          <w:color w:val="auto"/>
          <w:sz w:val="32"/>
          <w:szCs w:val="32"/>
        </w:rPr>
        <w:t>0.90</w:t>
      </w:r>
      <w:r>
        <w:rPr>
          <w:rStyle w:val="23"/>
          <w:rFonts w:hint="default" w:ascii="Times New Roman" w:hAnsi="Times New Roman" w:eastAsia="仿宋_GB2312" w:cs="Times New Roman"/>
          <w:b w:val="0"/>
          <w:bCs/>
          <w:color w:val="auto"/>
          <w:sz w:val="32"/>
          <w:szCs w:val="32"/>
        </w:rPr>
        <w:t>万元，完成预算100%，决算数等于预算数。</w:t>
      </w:r>
    </w:p>
    <w:p>
      <w:pPr>
        <w:pageBreakBefore w:val="0"/>
        <w:kinsoku/>
        <w:wordWrap/>
        <w:overflowPunct/>
        <w:topLinePunct w:val="0"/>
        <w:bidi w:val="0"/>
        <w:spacing w:line="560" w:lineRule="exact"/>
        <w:ind w:firstLine="642" w:firstLineChars="200"/>
        <w:rPr>
          <w:rStyle w:val="23"/>
          <w:rFonts w:hint="default" w:ascii="Times New Roman" w:hAnsi="Times New Roman" w:eastAsia="仿宋_GB2312" w:cs="Times New Roman"/>
          <w:b w:val="0"/>
          <w:bCs/>
          <w:color w:val="auto"/>
          <w:sz w:val="32"/>
          <w:szCs w:val="32"/>
        </w:rPr>
      </w:pPr>
      <w:r>
        <w:rPr>
          <w:rStyle w:val="23"/>
          <w:rFonts w:hint="default" w:ascii="Times New Roman" w:hAnsi="Times New Roman" w:eastAsia="仿宋_GB2312" w:cs="Times New Roman"/>
          <w:bCs/>
          <w:color w:val="auto"/>
          <w:sz w:val="32"/>
          <w:szCs w:val="32"/>
        </w:rPr>
        <w:t>9.一般公共服务支出（类）市场监督管理事务（款）其他市场监督管理事务（项）:</w:t>
      </w:r>
      <w:r>
        <w:rPr>
          <w:rStyle w:val="23"/>
          <w:rFonts w:hint="default" w:ascii="Times New Roman" w:hAnsi="Times New Roman" w:eastAsia="仿宋_GB2312" w:cs="Times New Roman"/>
          <w:b w:val="0"/>
          <w:bCs/>
          <w:color w:val="auto"/>
          <w:sz w:val="32"/>
          <w:szCs w:val="32"/>
        </w:rPr>
        <w:t>支出决算为</w:t>
      </w:r>
      <w:r>
        <w:rPr>
          <w:rFonts w:hint="default" w:ascii="Times New Roman" w:hAnsi="Times New Roman" w:eastAsia="仿宋_GB2312" w:cs="Times New Roman"/>
          <w:bCs/>
          <w:color w:val="auto"/>
          <w:sz w:val="32"/>
          <w:szCs w:val="32"/>
        </w:rPr>
        <w:t>4.00</w:t>
      </w:r>
      <w:r>
        <w:rPr>
          <w:rStyle w:val="23"/>
          <w:rFonts w:hint="default" w:ascii="Times New Roman" w:hAnsi="Times New Roman" w:eastAsia="仿宋_GB2312" w:cs="Times New Roman"/>
          <w:b w:val="0"/>
          <w:bCs/>
          <w:color w:val="auto"/>
          <w:sz w:val="32"/>
          <w:szCs w:val="32"/>
        </w:rPr>
        <w:t>万元，完成预算100%，决算数等于预算数。</w:t>
      </w:r>
    </w:p>
    <w:p>
      <w:pPr>
        <w:pageBreakBefore w:val="0"/>
        <w:kinsoku/>
        <w:wordWrap/>
        <w:overflowPunct/>
        <w:topLinePunct w:val="0"/>
        <w:bidi w:val="0"/>
        <w:spacing w:line="560" w:lineRule="exact"/>
        <w:ind w:firstLine="642" w:firstLineChars="200"/>
        <w:rPr>
          <w:rFonts w:hint="default" w:ascii="Times New Roman" w:hAnsi="Times New Roman" w:eastAsia="仿宋_GB2312" w:cs="Times New Roman"/>
          <w:bCs/>
          <w:color w:val="auto"/>
          <w:sz w:val="32"/>
          <w:szCs w:val="32"/>
        </w:rPr>
      </w:pPr>
      <w:r>
        <w:rPr>
          <w:rStyle w:val="23"/>
          <w:rFonts w:hint="default" w:ascii="Times New Roman" w:hAnsi="Times New Roman" w:eastAsia="仿宋_GB2312" w:cs="Times New Roman"/>
          <w:bCs/>
          <w:color w:val="auto"/>
          <w:sz w:val="32"/>
          <w:szCs w:val="32"/>
        </w:rPr>
        <w:t>10.一般公共服务支出（类）其他一般公共服务支出（款）其他一般公共服务支出（项）:</w:t>
      </w:r>
      <w:r>
        <w:rPr>
          <w:rStyle w:val="23"/>
          <w:rFonts w:hint="default" w:ascii="Times New Roman" w:hAnsi="Times New Roman" w:eastAsia="仿宋_GB2312" w:cs="Times New Roman"/>
          <w:b w:val="0"/>
          <w:bCs/>
          <w:color w:val="auto"/>
          <w:sz w:val="32"/>
          <w:szCs w:val="32"/>
        </w:rPr>
        <w:t>支出决算为</w:t>
      </w:r>
      <w:r>
        <w:rPr>
          <w:rFonts w:hint="default" w:ascii="Times New Roman" w:hAnsi="Times New Roman" w:eastAsia="仿宋_GB2312" w:cs="Times New Roman"/>
          <w:bCs/>
          <w:color w:val="auto"/>
          <w:sz w:val="32"/>
          <w:szCs w:val="32"/>
        </w:rPr>
        <w:t>1,032.82</w:t>
      </w:r>
      <w:r>
        <w:rPr>
          <w:rStyle w:val="23"/>
          <w:rFonts w:hint="default" w:ascii="Times New Roman" w:hAnsi="Times New Roman" w:eastAsia="仿宋_GB2312" w:cs="Times New Roman"/>
          <w:b w:val="0"/>
          <w:bCs/>
          <w:color w:val="auto"/>
          <w:sz w:val="32"/>
          <w:szCs w:val="32"/>
        </w:rPr>
        <w:t>万元，完成预算100%，决算数等于预算数。</w:t>
      </w:r>
    </w:p>
    <w:p>
      <w:pPr>
        <w:pageBreakBefore w:val="0"/>
        <w:kinsoku/>
        <w:wordWrap/>
        <w:overflowPunct/>
        <w:topLinePunct w:val="0"/>
        <w:bidi w:val="0"/>
        <w:spacing w:line="560" w:lineRule="exact"/>
        <w:ind w:firstLine="642" w:firstLineChars="200"/>
        <w:rPr>
          <w:rFonts w:hint="default" w:ascii="Times New Roman" w:hAnsi="Times New Roman" w:eastAsia="仿宋_GB2312" w:cs="Times New Roman"/>
          <w:bCs/>
          <w:color w:val="auto"/>
          <w:sz w:val="32"/>
          <w:szCs w:val="32"/>
        </w:rPr>
      </w:pPr>
      <w:r>
        <w:rPr>
          <w:rStyle w:val="23"/>
          <w:rFonts w:hint="default" w:ascii="Times New Roman" w:hAnsi="Times New Roman" w:eastAsia="仿宋_GB2312" w:cs="Times New Roman"/>
          <w:bCs/>
          <w:color w:val="auto"/>
          <w:sz w:val="32"/>
          <w:szCs w:val="32"/>
        </w:rPr>
        <w:t>11.教育支出（类）进修及培训（款）培训支出（项）:</w:t>
      </w:r>
      <w:r>
        <w:rPr>
          <w:rStyle w:val="23"/>
          <w:rFonts w:hint="default" w:ascii="Times New Roman" w:hAnsi="Times New Roman" w:eastAsia="仿宋_GB2312" w:cs="Times New Roman"/>
          <w:b w:val="0"/>
          <w:bCs/>
          <w:color w:val="auto"/>
          <w:sz w:val="32"/>
          <w:szCs w:val="32"/>
        </w:rPr>
        <w:t>支出决算为</w:t>
      </w:r>
      <w:r>
        <w:rPr>
          <w:rFonts w:hint="default" w:ascii="Times New Roman" w:hAnsi="Times New Roman" w:eastAsia="仿宋_GB2312" w:cs="Times New Roman"/>
          <w:bCs/>
          <w:color w:val="auto"/>
          <w:sz w:val="32"/>
          <w:szCs w:val="32"/>
        </w:rPr>
        <w:t>75.80</w:t>
      </w:r>
      <w:r>
        <w:rPr>
          <w:rStyle w:val="23"/>
          <w:rFonts w:hint="default" w:ascii="Times New Roman" w:hAnsi="Times New Roman" w:eastAsia="仿宋_GB2312" w:cs="Times New Roman"/>
          <w:b w:val="0"/>
          <w:bCs/>
          <w:color w:val="auto"/>
          <w:sz w:val="32"/>
          <w:szCs w:val="32"/>
        </w:rPr>
        <w:t>万元，完成预算100%，决算数等于预算数。</w:t>
      </w:r>
    </w:p>
    <w:p>
      <w:pPr>
        <w:pageBreakBefore w:val="0"/>
        <w:kinsoku/>
        <w:wordWrap/>
        <w:overflowPunct/>
        <w:topLinePunct w:val="0"/>
        <w:bidi w:val="0"/>
        <w:spacing w:line="560" w:lineRule="exact"/>
        <w:ind w:firstLine="642" w:firstLineChars="200"/>
        <w:rPr>
          <w:rStyle w:val="23"/>
          <w:rFonts w:hint="default" w:ascii="Times New Roman" w:hAnsi="Times New Roman" w:eastAsia="仿宋_GB2312" w:cs="Times New Roman"/>
          <w:b w:val="0"/>
          <w:bCs/>
          <w:color w:val="auto"/>
          <w:sz w:val="32"/>
          <w:szCs w:val="32"/>
        </w:rPr>
      </w:pPr>
      <w:r>
        <w:rPr>
          <w:rStyle w:val="23"/>
          <w:rFonts w:hint="default" w:ascii="Times New Roman" w:hAnsi="Times New Roman" w:eastAsia="仿宋_GB2312" w:cs="Times New Roman"/>
          <w:bCs/>
          <w:color w:val="auto"/>
          <w:sz w:val="32"/>
          <w:szCs w:val="32"/>
        </w:rPr>
        <w:t>12.科学技术（类）应用研究（款）机构运行（项）:</w:t>
      </w:r>
      <w:r>
        <w:rPr>
          <w:rStyle w:val="23"/>
          <w:rFonts w:hint="default" w:ascii="Times New Roman" w:hAnsi="Times New Roman" w:eastAsia="仿宋_GB2312" w:cs="Times New Roman"/>
          <w:b w:val="0"/>
          <w:bCs/>
          <w:color w:val="auto"/>
          <w:sz w:val="32"/>
          <w:szCs w:val="32"/>
        </w:rPr>
        <w:t>支出决算为</w:t>
      </w:r>
      <w:r>
        <w:rPr>
          <w:rFonts w:hint="default" w:ascii="Times New Roman" w:hAnsi="Times New Roman" w:eastAsia="仿宋_GB2312" w:cs="Times New Roman"/>
          <w:bCs/>
          <w:color w:val="auto"/>
          <w:sz w:val="32"/>
          <w:szCs w:val="32"/>
        </w:rPr>
        <w:t>297.85</w:t>
      </w:r>
      <w:r>
        <w:rPr>
          <w:rStyle w:val="23"/>
          <w:rFonts w:hint="default" w:ascii="Times New Roman" w:hAnsi="Times New Roman" w:eastAsia="仿宋_GB2312" w:cs="Times New Roman"/>
          <w:b w:val="0"/>
          <w:bCs/>
          <w:color w:val="auto"/>
          <w:sz w:val="32"/>
          <w:szCs w:val="32"/>
        </w:rPr>
        <w:t>万元，完成预算100%，决算数等于预算数。</w:t>
      </w:r>
    </w:p>
    <w:p>
      <w:pPr>
        <w:pageBreakBefore w:val="0"/>
        <w:kinsoku/>
        <w:wordWrap/>
        <w:overflowPunct/>
        <w:topLinePunct w:val="0"/>
        <w:bidi w:val="0"/>
        <w:spacing w:line="560" w:lineRule="exact"/>
        <w:ind w:firstLine="642" w:firstLineChars="200"/>
        <w:rPr>
          <w:rFonts w:hint="default" w:ascii="Times New Roman" w:hAnsi="Times New Roman" w:eastAsia="仿宋_GB2312" w:cs="Times New Roman"/>
          <w:bCs/>
          <w:color w:val="auto"/>
          <w:sz w:val="32"/>
          <w:szCs w:val="32"/>
        </w:rPr>
      </w:pPr>
      <w:r>
        <w:rPr>
          <w:rStyle w:val="23"/>
          <w:rFonts w:hint="default" w:ascii="Times New Roman" w:hAnsi="Times New Roman" w:eastAsia="仿宋_GB2312" w:cs="Times New Roman"/>
          <w:bCs/>
          <w:color w:val="auto"/>
          <w:sz w:val="32"/>
          <w:szCs w:val="32"/>
        </w:rPr>
        <w:t>13.科学技术（类）应用研究（款）社会公益研究（项）:</w:t>
      </w:r>
      <w:r>
        <w:rPr>
          <w:rStyle w:val="23"/>
          <w:rFonts w:hint="default" w:ascii="Times New Roman" w:hAnsi="Times New Roman" w:eastAsia="仿宋_GB2312" w:cs="Times New Roman"/>
          <w:b w:val="0"/>
          <w:bCs/>
          <w:color w:val="auto"/>
          <w:sz w:val="32"/>
          <w:szCs w:val="32"/>
        </w:rPr>
        <w:t>支出决算为</w:t>
      </w:r>
      <w:r>
        <w:rPr>
          <w:rFonts w:hint="default" w:ascii="Times New Roman" w:hAnsi="Times New Roman" w:eastAsia="仿宋_GB2312" w:cs="Times New Roman"/>
          <w:bCs/>
          <w:color w:val="auto"/>
          <w:sz w:val="32"/>
          <w:szCs w:val="32"/>
        </w:rPr>
        <w:t>128.09</w:t>
      </w:r>
      <w:r>
        <w:rPr>
          <w:rStyle w:val="23"/>
          <w:rFonts w:hint="default" w:ascii="Times New Roman" w:hAnsi="Times New Roman" w:eastAsia="仿宋_GB2312" w:cs="Times New Roman"/>
          <w:b w:val="0"/>
          <w:bCs/>
          <w:color w:val="auto"/>
          <w:sz w:val="32"/>
          <w:szCs w:val="32"/>
        </w:rPr>
        <w:t>万元，完成预算100%，决算数等于预算数。</w:t>
      </w:r>
    </w:p>
    <w:p>
      <w:pPr>
        <w:pageBreakBefore w:val="0"/>
        <w:kinsoku/>
        <w:wordWrap/>
        <w:overflowPunct/>
        <w:topLinePunct w:val="0"/>
        <w:bidi w:val="0"/>
        <w:spacing w:line="560" w:lineRule="exact"/>
        <w:ind w:firstLine="642" w:firstLineChars="200"/>
        <w:rPr>
          <w:rFonts w:hint="default" w:ascii="Times New Roman" w:hAnsi="Times New Roman" w:eastAsia="仿宋_GB2312" w:cs="Times New Roman"/>
          <w:bCs/>
          <w:color w:val="auto"/>
          <w:sz w:val="32"/>
          <w:szCs w:val="32"/>
        </w:rPr>
      </w:pPr>
      <w:r>
        <w:rPr>
          <w:rStyle w:val="23"/>
          <w:rFonts w:hint="default" w:ascii="Times New Roman" w:hAnsi="Times New Roman" w:eastAsia="仿宋_GB2312" w:cs="Times New Roman"/>
          <w:bCs/>
          <w:color w:val="auto"/>
          <w:sz w:val="32"/>
          <w:szCs w:val="32"/>
        </w:rPr>
        <w:t>14.科学技术（类）技术研究与开发（款）其他技术研究与开发支出（项）:</w:t>
      </w:r>
      <w:r>
        <w:rPr>
          <w:rStyle w:val="23"/>
          <w:rFonts w:hint="default" w:ascii="Times New Roman" w:hAnsi="Times New Roman" w:eastAsia="仿宋_GB2312" w:cs="Times New Roman"/>
          <w:b w:val="0"/>
          <w:bCs/>
          <w:color w:val="auto"/>
          <w:sz w:val="32"/>
          <w:szCs w:val="32"/>
        </w:rPr>
        <w:t>支出决算为</w:t>
      </w:r>
      <w:r>
        <w:rPr>
          <w:rFonts w:hint="default" w:ascii="Times New Roman" w:hAnsi="Times New Roman" w:eastAsia="仿宋_GB2312" w:cs="Times New Roman"/>
          <w:bCs/>
          <w:color w:val="auto"/>
          <w:sz w:val="32"/>
          <w:szCs w:val="32"/>
        </w:rPr>
        <w:t>8.74</w:t>
      </w:r>
      <w:r>
        <w:rPr>
          <w:rStyle w:val="23"/>
          <w:rFonts w:hint="default" w:ascii="Times New Roman" w:hAnsi="Times New Roman" w:eastAsia="仿宋_GB2312" w:cs="Times New Roman"/>
          <w:b w:val="0"/>
          <w:bCs/>
          <w:color w:val="auto"/>
          <w:sz w:val="32"/>
          <w:szCs w:val="32"/>
        </w:rPr>
        <w:t>万元，完成预算100%，决算数等于预算数。</w:t>
      </w:r>
    </w:p>
    <w:p>
      <w:pPr>
        <w:pageBreakBefore w:val="0"/>
        <w:kinsoku/>
        <w:wordWrap/>
        <w:overflowPunct/>
        <w:topLinePunct w:val="0"/>
        <w:bidi w:val="0"/>
        <w:spacing w:line="560" w:lineRule="exact"/>
        <w:ind w:firstLine="642" w:firstLineChars="200"/>
        <w:rPr>
          <w:rFonts w:hint="default" w:ascii="Times New Roman" w:hAnsi="Times New Roman" w:eastAsia="仿宋_GB2312" w:cs="Times New Roman"/>
          <w:bCs/>
          <w:color w:val="auto"/>
          <w:sz w:val="32"/>
          <w:szCs w:val="32"/>
        </w:rPr>
      </w:pPr>
      <w:r>
        <w:rPr>
          <w:rStyle w:val="23"/>
          <w:rFonts w:hint="default" w:ascii="Times New Roman" w:hAnsi="Times New Roman" w:eastAsia="仿宋_GB2312" w:cs="Times New Roman"/>
          <w:bCs/>
          <w:color w:val="auto"/>
          <w:sz w:val="32"/>
          <w:szCs w:val="32"/>
        </w:rPr>
        <w:t>15.科学技术（类）其他科学技术支出（款）其他科学技术支出（项）:</w:t>
      </w:r>
      <w:r>
        <w:rPr>
          <w:rStyle w:val="23"/>
          <w:rFonts w:hint="default" w:ascii="Times New Roman" w:hAnsi="Times New Roman" w:eastAsia="仿宋_GB2312" w:cs="Times New Roman"/>
          <w:b w:val="0"/>
          <w:bCs/>
          <w:color w:val="auto"/>
          <w:sz w:val="32"/>
          <w:szCs w:val="32"/>
        </w:rPr>
        <w:t>支出决算为</w:t>
      </w:r>
      <w:r>
        <w:rPr>
          <w:rFonts w:hint="default" w:ascii="Times New Roman" w:hAnsi="Times New Roman" w:eastAsia="仿宋_GB2312" w:cs="Times New Roman"/>
          <w:bCs/>
          <w:color w:val="auto"/>
          <w:sz w:val="32"/>
          <w:szCs w:val="32"/>
        </w:rPr>
        <w:t>0.93</w:t>
      </w:r>
      <w:r>
        <w:rPr>
          <w:rStyle w:val="23"/>
          <w:rFonts w:hint="default" w:ascii="Times New Roman" w:hAnsi="Times New Roman" w:eastAsia="仿宋_GB2312" w:cs="Times New Roman"/>
          <w:b w:val="0"/>
          <w:bCs/>
          <w:color w:val="auto"/>
          <w:sz w:val="32"/>
          <w:szCs w:val="32"/>
        </w:rPr>
        <w:t>万元，完成预算100%，决算数等于预算数。</w:t>
      </w:r>
    </w:p>
    <w:p>
      <w:pPr>
        <w:pageBreakBefore w:val="0"/>
        <w:kinsoku/>
        <w:wordWrap/>
        <w:overflowPunct/>
        <w:topLinePunct w:val="0"/>
        <w:bidi w:val="0"/>
        <w:spacing w:line="560" w:lineRule="exact"/>
        <w:ind w:firstLine="642" w:firstLineChars="200"/>
        <w:rPr>
          <w:rStyle w:val="23"/>
          <w:rFonts w:hint="default" w:ascii="Times New Roman" w:hAnsi="Times New Roman" w:eastAsia="仿宋_GB2312" w:cs="Times New Roman"/>
          <w:b w:val="0"/>
          <w:bCs/>
          <w:color w:val="auto"/>
          <w:sz w:val="32"/>
          <w:szCs w:val="32"/>
        </w:rPr>
      </w:pPr>
      <w:r>
        <w:rPr>
          <w:rStyle w:val="23"/>
          <w:rFonts w:hint="default" w:ascii="Times New Roman" w:hAnsi="Times New Roman" w:eastAsia="仿宋_GB2312" w:cs="Times New Roman"/>
          <w:bCs/>
          <w:color w:val="auto"/>
          <w:sz w:val="32"/>
          <w:szCs w:val="32"/>
        </w:rPr>
        <w:t>16.社会保障和就业支出（类）行政事业单位养老支出（款）行政单位离退休（项）:</w:t>
      </w:r>
      <w:r>
        <w:rPr>
          <w:rStyle w:val="23"/>
          <w:rFonts w:hint="default" w:ascii="Times New Roman" w:hAnsi="Times New Roman" w:eastAsia="仿宋_GB2312" w:cs="Times New Roman"/>
          <w:b w:val="0"/>
          <w:bCs/>
          <w:color w:val="auto"/>
          <w:sz w:val="32"/>
          <w:szCs w:val="32"/>
        </w:rPr>
        <w:t>支出决算为</w:t>
      </w:r>
      <w:r>
        <w:rPr>
          <w:rFonts w:hint="default" w:ascii="Times New Roman" w:hAnsi="Times New Roman" w:eastAsia="仿宋_GB2312" w:cs="Times New Roman"/>
          <w:bCs/>
          <w:color w:val="auto"/>
          <w:sz w:val="32"/>
          <w:szCs w:val="32"/>
        </w:rPr>
        <w:t>1,667.30</w:t>
      </w:r>
      <w:r>
        <w:rPr>
          <w:rStyle w:val="23"/>
          <w:rFonts w:hint="default" w:ascii="Times New Roman" w:hAnsi="Times New Roman" w:eastAsia="仿宋_GB2312" w:cs="Times New Roman"/>
          <w:b w:val="0"/>
          <w:bCs/>
          <w:color w:val="auto"/>
          <w:sz w:val="32"/>
          <w:szCs w:val="32"/>
        </w:rPr>
        <w:t>万元，完成预算100%，决算数等于预算数。</w:t>
      </w:r>
    </w:p>
    <w:p>
      <w:pPr>
        <w:pageBreakBefore w:val="0"/>
        <w:kinsoku/>
        <w:wordWrap/>
        <w:overflowPunct/>
        <w:topLinePunct w:val="0"/>
        <w:bidi w:val="0"/>
        <w:spacing w:line="560" w:lineRule="exact"/>
        <w:ind w:firstLine="642" w:firstLineChars="200"/>
        <w:rPr>
          <w:rFonts w:hint="default" w:ascii="Times New Roman" w:hAnsi="Times New Roman" w:eastAsia="仿宋_GB2312" w:cs="Times New Roman"/>
          <w:bCs/>
          <w:color w:val="auto"/>
          <w:sz w:val="32"/>
          <w:szCs w:val="32"/>
        </w:rPr>
      </w:pPr>
      <w:r>
        <w:rPr>
          <w:rStyle w:val="23"/>
          <w:rFonts w:hint="default" w:ascii="Times New Roman" w:hAnsi="Times New Roman" w:eastAsia="仿宋_GB2312" w:cs="Times New Roman"/>
          <w:bCs/>
          <w:color w:val="auto"/>
          <w:sz w:val="32"/>
          <w:szCs w:val="32"/>
        </w:rPr>
        <w:t>17.社会保障和就业支出（类）行政事业单位养老支出（款）事业单位离退休（项）:</w:t>
      </w:r>
      <w:r>
        <w:rPr>
          <w:rStyle w:val="23"/>
          <w:rFonts w:hint="default" w:ascii="Times New Roman" w:hAnsi="Times New Roman" w:eastAsia="仿宋_GB2312" w:cs="Times New Roman"/>
          <w:b w:val="0"/>
          <w:bCs/>
          <w:color w:val="auto"/>
          <w:sz w:val="32"/>
          <w:szCs w:val="32"/>
        </w:rPr>
        <w:t>支出决算为</w:t>
      </w:r>
      <w:r>
        <w:rPr>
          <w:rFonts w:hint="default" w:ascii="Times New Roman" w:hAnsi="Times New Roman" w:eastAsia="仿宋_GB2312" w:cs="Times New Roman"/>
          <w:bCs/>
          <w:color w:val="auto"/>
          <w:sz w:val="32"/>
          <w:szCs w:val="32"/>
        </w:rPr>
        <w:t>347.88</w:t>
      </w:r>
      <w:r>
        <w:rPr>
          <w:rStyle w:val="23"/>
          <w:rFonts w:hint="default" w:ascii="Times New Roman" w:hAnsi="Times New Roman" w:eastAsia="仿宋_GB2312" w:cs="Times New Roman"/>
          <w:b w:val="0"/>
          <w:bCs/>
          <w:color w:val="auto"/>
          <w:sz w:val="32"/>
          <w:szCs w:val="32"/>
        </w:rPr>
        <w:t>万元，完成预算100%，决算数等于预算数。</w:t>
      </w:r>
    </w:p>
    <w:p>
      <w:pPr>
        <w:pageBreakBefore w:val="0"/>
        <w:kinsoku/>
        <w:wordWrap/>
        <w:overflowPunct/>
        <w:topLinePunct w:val="0"/>
        <w:bidi w:val="0"/>
        <w:spacing w:line="560" w:lineRule="exact"/>
        <w:ind w:firstLine="642" w:firstLineChars="200"/>
        <w:rPr>
          <w:rFonts w:hint="default" w:ascii="Times New Roman" w:hAnsi="Times New Roman" w:eastAsia="仿宋_GB2312" w:cs="Times New Roman"/>
          <w:b/>
          <w:color w:val="auto"/>
          <w:sz w:val="32"/>
          <w:szCs w:val="32"/>
        </w:rPr>
      </w:pPr>
      <w:r>
        <w:rPr>
          <w:rStyle w:val="23"/>
          <w:rFonts w:hint="default" w:ascii="Times New Roman" w:hAnsi="Times New Roman" w:eastAsia="仿宋_GB2312" w:cs="Times New Roman"/>
          <w:bCs/>
          <w:color w:val="auto"/>
          <w:sz w:val="32"/>
          <w:szCs w:val="32"/>
        </w:rPr>
        <w:t>18.社会保障和就业支出（类）行政事业单位养老支出（款）机关事业单位基本养老保险缴费支出（项）:</w:t>
      </w:r>
      <w:r>
        <w:rPr>
          <w:rStyle w:val="23"/>
          <w:rFonts w:hint="default" w:ascii="Times New Roman" w:hAnsi="Times New Roman" w:eastAsia="仿宋_GB2312" w:cs="Times New Roman"/>
          <w:b w:val="0"/>
          <w:bCs/>
          <w:color w:val="auto"/>
          <w:sz w:val="32"/>
          <w:szCs w:val="32"/>
        </w:rPr>
        <w:t>支出决算为704.52万元，完成预算100%，决算数等于预算数。</w:t>
      </w:r>
    </w:p>
    <w:p>
      <w:pPr>
        <w:pageBreakBefore w:val="0"/>
        <w:kinsoku/>
        <w:wordWrap/>
        <w:overflowPunct/>
        <w:topLinePunct w:val="0"/>
        <w:bidi w:val="0"/>
        <w:spacing w:line="560" w:lineRule="exact"/>
        <w:ind w:firstLine="642" w:firstLineChars="200"/>
        <w:rPr>
          <w:rFonts w:hint="default" w:ascii="Times New Roman" w:hAnsi="Times New Roman" w:eastAsia="仿宋_GB2312" w:cs="Times New Roman"/>
          <w:b/>
          <w:color w:val="auto"/>
          <w:sz w:val="32"/>
          <w:szCs w:val="32"/>
        </w:rPr>
      </w:pPr>
      <w:r>
        <w:rPr>
          <w:rStyle w:val="23"/>
          <w:rFonts w:hint="default" w:ascii="Times New Roman" w:hAnsi="Times New Roman" w:eastAsia="仿宋_GB2312" w:cs="Times New Roman"/>
          <w:bCs/>
          <w:color w:val="auto"/>
          <w:sz w:val="32"/>
          <w:szCs w:val="32"/>
        </w:rPr>
        <w:t>19.社会保障和就业支出（类）行政事业单位养老支出（款）机关事业单位职业年金缴费支出（项）:</w:t>
      </w:r>
      <w:r>
        <w:rPr>
          <w:rStyle w:val="23"/>
          <w:rFonts w:hint="default" w:ascii="Times New Roman" w:hAnsi="Times New Roman" w:eastAsia="仿宋_GB2312" w:cs="Times New Roman"/>
          <w:b w:val="0"/>
          <w:bCs/>
          <w:color w:val="auto"/>
          <w:sz w:val="32"/>
          <w:szCs w:val="32"/>
        </w:rPr>
        <w:t>支出决算为58.82万元，完成预算100%，决算数等于预算数。</w:t>
      </w:r>
    </w:p>
    <w:p>
      <w:pPr>
        <w:pageBreakBefore w:val="0"/>
        <w:kinsoku/>
        <w:wordWrap/>
        <w:overflowPunct/>
        <w:topLinePunct w:val="0"/>
        <w:bidi w:val="0"/>
        <w:spacing w:line="560" w:lineRule="exact"/>
        <w:ind w:firstLine="642" w:firstLineChars="200"/>
        <w:rPr>
          <w:rFonts w:hint="default" w:ascii="Times New Roman" w:hAnsi="Times New Roman" w:eastAsia="仿宋_GB2312" w:cs="Times New Roman"/>
          <w:b/>
          <w:color w:val="auto"/>
          <w:sz w:val="32"/>
          <w:szCs w:val="32"/>
        </w:rPr>
      </w:pPr>
      <w:r>
        <w:rPr>
          <w:rStyle w:val="23"/>
          <w:rFonts w:hint="default" w:ascii="Times New Roman" w:hAnsi="Times New Roman" w:eastAsia="仿宋_GB2312" w:cs="Times New Roman"/>
          <w:bCs/>
          <w:color w:val="auto"/>
          <w:sz w:val="32"/>
          <w:szCs w:val="32"/>
        </w:rPr>
        <w:t>20.社会保障和就业支出（类）抚恤（款）死亡抚恤（项）:</w:t>
      </w:r>
      <w:r>
        <w:rPr>
          <w:rStyle w:val="23"/>
          <w:rFonts w:hint="default" w:ascii="Times New Roman" w:hAnsi="Times New Roman" w:eastAsia="仿宋_GB2312" w:cs="Times New Roman"/>
          <w:b w:val="0"/>
          <w:bCs/>
          <w:color w:val="auto"/>
          <w:sz w:val="32"/>
          <w:szCs w:val="32"/>
        </w:rPr>
        <w:t>支出决算为190.42万元，完成预算100%，决算数等于预算数。</w:t>
      </w:r>
    </w:p>
    <w:p>
      <w:pPr>
        <w:pageBreakBefore w:val="0"/>
        <w:kinsoku/>
        <w:wordWrap/>
        <w:overflowPunct/>
        <w:topLinePunct w:val="0"/>
        <w:bidi w:val="0"/>
        <w:spacing w:line="560" w:lineRule="exact"/>
        <w:ind w:firstLine="642" w:firstLineChars="200"/>
        <w:rPr>
          <w:rFonts w:hint="default" w:ascii="Times New Roman" w:hAnsi="Times New Roman" w:eastAsia="仿宋_GB2312" w:cs="Times New Roman"/>
          <w:b/>
          <w:color w:val="auto"/>
          <w:sz w:val="32"/>
          <w:szCs w:val="32"/>
        </w:rPr>
      </w:pPr>
      <w:r>
        <w:rPr>
          <w:rStyle w:val="23"/>
          <w:rFonts w:hint="default" w:ascii="Times New Roman" w:hAnsi="Times New Roman" w:eastAsia="仿宋_GB2312" w:cs="Times New Roman"/>
          <w:bCs/>
          <w:color w:val="auto"/>
          <w:sz w:val="32"/>
          <w:szCs w:val="32"/>
        </w:rPr>
        <w:t>21.社会保障和就业支出（类）其他社会保障和就业支出（款）其他社会保障和就业支出（项）:</w:t>
      </w:r>
      <w:r>
        <w:rPr>
          <w:rStyle w:val="23"/>
          <w:rFonts w:hint="default" w:ascii="Times New Roman" w:hAnsi="Times New Roman" w:eastAsia="仿宋_GB2312" w:cs="Times New Roman"/>
          <w:b w:val="0"/>
          <w:bCs/>
          <w:color w:val="auto"/>
          <w:sz w:val="32"/>
          <w:szCs w:val="32"/>
        </w:rPr>
        <w:t>支出决算为3.75万元，完成预算100%，决算数等于预算数。</w:t>
      </w:r>
    </w:p>
    <w:p>
      <w:pPr>
        <w:pageBreakBefore w:val="0"/>
        <w:kinsoku/>
        <w:wordWrap/>
        <w:overflowPunct/>
        <w:topLinePunct w:val="0"/>
        <w:bidi w:val="0"/>
        <w:spacing w:line="560" w:lineRule="exact"/>
        <w:ind w:firstLine="642" w:firstLineChars="200"/>
        <w:rPr>
          <w:rFonts w:hint="default" w:ascii="Times New Roman" w:hAnsi="Times New Roman" w:eastAsia="仿宋_GB2312" w:cs="Times New Roman"/>
          <w:b/>
          <w:color w:val="auto"/>
          <w:sz w:val="32"/>
          <w:szCs w:val="32"/>
        </w:rPr>
      </w:pPr>
      <w:r>
        <w:rPr>
          <w:rStyle w:val="23"/>
          <w:rFonts w:hint="default" w:ascii="Times New Roman" w:hAnsi="Times New Roman" w:eastAsia="仿宋_GB2312" w:cs="Times New Roman"/>
          <w:bCs/>
          <w:color w:val="auto"/>
          <w:sz w:val="32"/>
          <w:szCs w:val="32"/>
        </w:rPr>
        <w:t>22.</w:t>
      </w:r>
      <w:r>
        <w:rPr>
          <w:rFonts w:hint="default" w:ascii="Times New Roman" w:hAnsi="Times New Roman" w:eastAsia="仿宋_GB2312" w:cs="Times New Roman"/>
          <w:b/>
          <w:bCs/>
          <w:color w:val="auto"/>
          <w:sz w:val="32"/>
          <w:szCs w:val="32"/>
        </w:rPr>
        <w:t>卫生健康</w:t>
      </w:r>
      <w:r>
        <w:rPr>
          <w:rStyle w:val="23"/>
          <w:rFonts w:hint="default" w:ascii="Times New Roman" w:hAnsi="Times New Roman" w:eastAsia="仿宋_GB2312" w:cs="Times New Roman"/>
          <w:bCs/>
          <w:color w:val="auto"/>
          <w:sz w:val="32"/>
          <w:szCs w:val="32"/>
        </w:rPr>
        <w:t>（类）行政事业单位医疗（款）行政单位医疗（项）:</w:t>
      </w:r>
      <w:r>
        <w:rPr>
          <w:rStyle w:val="23"/>
          <w:rFonts w:hint="default" w:ascii="Times New Roman" w:hAnsi="Times New Roman" w:eastAsia="仿宋_GB2312" w:cs="Times New Roman"/>
          <w:b w:val="0"/>
          <w:bCs/>
          <w:color w:val="auto"/>
          <w:sz w:val="32"/>
          <w:szCs w:val="32"/>
        </w:rPr>
        <w:t>支出决算为470.89万元，完成预算100%，决算数等于预算数。</w:t>
      </w:r>
    </w:p>
    <w:p>
      <w:pPr>
        <w:pageBreakBefore w:val="0"/>
        <w:kinsoku/>
        <w:wordWrap/>
        <w:overflowPunct/>
        <w:topLinePunct w:val="0"/>
        <w:bidi w:val="0"/>
        <w:spacing w:line="560" w:lineRule="exact"/>
        <w:ind w:firstLine="642" w:firstLineChars="200"/>
        <w:rPr>
          <w:rFonts w:hint="default" w:ascii="Times New Roman" w:hAnsi="Times New Roman" w:eastAsia="仿宋_GB2312" w:cs="Times New Roman"/>
          <w:b/>
          <w:color w:val="auto"/>
          <w:sz w:val="32"/>
          <w:szCs w:val="32"/>
        </w:rPr>
      </w:pPr>
      <w:r>
        <w:rPr>
          <w:rStyle w:val="23"/>
          <w:rFonts w:hint="default" w:ascii="Times New Roman" w:hAnsi="Times New Roman" w:eastAsia="仿宋_GB2312" w:cs="Times New Roman"/>
          <w:bCs/>
          <w:color w:val="auto"/>
          <w:sz w:val="32"/>
          <w:szCs w:val="32"/>
        </w:rPr>
        <w:t>23.</w:t>
      </w:r>
      <w:r>
        <w:rPr>
          <w:rFonts w:hint="default" w:ascii="Times New Roman" w:hAnsi="Times New Roman" w:eastAsia="仿宋_GB2312" w:cs="Times New Roman"/>
          <w:b/>
          <w:bCs/>
          <w:color w:val="auto"/>
          <w:sz w:val="32"/>
          <w:szCs w:val="32"/>
        </w:rPr>
        <w:t>卫生健康</w:t>
      </w:r>
      <w:r>
        <w:rPr>
          <w:rStyle w:val="23"/>
          <w:rFonts w:hint="default" w:ascii="Times New Roman" w:hAnsi="Times New Roman" w:eastAsia="仿宋_GB2312" w:cs="Times New Roman"/>
          <w:bCs/>
          <w:color w:val="auto"/>
          <w:sz w:val="32"/>
          <w:szCs w:val="32"/>
        </w:rPr>
        <w:t>（类）行政事业单位医疗（款）事业单位医疗（项）:</w:t>
      </w:r>
      <w:r>
        <w:rPr>
          <w:rStyle w:val="23"/>
          <w:rFonts w:hint="default" w:ascii="Times New Roman" w:hAnsi="Times New Roman" w:eastAsia="仿宋_GB2312" w:cs="Times New Roman"/>
          <w:b w:val="0"/>
          <w:bCs/>
          <w:color w:val="auto"/>
          <w:sz w:val="32"/>
          <w:szCs w:val="32"/>
        </w:rPr>
        <w:t>支出决算为97.77万元，完成预算100%，决算数等于预算数。</w:t>
      </w:r>
    </w:p>
    <w:p>
      <w:pPr>
        <w:pageBreakBefore w:val="0"/>
        <w:kinsoku/>
        <w:wordWrap/>
        <w:overflowPunct/>
        <w:topLinePunct w:val="0"/>
        <w:bidi w:val="0"/>
        <w:spacing w:line="560" w:lineRule="exact"/>
        <w:ind w:firstLine="642" w:firstLineChars="200"/>
        <w:rPr>
          <w:rStyle w:val="23"/>
          <w:rFonts w:hint="default" w:ascii="Times New Roman" w:hAnsi="Times New Roman" w:eastAsia="仿宋_GB2312" w:cs="Times New Roman"/>
          <w:b w:val="0"/>
          <w:bCs/>
          <w:color w:val="auto"/>
          <w:sz w:val="32"/>
          <w:szCs w:val="32"/>
        </w:rPr>
      </w:pPr>
      <w:r>
        <w:rPr>
          <w:rStyle w:val="23"/>
          <w:rFonts w:hint="default" w:ascii="Times New Roman" w:hAnsi="Times New Roman" w:eastAsia="仿宋_GB2312" w:cs="Times New Roman"/>
          <w:bCs/>
          <w:color w:val="auto"/>
          <w:sz w:val="32"/>
          <w:szCs w:val="32"/>
        </w:rPr>
        <w:t>24.</w:t>
      </w:r>
      <w:r>
        <w:rPr>
          <w:rFonts w:hint="default" w:ascii="Times New Roman" w:hAnsi="Times New Roman" w:eastAsia="仿宋_GB2312" w:cs="Times New Roman"/>
          <w:b/>
          <w:bCs/>
          <w:color w:val="auto"/>
          <w:sz w:val="32"/>
          <w:szCs w:val="32"/>
        </w:rPr>
        <w:t>卫生健康</w:t>
      </w:r>
      <w:r>
        <w:rPr>
          <w:rStyle w:val="23"/>
          <w:rFonts w:hint="default" w:ascii="Times New Roman" w:hAnsi="Times New Roman" w:eastAsia="仿宋_GB2312" w:cs="Times New Roman"/>
          <w:bCs/>
          <w:color w:val="auto"/>
          <w:sz w:val="32"/>
          <w:szCs w:val="32"/>
        </w:rPr>
        <w:t>（类）行政事业单位医疗（款）公务员医疗补助（项）:</w:t>
      </w:r>
      <w:r>
        <w:rPr>
          <w:rStyle w:val="23"/>
          <w:rFonts w:hint="default" w:ascii="Times New Roman" w:hAnsi="Times New Roman" w:eastAsia="仿宋_GB2312" w:cs="Times New Roman"/>
          <w:b w:val="0"/>
          <w:bCs/>
          <w:color w:val="auto"/>
          <w:sz w:val="32"/>
          <w:szCs w:val="32"/>
        </w:rPr>
        <w:t>支出决算为121.8万元，完成预算100%，决算数等于预算数。</w:t>
      </w:r>
    </w:p>
    <w:p>
      <w:pPr>
        <w:pageBreakBefore w:val="0"/>
        <w:kinsoku/>
        <w:wordWrap/>
        <w:overflowPunct/>
        <w:topLinePunct w:val="0"/>
        <w:bidi w:val="0"/>
        <w:spacing w:line="560" w:lineRule="exact"/>
        <w:ind w:firstLine="642" w:firstLineChars="200"/>
        <w:rPr>
          <w:rFonts w:hint="default" w:ascii="Times New Roman" w:hAnsi="Times New Roman" w:eastAsia="仿宋_GB2312" w:cs="Times New Roman"/>
          <w:bCs/>
          <w:color w:val="auto"/>
          <w:sz w:val="32"/>
          <w:szCs w:val="32"/>
        </w:rPr>
      </w:pPr>
      <w:r>
        <w:rPr>
          <w:rStyle w:val="23"/>
          <w:rFonts w:hint="default" w:ascii="Times New Roman" w:hAnsi="Times New Roman" w:eastAsia="仿宋_GB2312" w:cs="Times New Roman"/>
          <w:bCs/>
          <w:color w:val="auto"/>
          <w:sz w:val="32"/>
          <w:szCs w:val="32"/>
        </w:rPr>
        <w:t>25.</w:t>
      </w:r>
      <w:r>
        <w:rPr>
          <w:rFonts w:hint="default" w:ascii="Times New Roman" w:hAnsi="Times New Roman" w:eastAsia="仿宋_GB2312" w:cs="Times New Roman"/>
          <w:b/>
          <w:bCs/>
          <w:color w:val="auto"/>
          <w:sz w:val="32"/>
          <w:szCs w:val="32"/>
        </w:rPr>
        <w:t>卫生健康</w:t>
      </w:r>
      <w:r>
        <w:rPr>
          <w:rStyle w:val="23"/>
          <w:rFonts w:hint="default" w:ascii="Times New Roman" w:hAnsi="Times New Roman" w:eastAsia="仿宋_GB2312" w:cs="Times New Roman"/>
          <w:bCs/>
          <w:color w:val="auto"/>
          <w:sz w:val="32"/>
          <w:szCs w:val="32"/>
        </w:rPr>
        <w:t>（类）其他卫生健康支出（款）其他卫生健康支出（项）:</w:t>
      </w:r>
      <w:r>
        <w:rPr>
          <w:rStyle w:val="23"/>
          <w:rFonts w:hint="default" w:ascii="Times New Roman" w:hAnsi="Times New Roman" w:eastAsia="仿宋_GB2312" w:cs="Times New Roman"/>
          <w:b w:val="0"/>
          <w:bCs/>
          <w:color w:val="auto"/>
          <w:sz w:val="32"/>
          <w:szCs w:val="32"/>
        </w:rPr>
        <w:t>支出决算为</w:t>
      </w:r>
      <w:r>
        <w:rPr>
          <w:rFonts w:hint="default" w:ascii="Times New Roman" w:hAnsi="Times New Roman" w:eastAsia="仿宋_GB2312" w:cs="Times New Roman"/>
          <w:bCs/>
          <w:color w:val="auto"/>
          <w:sz w:val="32"/>
          <w:szCs w:val="32"/>
        </w:rPr>
        <w:t>20.00</w:t>
      </w:r>
      <w:r>
        <w:rPr>
          <w:rStyle w:val="23"/>
          <w:rFonts w:hint="default" w:ascii="Times New Roman" w:hAnsi="Times New Roman" w:eastAsia="仿宋_GB2312" w:cs="Times New Roman"/>
          <w:b w:val="0"/>
          <w:bCs/>
          <w:color w:val="auto"/>
          <w:sz w:val="32"/>
          <w:szCs w:val="32"/>
        </w:rPr>
        <w:t>万元，完成预算100%，决算数等于预算数。</w:t>
      </w:r>
    </w:p>
    <w:p>
      <w:pPr>
        <w:pageBreakBefore w:val="0"/>
        <w:kinsoku/>
        <w:wordWrap/>
        <w:overflowPunct/>
        <w:topLinePunct w:val="0"/>
        <w:bidi w:val="0"/>
        <w:spacing w:line="560" w:lineRule="exact"/>
        <w:ind w:firstLine="642" w:firstLineChars="200"/>
        <w:rPr>
          <w:rFonts w:hint="default" w:ascii="Times New Roman" w:hAnsi="Times New Roman" w:eastAsia="仿宋_GB2312" w:cs="Times New Roman"/>
          <w:b/>
          <w:color w:val="auto"/>
          <w:sz w:val="32"/>
          <w:szCs w:val="32"/>
        </w:rPr>
      </w:pPr>
      <w:r>
        <w:rPr>
          <w:rStyle w:val="23"/>
          <w:rFonts w:hint="default" w:ascii="Times New Roman" w:hAnsi="Times New Roman" w:eastAsia="仿宋_GB2312" w:cs="Times New Roman"/>
          <w:bCs/>
          <w:color w:val="auto"/>
          <w:sz w:val="32"/>
          <w:szCs w:val="32"/>
        </w:rPr>
        <w:t>26.</w:t>
      </w:r>
      <w:r>
        <w:rPr>
          <w:rFonts w:hint="default" w:ascii="Times New Roman" w:hAnsi="Times New Roman" w:eastAsia="仿宋_GB2312" w:cs="Times New Roman"/>
          <w:b/>
          <w:bCs/>
          <w:color w:val="auto"/>
          <w:sz w:val="32"/>
          <w:szCs w:val="32"/>
        </w:rPr>
        <w:t>住房保障支出</w:t>
      </w:r>
      <w:r>
        <w:rPr>
          <w:rStyle w:val="23"/>
          <w:rFonts w:hint="default" w:ascii="Times New Roman" w:hAnsi="Times New Roman" w:eastAsia="仿宋_GB2312" w:cs="Times New Roman"/>
          <w:bCs/>
          <w:color w:val="auto"/>
          <w:sz w:val="32"/>
          <w:szCs w:val="32"/>
        </w:rPr>
        <w:t>（类）住房改革支出（款）住房公积金（项）:</w:t>
      </w:r>
      <w:r>
        <w:rPr>
          <w:rStyle w:val="23"/>
          <w:rFonts w:hint="default" w:ascii="Times New Roman" w:hAnsi="Times New Roman" w:eastAsia="仿宋_GB2312" w:cs="Times New Roman"/>
          <w:b w:val="0"/>
          <w:bCs/>
          <w:color w:val="auto"/>
          <w:sz w:val="32"/>
          <w:szCs w:val="32"/>
        </w:rPr>
        <w:t>支出决算为708.44万元，完成预算100%，决算数等于预算数。</w:t>
      </w:r>
    </w:p>
    <w:p>
      <w:pPr>
        <w:pageBreakBefore w:val="0"/>
        <w:kinsoku/>
        <w:wordWrap/>
        <w:overflowPunct/>
        <w:topLinePunct w:val="0"/>
        <w:bidi w:val="0"/>
        <w:spacing w:line="560" w:lineRule="exact"/>
        <w:ind w:firstLine="642" w:firstLineChars="200"/>
        <w:rPr>
          <w:rFonts w:hint="default" w:ascii="Times New Roman" w:hAnsi="Times New Roman" w:eastAsia="仿宋_GB2312" w:cs="Times New Roman"/>
          <w:b/>
          <w:color w:val="auto"/>
          <w:sz w:val="32"/>
          <w:szCs w:val="32"/>
        </w:rPr>
      </w:pPr>
      <w:r>
        <w:rPr>
          <w:rStyle w:val="23"/>
          <w:rFonts w:hint="default" w:ascii="Times New Roman" w:hAnsi="Times New Roman" w:eastAsia="仿宋_GB2312" w:cs="Times New Roman"/>
          <w:bCs/>
          <w:color w:val="auto"/>
          <w:sz w:val="32"/>
          <w:szCs w:val="32"/>
        </w:rPr>
        <w:t>27.</w:t>
      </w:r>
      <w:r>
        <w:rPr>
          <w:rFonts w:hint="default" w:ascii="Times New Roman" w:hAnsi="Times New Roman" w:eastAsia="仿宋_GB2312" w:cs="Times New Roman"/>
          <w:b/>
          <w:bCs/>
          <w:color w:val="auto"/>
          <w:sz w:val="32"/>
          <w:szCs w:val="32"/>
        </w:rPr>
        <w:t xml:space="preserve"> 住房保障支出</w:t>
      </w:r>
      <w:r>
        <w:rPr>
          <w:rStyle w:val="23"/>
          <w:rFonts w:hint="default" w:ascii="Times New Roman" w:hAnsi="Times New Roman" w:eastAsia="仿宋_GB2312" w:cs="Times New Roman"/>
          <w:bCs/>
          <w:color w:val="auto"/>
          <w:sz w:val="32"/>
          <w:szCs w:val="32"/>
        </w:rPr>
        <w:t>（类）住房改革支出（款）购房补贴（项）:</w:t>
      </w:r>
      <w:r>
        <w:rPr>
          <w:rStyle w:val="23"/>
          <w:rFonts w:hint="default" w:ascii="Times New Roman" w:hAnsi="Times New Roman" w:eastAsia="仿宋_GB2312" w:cs="Times New Roman"/>
          <w:b w:val="0"/>
          <w:bCs/>
          <w:color w:val="auto"/>
          <w:sz w:val="32"/>
          <w:szCs w:val="32"/>
        </w:rPr>
        <w:t>支出决算为562.52万元，完成预算100%，决算数等于预算数。</w:t>
      </w:r>
    </w:p>
    <w:p>
      <w:pPr>
        <w:pageBreakBefore w:val="0"/>
        <w:kinsoku/>
        <w:wordWrap/>
        <w:overflowPunct/>
        <w:topLinePunct w:val="0"/>
        <w:bidi w:val="0"/>
        <w:spacing w:line="560" w:lineRule="exact"/>
        <w:ind w:firstLine="642" w:firstLineChars="200"/>
        <w:rPr>
          <w:rFonts w:hint="default" w:ascii="Times New Roman" w:hAnsi="Times New Roman" w:eastAsia="仿宋_GB2312" w:cs="Times New Roman"/>
          <w:b/>
          <w:color w:val="auto"/>
          <w:sz w:val="32"/>
          <w:szCs w:val="32"/>
        </w:rPr>
      </w:pPr>
      <w:r>
        <w:rPr>
          <w:rStyle w:val="23"/>
          <w:rFonts w:hint="default" w:ascii="Times New Roman" w:hAnsi="Times New Roman" w:eastAsia="仿宋_GB2312" w:cs="Times New Roman"/>
          <w:bCs/>
          <w:color w:val="auto"/>
          <w:sz w:val="32"/>
          <w:szCs w:val="32"/>
        </w:rPr>
        <w:t>28.</w:t>
      </w:r>
      <w:r>
        <w:rPr>
          <w:rFonts w:hint="default" w:ascii="Times New Roman" w:hAnsi="Times New Roman" w:eastAsia="仿宋_GB2312" w:cs="Times New Roman"/>
          <w:b/>
          <w:bCs/>
          <w:color w:val="auto"/>
          <w:sz w:val="32"/>
          <w:szCs w:val="32"/>
        </w:rPr>
        <w:t>灾害防治及应急管理支出</w:t>
      </w:r>
      <w:r>
        <w:rPr>
          <w:rStyle w:val="23"/>
          <w:rFonts w:hint="default" w:ascii="Times New Roman" w:hAnsi="Times New Roman" w:eastAsia="仿宋_GB2312" w:cs="Times New Roman"/>
          <w:bCs/>
          <w:color w:val="auto"/>
          <w:sz w:val="32"/>
          <w:szCs w:val="32"/>
        </w:rPr>
        <w:t>（类）应急管理事务（款）其他应急管理支出（项）:</w:t>
      </w:r>
      <w:r>
        <w:rPr>
          <w:rStyle w:val="23"/>
          <w:rFonts w:hint="default" w:ascii="Times New Roman" w:hAnsi="Times New Roman" w:eastAsia="仿宋_GB2312" w:cs="Times New Roman"/>
          <w:b w:val="0"/>
          <w:bCs/>
          <w:color w:val="auto"/>
          <w:sz w:val="32"/>
          <w:szCs w:val="32"/>
        </w:rPr>
        <w:t>支出决算为9.57万元，完成预算100%，决算数等于预算数。</w:t>
      </w:r>
    </w:p>
    <w:p>
      <w:pPr>
        <w:pageBreakBefore w:val="0"/>
        <w:kinsoku/>
        <w:wordWrap/>
        <w:overflowPunct/>
        <w:topLinePunct w:val="0"/>
        <w:bidi w:val="0"/>
        <w:spacing w:line="560" w:lineRule="exact"/>
        <w:ind w:firstLine="642" w:firstLineChars="200"/>
        <w:rPr>
          <w:rFonts w:hint="default" w:ascii="Times New Roman" w:hAnsi="Times New Roman" w:eastAsia="仿宋" w:cs="Times New Roman"/>
          <w:b/>
          <w:color w:val="auto"/>
          <w:sz w:val="32"/>
          <w:szCs w:val="32"/>
        </w:rPr>
      </w:pPr>
      <w:r>
        <w:rPr>
          <w:rStyle w:val="23"/>
          <w:rFonts w:hint="default" w:ascii="Times New Roman" w:hAnsi="Times New Roman" w:eastAsia="仿宋_GB2312" w:cs="Times New Roman"/>
          <w:bCs/>
          <w:color w:val="auto"/>
          <w:sz w:val="32"/>
          <w:szCs w:val="32"/>
        </w:rPr>
        <w:t>29.</w:t>
      </w:r>
      <w:r>
        <w:rPr>
          <w:rFonts w:hint="default" w:ascii="Times New Roman" w:hAnsi="Times New Roman" w:eastAsia="仿宋_GB2312" w:cs="Times New Roman"/>
          <w:b/>
          <w:bCs/>
          <w:color w:val="auto"/>
          <w:sz w:val="32"/>
          <w:szCs w:val="32"/>
        </w:rPr>
        <w:t>节能环保支出</w:t>
      </w:r>
      <w:r>
        <w:rPr>
          <w:rStyle w:val="23"/>
          <w:rFonts w:hint="default" w:ascii="Times New Roman" w:hAnsi="Times New Roman" w:eastAsia="仿宋_GB2312" w:cs="Times New Roman"/>
          <w:bCs/>
          <w:color w:val="auto"/>
          <w:sz w:val="32"/>
          <w:szCs w:val="32"/>
        </w:rPr>
        <w:t>（类）环境监测与监察（款）其他环境监测与监察（项）:</w:t>
      </w:r>
      <w:r>
        <w:rPr>
          <w:rStyle w:val="23"/>
          <w:rFonts w:hint="default" w:ascii="Times New Roman" w:hAnsi="Times New Roman" w:eastAsia="仿宋_GB2312" w:cs="Times New Roman"/>
          <w:b w:val="0"/>
          <w:bCs/>
          <w:color w:val="auto"/>
          <w:sz w:val="32"/>
          <w:szCs w:val="32"/>
        </w:rPr>
        <w:t>支出决算为</w:t>
      </w:r>
      <w:r>
        <w:rPr>
          <w:rFonts w:hint="default" w:ascii="Times New Roman" w:hAnsi="Times New Roman" w:eastAsia="仿宋_GB2312" w:cs="Times New Roman"/>
          <w:bCs/>
          <w:color w:val="auto"/>
          <w:sz w:val="32"/>
          <w:szCs w:val="32"/>
        </w:rPr>
        <w:t>527.00</w:t>
      </w:r>
      <w:r>
        <w:rPr>
          <w:rStyle w:val="23"/>
          <w:rFonts w:hint="default" w:ascii="Times New Roman" w:hAnsi="Times New Roman" w:eastAsia="仿宋_GB2312" w:cs="Times New Roman"/>
          <w:b w:val="0"/>
          <w:bCs/>
          <w:color w:val="auto"/>
          <w:sz w:val="32"/>
          <w:szCs w:val="32"/>
        </w:rPr>
        <w:t>万元，完成预算100%，决算数等于预算数。</w:t>
      </w:r>
    </w:p>
    <w:p>
      <w:pPr>
        <w:pageBreakBefore w:val="0"/>
        <w:tabs>
          <w:tab w:val="right" w:pos="8306"/>
        </w:tabs>
        <w:kinsoku/>
        <w:wordWrap/>
        <w:overflowPunct/>
        <w:topLinePunct w:val="0"/>
        <w:bidi w:val="0"/>
        <w:spacing w:line="560" w:lineRule="exact"/>
        <w:ind w:firstLine="640"/>
        <w:outlineLvl w:val="1"/>
        <w:rPr>
          <w:rStyle w:val="34"/>
          <w:rFonts w:hint="default" w:ascii="Times New Roman" w:hAnsi="Times New Roman" w:cs="Times New Roman"/>
          <w:color w:val="auto"/>
        </w:rPr>
      </w:pPr>
      <w:bookmarkStart w:id="70" w:name="_Toc15396608"/>
      <w:bookmarkStart w:id="71" w:name="_Toc112248408"/>
      <w:bookmarkStart w:id="72" w:name="_Toc15377214"/>
      <w:r>
        <w:rPr>
          <w:rFonts w:hint="default" w:ascii="Times New Roman" w:hAnsi="Times New Roman" w:eastAsia="黑体" w:cs="Times New Roman"/>
          <w:color w:val="auto"/>
          <w:sz w:val="32"/>
          <w:szCs w:val="32"/>
        </w:rPr>
        <w:t>六</w:t>
      </w:r>
      <w:r>
        <w:rPr>
          <w:rFonts w:hint="default" w:ascii="Times New Roman" w:hAnsi="Times New Roman" w:eastAsia="黑体" w:cs="Times New Roman"/>
          <w:b/>
          <w:color w:val="auto"/>
          <w:sz w:val="32"/>
          <w:szCs w:val="32"/>
        </w:rPr>
        <w:t>、一</w:t>
      </w:r>
      <w:r>
        <w:rPr>
          <w:rStyle w:val="34"/>
          <w:rFonts w:hint="default" w:ascii="Times New Roman" w:hAnsi="Times New Roman" w:eastAsia="黑体" w:cs="Times New Roman"/>
          <w:b w:val="0"/>
          <w:color w:val="auto"/>
        </w:rPr>
        <w:t>般公共预算财政拨款基本支出决算情况说明</w:t>
      </w:r>
      <w:bookmarkEnd w:id="70"/>
      <w:bookmarkEnd w:id="71"/>
      <w:bookmarkEnd w:id="72"/>
      <w:r>
        <w:rPr>
          <w:rStyle w:val="34"/>
          <w:rFonts w:hint="default" w:ascii="Times New Roman" w:hAnsi="Times New Roman" w:eastAsia="黑体" w:cs="Times New Roman"/>
          <w:b w:val="0"/>
          <w:color w:val="auto"/>
        </w:rPr>
        <w:tab/>
      </w:r>
    </w:p>
    <w:p>
      <w:pPr>
        <w:pageBreakBefore w:val="0"/>
        <w:kinsoku/>
        <w:wordWrap/>
        <w:overflowPunct/>
        <w:topLinePunct w:val="0"/>
        <w:bidi w:val="0"/>
        <w:spacing w:line="560" w:lineRule="exact"/>
        <w:ind w:firstLine="646"/>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2021年一般公共预算财政拨款基本支出15,055.79万元，其中：</w:t>
      </w:r>
    </w:p>
    <w:p>
      <w:pPr>
        <w:pageBreakBefore w:val="0"/>
        <w:kinsoku/>
        <w:wordWrap/>
        <w:overflowPunct/>
        <w:topLinePunct w:val="0"/>
        <w:bidi w:val="0"/>
        <w:spacing w:line="560" w:lineRule="exact"/>
        <w:ind w:firstLine="646"/>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人员经费11,715.92万元，主要包括：基本工资、津贴补贴、奖金、绩效工资、机关事业单位基本养老保险缴费、职业年金缴费、其他社会保障缴费、其他工资福利支出、离休费、退休费、抚恤金、生活补助、奖励金、住房公积金、其他对个人和家庭的补助支出等。</w:t>
      </w:r>
    </w:p>
    <w:p>
      <w:pPr>
        <w:pageBreakBefore w:val="0"/>
        <w:kinsoku/>
        <w:wordWrap/>
        <w:overflowPunct/>
        <w:topLinePunct w:val="0"/>
        <w:bidi w:val="0"/>
        <w:spacing w:line="560" w:lineRule="exact"/>
        <w:ind w:firstLine="646"/>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用经费3,339.87万元，主要包括：办公费、印刷费、咨询费、手续费、水费、电费、邮电费、取暖费、物业管理费、差旅费、维修（护）费、租赁费、会议费、培训费、公务接待费、劳务费、委托业务费、工会经费、福利费、公务用车运行维护费、其他交通费、其他商品和服务支出等。</w:t>
      </w:r>
    </w:p>
    <w:p>
      <w:pPr>
        <w:pageBreakBefore w:val="0"/>
        <w:kinsoku/>
        <w:wordWrap/>
        <w:overflowPunct/>
        <w:topLinePunct w:val="0"/>
        <w:bidi w:val="0"/>
        <w:spacing w:line="560" w:lineRule="exact"/>
        <w:ind w:firstLine="640"/>
        <w:outlineLvl w:val="1"/>
        <w:rPr>
          <w:rStyle w:val="34"/>
          <w:rFonts w:hint="default" w:ascii="Times New Roman" w:hAnsi="Times New Roman" w:eastAsia="黑体" w:cs="Times New Roman"/>
          <w:b w:val="0"/>
          <w:color w:val="auto"/>
        </w:rPr>
      </w:pPr>
      <w:bookmarkStart w:id="73" w:name="_Toc15377215"/>
      <w:bookmarkStart w:id="74" w:name="_Toc15396609"/>
      <w:bookmarkStart w:id="75" w:name="_Toc112248409"/>
      <w:r>
        <w:rPr>
          <w:rFonts w:hint="default" w:ascii="Times New Roman" w:hAnsi="Times New Roman" w:eastAsia="黑体" w:cs="Times New Roman"/>
          <w:color w:val="auto"/>
          <w:sz w:val="32"/>
          <w:szCs w:val="32"/>
        </w:rPr>
        <w:t>七、</w:t>
      </w:r>
      <w:r>
        <w:rPr>
          <w:rStyle w:val="34"/>
          <w:rFonts w:hint="default" w:ascii="Times New Roman" w:hAnsi="Times New Roman" w:eastAsia="黑体" w:cs="Times New Roman"/>
          <w:color w:val="auto"/>
        </w:rPr>
        <w:t>“</w:t>
      </w:r>
      <w:r>
        <w:rPr>
          <w:rStyle w:val="34"/>
          <w:rFonts w:hint="default" w:ascii="Times New Roman" w:hAnsi="Times New Roman" w:eastAsia="黑体" w:cs="Times New Roman"/>
          <w:b w:val="0"/>
          <w:color w:val="auto"/>
        </w:rPr>
        <w:t>三公”经费财政拨款支出决算情况说明</w:t>
      </w:r>
      <w:bookmarkEnd w:id="73"/>
      <w:bookmarkEnd w:id="74"/>
      <w:bookmarkEnd w:id="75"/>
    </w:p>
    <w:p>
      <w:pPr>
        <w:pageBreakBefore w:val="0"/>
        <w:kinsoku/>
        <w:wordWrap/>
        <w:overflowPunct/>
        <w:topLinePunct w:val="0"/>
        <w:bidi w:val="0"/>
        <w:spacing w:line="560" w:lineRule="exact"/>
        <w:ind w:firstLine="640"/>
        <w:outlineLvl w:val="2"/>
        <w:rPr>
          <w:rFonts w:hint="default" w:ascii="Times New Roman" w:hAnsi="Times New Roman" w:eastAsia="楷体_GB2312" w:cs="Times New Roman"/>
          <w:b/>
          <w:bCs w:val="0"/>
          <w:color w:val="auto"/>
          <w:sz w:val="32"/>
          <w:szCs w:val="32"/>
        </w:rPr>
      </w:pPr>
      <w:bookmarkStart w:id="76" w:name="_Toc15377216"/>
      <w:bookmarkStart w:id="77" w:name="_Toc112248410"/>
      <w:r>
        <w:rPr>
          <w:rFonts w:hint="default" w:ascii="Times New Roman" w:hAnsi="Times New Roman" w:eastAsia="楷体_GB2312" w:cs="Times New Roman"/>
          <w:b/>
          <w:bCs w:val="0"/>
          <w:color w:val="auto"/>
          <w:sz w:val="32"/>
          <w:szCs w:val="32"/>
        </w:rPr>
        <w:t>（一）“三公”经费财政拨款支出决算总体情况说明</w:t>
      </w:r>
      <w:bookmarkEnd w:id="76"/>
      <w:r>
        <w:rPr>
          <w:rFonts w:hint="default" w:ascii="Times New Roman" w:hAnsi="Times New Roman" w:eastAsia="楷体_GB2312" w:cs="Times New Roman"/>
          <w:b/>
          <w:bCs w:val="0"/>
          <w:color w:val="auto"/>
          <w:sz w:val="32"/>
          <w:szCs w:val="32"/>
        </w:rPr>
        <w:t>。</w:t>
      </w:r>
      <w:bookmarkEnd w:id="77"/>
    </w:p>
    <w:p>
      <w:pPr>
        <w:pageBreakBefore w:val="0"/>
        <w:kinsoku/>
        <w:wordWrap/>
        <w:overflowPunct/>
        <w:topLinePunct w:val="0"/>
        <w:bidi w:val="0"/>
        <w:spacing w:line="56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2021年“三公”经费财政拨款支出决算为144.18万元，完成预算100%，决算数与预算数持平。</w:t>
      </w:r>
    </w:p>
    <w:p>
      <w:pPr>
        <w:pageBreakBefore w:val="0"/>
        <w:kinsoku/>
        <w:wordWrap/>
        <w:overflowPunct/>
        <w:topLinePunct w:val="0"/>
        <w:bidi w:val="0"/>
        <w:spacing w:line="560" w:lineRule="exact"/>
        <w:ind w:firstLine="640"/>
        <w:outlineLvl w:val="2"/>
        <w:rPr>
          <w:rFonts w:hint="default" w:ascii="Times New Roman" w:hAnsi="Times New Roman" w:eastAsia="楷体_GB2312" w:cs="Times New Roman"/>
          <w:b/>
          <w:bCs w:val="0"/>
          <w:color w:val="auto"/>
          <w:sz w:val="32"/>
          <w:szCs w:val="32"/>
        </w:rPr>
      </w:pPr>
      <w:bookmarkStart w:id="78" w:name="_Toc15377217"/>
      <w:bookmarkStart w:id="79" w:name="_Toc112248411"/>
      <w:r>
        <w:rPr>
          <w:rFonts w:hint="default" w:ascii="Times New Roman" w:hAnsi="Times New Roman" w:eastAsia="楷体_GB2312" w:cs="Times New Roman"/>
          <w:b/>
          <w:bCs w:val="0"/>
          <w:color w:val="auto"/>
          <w:sz w:val="32"/>
          <w:szCs w:val="32"/>
        </w:rPr>
        <w:t>（二）“三公”经费财政拨款支出决算具体情况说明</w:t>
      </w:r>
      <w:bookmarkEnd w:id="78"/>
      <w:r>
        <w:rPr>
          <w:rFonts w:hint="default" w:ascii="Times New Roman" w:hAnsi="Times New Roman" w:eastAsia="楷体_GB2312" w:cs="Times New Roman"/>
          <w:b/>
          <w:bCs w:val="0"/>
          <w:color w:val="auto"/>
          <w:sz w:val="32"/>
          <w:szCs w:val="32"/>
        </w:rPr>
        <w:t>。</w:t>
      </w:r>
      <w:bookmarkEnd w:id="79"/>
    </w:p>
    <w:p>
      <w:pPr>
        <w:pageBreakBefore w:val="0"/>
        <w:kinsoku/>
        <w:wordWrap/>
        <w:overflowPunct/>
        <w:topLinePunct w:val="0"/>
        <w:bidi w:val="0"/>
        <w:spacing w:line="56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2021年“三公”经费财政拨款支出决算中，因公出国（境）费支出决算0万元，占0%；公务用车购置及运行维护费支出决算133.30万元，占92.45%；公务接待费支出决算10.88万元，占7.55%。具体情况如下：</w:t>
      </w:r>
    </w:p>
    <w:p>
      <w:pPr>
        <w:pStyle w:val="8"/>
        <w:pageBreakBefore w:val="0"/>
        <w:kinsoku/>
        <w:wordWrap/>
        <w:overflowPunct/>
        <w:topLinePunct w:val="0"/>
        <w:bidi w:val="0"/>
        <w:spacing w:before="93" w:line="560" w:lineRule="exact"/>
        <w:rPr>
          <w:rFonts w:hint="default" w:ascii="Times New Roman" w:hAnsi="Times New Roman" w:eastAsia="仿宋_GB2312" w:cs="Times New Roman"/>
          <w:color w:val="auto"/>
          <w:sz w:val="32"/>
          <w:szCs w:val="32"/>
        </w:rPr>
      </w:pPr>
      <w:r>
        <w:rPr>
          <w:rFonts w:hint="default" w:ascii="Times New Roman" w:hAnsi="Times New Roman" w:cs="Times New Roman"/>
          <w:color w:val="auto"/>
        </w:rPr>
        <w:drawing>
          <wp:anchor distT="0" distB="0" distL="114300" distR="114300" simplePos="0" relativeHeight="251665408" behindDoc="0" locked="0" layoutInCell="1" allowOverlap="1">
            <wp:simplePos x="0" y="0"/>
            <wp:positionH relativeFrom="column">
              <wp:posOffset>451485</wp:posOffset>
            </wp:positionH>
            <wp:positionV relativeFrom="paragraph">
              <wp:posOffset>268605</wp:posOffset>
            </wp:positionV>
            <wp:extent cx="4683125" cy="2476500"/>
            <wp:effectExtent l="4445" t="4445" r="17780" b="14605"/>
            <wp:wrapTopAndBottom/>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default" w:ascii="Times New Roman" w:hAnsi="Times New Roman" w:cs="Times New Roman"/>
          <w:color w:val="auto"/>
          <w:lang w:val="en-US" w:eastAsia="zh-CN"/>
        </w:rPr>
        <w:t xml:space="preserve">    </w:t>
      </w:r>
      <w:r>
        <w:rPr>
          <w:rFonts w:hint="default" w:ascii="Times New Roman" w:hAnsi="Times New Roman" w:eastAsia="仿宋_GB2312" w:cs="Times New Roman"/>
          <w:b/>
          <w:color w:val="auto"/>
          <w:sz w:val="32"/>
          <w:szCs w:val="32"/>
        </w:rPr>
        <w:t>1.因公出国（境）经费支出</w:t>
      </w:r>
      <w:r>
        <w:rPr>
          <w:rFonts w:hint="default" w:ascii="Times New Roman" w:hAnsi="Times New Roman" w:eastAsia="仿宋_GB2312" w:cs="Times New Roman"/>
          <w:color w:val="auto"/>
          <w:sz w:val="32"/>
          <w:szCs w:val="32"/>
        </w:rPr>
        <w:t>0万元，</w:t>
      </w:r>
      <w:r>
        <w:rPr>
          <w:rStyle w:val="23"/>
          <w:rFonts w:hint="default" w:ascii="Times New Roman" w:hAnsi="Times New Roman" w:eastAsia="仿宋_GB2312" w:cs="Times New Roman"/>
          <w:b w:val="0"/>
          <w:bCs/>
          <w:color w:val="auto"/>
          <w:sz w:val="32"/>
          <w:szCs w:val="32"/>
        </w:rPr>
        <w:t>完成预算100%。</w:t>
      </w:r>
      <w:r>
        <w:rPr>
          <w:rFonts w:hint="default" w:ascii="Times New Roman" w:hAnsi="Times New Roman" w:eastAsia="仿宋_GB2312" w:cs="Times New Roman"/>
          <w:color w:val="auto"/>
          <w:sz w:val="32"/>
          <w:szCs w:val="32"/>
        </w:rPr>
        <w:t>全年安排因公出国（境）团组0次，出国（境）0人。因公出国（境）支出决算与2020年持平。</w:t>
      </w:r>
    </w:p>
    <w:p>
      <w:pPr>
        <w:pageBreakBefore w:val="0"/>
        <w:kinsoku/>
        <w:wordWrap/>
        <w:overflowPunct/>
        <w:topLinePunct w:val="0"/>
        <w:bidi w:val="0"/>
        <w:spacing w:line="56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2.公务用车购置及运行维护费支出</w:t>
      </w:r>
      <w:r>
        <w:rPr>
          <w:rFonts w:hint="default" w:ascii="Times New Roman" w:hAnsi="Times New Roman" w:eastAsia="仿宋_GB2312" w:cs="Times New Roman"/>
          <w:color w:val="auto"/>
          <w:sz w:val="32"/>
          <w:szCs w:val="32"/>
        </w:rPr>
        <w:t>133.30万元,</w:t>
      </w:r>
      <w:r>
        <w:rPr>
          <w:rStyle w:val="23"/>
          <w:rFonts w:hint="default" w:ascii="Times New Roman" w:hAnsi="Times New Roman" w:eastAsia="仿宋_GB2312" w:cs="Times New Roman"/>
          <w:b w:val="0"/>
          <w:bCs/>
          <w:color w:val="auto"/>
          <w:sz w:val="32"/>
          <w:szCs w:val="32"/>
        </w:rPr>
        <w:t>完成预算100%。</w:t>
      </w:r>
      <w:r>
        <w:rPr>
          <w:rFonts w:hint="default" w:ascii="Times New Roman" w:hAnsi="Times New Roman" w:eastAsia="仿宋_GB2312" w:cs="Times New Roman"/>
          <w:color w:val="auto"/>
          <w:sz w:val="32"/>
          <w:szCs w:val="32"/>
        </w:rPr>
        <w:t>公务用车购置及运行维护费支出决算比2020年减少7.78万元，下降5.52%。主要原因是受新冠肺炎疫情影响，出差调研等公务活动减少致使公务用车较上年略有减少。</w:t>
      </w:r>
    </w:p>
    <w:p>
      <w:pPr>
        <w:pageBreakBefore w:val="0"/>
        <w:kinsoku/>
        <w:wordWrap/>
        <w:overflowPunct/>
        <w:topLinePunct w:val="0"/>
        <w:bidi w:val="0"/>
        <w:spacing w:line="560" w:lineRule="exact"/>
        <w:ind w:firstLine="640"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rPr>
        <w:t>其中：</w:t>
      </w:r>
      <w:r>
        <w:rPr>
          <w:rFonts w:hint="default" w:ascii="Times New Roman" w:hAnsi="Times New Roman" w:eastAsia="仿宋_GB2312" w:cs="Times New Roman"/>
          <w:b/>
          <w:color w:val="auto"/>
          <w:sz w:val="32"/>
          <w:szCs w:val="32"/>
        </w:rPr>
        <w:t>公务用车购置支出</w:t>
      </w:r>
      <w:r>
        <w:rPr>
          <w:rFonts w:hint="default" w:ascii="Times New Roman" w:hAnsi="Times New Roman" w:eastAsia="仿宋_GB2312" w:cs="Times New Roman"/>
          <w:color w:val="auto"/>
          <w:sz w:val="32"/>
          <w:szCs w:val="32"/>
        </w:rPr>
        <w:t>0万元。全年按规定更新购置公务用车0辆，其中：轿车0辆、金额0万元，越野车0辆、金额0万元，载客汽车0辆、金额0万元。截至2021年12月底，单位共有公务用车42辆，其中：轿车26辆、越野车9辆、载客汽车7辆。</w:t>
      </w:r>
    </w:p>
    <w:p>
      <w:pPr>
        <w:pageBreakBefore w:val="0"/>
        <w:kinsoku/>
        <w:wordWrap/>
        <w:overflowPunct/>
        <w:topLinePunct w:val="0"/>
        <w:bidi w:val="0"/>
        <w:spacing w:line="56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公务用车运行维护费支出</w:t>
      </w:r>
      <w:r>
        <w:rPr>
          <w:rFonts w:hint="default" w:ascii="Times New Roman" w:hAnsi="Times New Roman" w:eastAsia="仿宋_GB2312" w:cs="Times New Roman"/>
          <w:color w:val="auto"/>
          <w:sz w:val="32"/>
          <w:szCs w:val="32"/>
        </w:rPr>
        <w:t>133.30万元。主要用于</w:t>
      </w:r>
      <w:r>
        <w:rPr>
          <w:rFonts w:hint="default" w:ascii="Times New Roman" w:hAnsi="Times New Roman" w:eastAsia="仿宋_GB2312" w:cs="Times New Roman"/>
          <w:color w:val="auto"/>
          <w:sz w:val="32"/>
          <w:shd w:val="clear" w:color="auto" w:fill="FFFFFF"/>
        </w:rPr>
        <w:t>重大政策调研、专项检查及国家和兄弟省市来川调研考察</w:t>
      </w:r>
      <w:r>
        <w:rPr>
          <w:rFonts w:hint="default" w:ascii="Times New Roman" w:hAnsi="Times New Roman" w:eastAsia="仿宋_GB2312" w:cs="Times New Roman"/>
          <w:color w:val="auto"/>
          <w:sz w:val="32"/>
          <w:szCs w:val="32"/>
        </w:rPr>
        <w:t>等所需的公务用车燃料费、维修费、过路过桥费、保险费等支出。</w:t>
      </w:r>
    </w:p>
    <w:p>
      <w:pPr>
        <w:pageBreakBefore w:val="0"/>
        <w:kinsoku/>
        <w:wordWrap/>
        <w:overflowPunct/>
        <w:topLinePunct w:val="0"/>
        <w:bidi w:val="0"/>
        <w:spacing w:line="56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3.公务接待费支出</w:t>
      </w:r>
      <w:r>
        <w:rPr>
          <w:rFonts w:hint="default" w:ascii="Times New Roman" w:hAnsi="Times New Roman" w:eastAsia="仿宋_GB2312" w:cs="Times New Roman"/>
          <w:color w:val="auto"/>
          <w:sz w:val="32"/>
          <w:szCs w:val="32"/>
        </w:rPr>
        <w:t>10.88万元，</w:t>
      </w:r>
      <w:r>
        <w:rPr>
          <w:rStyle w:val="23"/>
          <w:rFonts w:hint="default" w:ascii="Times New Roman" w:hAnsi="Times New Roman" w:eastAsia="仿宋_GB2312" w:cs="Times New Roman"/>
          <w:b w:val="0"/>
          <w:bCs/>
          <w:color w:val="auto"/>
          <w:sz w:val="32"/>
          <w:szCs w:val="32"/>
        </w:rPr>
        <w:t>完成预算100%。</w:t>
      </w:r>
      <w:r>
        <w:rPr>
          <w:rFonts w:hint="default" w:ascii="Times New Roman" w:hAnsi="Times New Roman" w:eastAsia="仿宋_GB2312" w:cs="Times New Roman"/>
          <w:color w:val="auto"/>
          <w:sz w:val="32"/>
          <w:szCs w:val="32"/>
        </w:rPr>
        <w:t>公务接待费支出决算比2020年减少2.78万元，下降20.35%。主要原因：</w:t>
      </w:r>
      <w:r>
        <w:rPr>
          <w:rFonts w:hint="default" w:ascii="Times New Roman" w:hAnsi="Times New Roman" w:eastAsia="仿宋_GB2312" w:cs="Times New Roman"/>
          <w:b/>
          <w:bCs/>
          <w:color w:val="auto"/>
          <w:sz w:val="32"/>
          <w:szCs w:val="32"/>
        </w:rPr>
        <w:t>一是</w:t>
      </w:r>
      <w:r>
        <w:rPr>
          <w:rFonts w:hint="default" w:ascii="Times New Roman" w:hAnsi="Times New Roman" w:eastAsia="仿宋_GB2312" w:cs="Times New Roman"/>
          <w:color w:val="auto"/>
          <w:sz w:val="32"/>
          <w:szCs w:val="32"/>
        </w:rPr>
        <w:t>严格落实中央八项规定和省委省政府十项规定及实施细则，严格执行公务接待标准，严格审批公务接待活动，严控接待费支出；</w:t>
      </w:r>
      <w:r>
        <w:rPr>
          <w:rFonts w:hint="default" w:ascii="Times New Roman" w:hAnsi="Times New Roman" w:eastAsia="仿宋_GB2312" w:cs="Times New Roman"/>
          <w:b/>
          <w:bCs/>
          <w:color w:val="auto"/>
          <w:sz w:val="32"/>
          <w:szCs w:val="32"/>
        </w:rPr>
        <w:t>二是</w:t>
      </w:r>
      <w:r>
        <w:rPr>
          <w:rFonts w:hint="default" w:ascii="Times New Roman" w:hAnsi="Times New Roman" w:eastAsia="仿宋_GB2312" w:cs="Times New Roman"/>
          <w:color w:val="auto"/>
          <w:sz w:val="32"/>
          <w:szCs w:val="32"/>
        </w:rPr>
        <w:t>受新冠肺炎疫情的影响公务接待活动减少。其中：</w:t>
      </w:r>
    </w:p>
    <w:p>
      <w:pPr>
        <w:pageBreakBefore w:val="0"/>
        <w:kinsoku/>
        <w:wordWrap/>
        <w:overflowPunct/>
        <w:topLinePunct w:val="0"/>
        <w:bidi w:val="0"/>
        <w:spacing w:line="56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国内公务接待支出</w:t>
      </w:r>
      <w:r>
        <w:rPr>
          <w:rFonts w:hint="default" w:ascii="Times New Roman" w:hAnsi="Times New Roman" w:eastAsia="仿宋_GB2312" w:cs="Times New Roman"/>
          <w:color w:val="auto"/>
          <w:sz w:val="32"/>
          <w:szCs w:val="32"/>
        </w:rPr>
        <w:t>10.88万元，主要用于</w:t>
      </w:r>
      <w:r>
        <w:rPr>
          <w:rFonts w:hint="default" w:ascii="Times New Roman" w:hAnsi="Times New Roman" w:eastAsia="仿宋_GB2312" w:cs="Times New Roman"/>
          <w:bCs/>
          <w:color w:val="auto"/>
          <w:sz w:val="32"/>
          <w:shd w:val="clear" w:color="auto" w:fill="FFFFFF"/>
        </w:rPr>
        <w:t>交流合作及国内招商引资及国家重大政策调研</w:t>
      </w:r>
      <w:r>
        <w:rPr>
          <w:rFonts w:hint="default" w:ascii="Times New Roman" w:hAnsi="Times New Roman" w:eastAsia="仿宋_GB2312" w:cs="Times New Roman"/>
          <w:color w:val="auto"/>
          <w:sz w:val="32"/>
          <w:shd w:val="clear" w:color="auto" w:fill="FFFFFF"/>
        </w:rPr>
        <w:t>等费用</w:t>
      </w:r>
      <w:r>
        <w:rPr>
          <w:rFonts w:hint="default" w:ascii="Times New Roman" w:hAnsi="Times New Roman" w:eastAsia="仿宋_GB2312" w:cs="Times New Roman"/>
          <w:color w:val="auto"/>
          <w:sz w:val="32"/>
          <w:szCs w:val="32"/>
        </w:rPr>
        <w:t>。国内公务接待80批次，732人次（不包括陪同人员），共计支出10.88万元，具体内容包括：兄弟省市及各市州重大交流合作活动，内蒙</w:t>
      </w:r>
      <w:r>
        <w:rPr>
          <w:rFonts w:hint="eastAsia" w:eastAsia="仿宋_GB2312" w:cs="Times New Roman"/>
          <w:color w:val="auto"/>
          <w:sz w:val="32"/>
          <w:szCs w:val="32"/>
          <w:lang w:eastAsia="zh-CN"/>
        </w:rPr>
        <w:t>古</w:t>
      </w:r>
      <w:r>
        <w:rPr>
          <w:rFonts w:hint="default" w:ascii="Times New Roman" w:hAnsi="Times New Roman" w:eastAsia="仿宋_GB2312" w:cs="Times New Roman"/>
          <w:color w:val="auto"/>
          <w:sz w:val="32"/>
          <w:szCs w:val="32"/>
        </w:rPr>
        <w:t>、重庆、广西、甘肃、河南、浙江、宁夏、广东等考察团来川考察交流的用餐费、会场租赁费、交通费以及接待国家重大政策调研、检查等费用。</w:t>
      </w:r>
    </w:p>
    <w:p>
      <w:pPr>
        <w:pageBreakBefore w:val="0"/>
        <w:kinsoku/>
        <w:wordWrap/>
        <w:overflowPunct/>
        <w:topLinePunct w:val="0"/>
        <w:bidi w:val="0"/>
        <w:spacing w:line="56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外事接待支出</w:t>
      </w:r>
      <w:r>
        <w:rPr>
          <w:rFonts w:hint="default" w:ascii="Times New Roman" w:hAnsi="Times New Roman" w:eastAsia="仿宋_GB2312" w:cs="Times New Roman"/>
          <w:color w:val="auto"/>
          <w:sz w:val="32"/>
          <w:szCs w:val="32"/>
        </w:rPr>
        <w:t>0万元，外事接待0批次，0人，共计支出0万元。</w:t>
      </w:r>
      <w:bookmarkStart w:id="80" w:name="_Toc15377218"/>
      <w:bookmarkStart w:id="81" w:name="_Toc15396610"/>
    </w:p>
    <w:p>
      <w:pPr>
        <w:pageBreakBefore w:val="0"/>
        <w:kinsoku/>
        <w:wordWrap/>
        <w:overflowPunct/>
        <w:topLinePunct w:val="0"/>
        <w:bidi w:val="0"/>
        <w:spacing w:line="560" w:lineRule="exact"/>
        <w:ind w:firstLine="640"/>
        <w:outlineLvl w:val="1"/>
        <w:rPr>
          <w:rStyle w:val="34"/>
          <w:rFonts w:hint="default" w:ascii="Times New Roman" w:hAnsi="Times New Roman" w:eastAsia="黑体" w:cs="Times New Roman"/>
          <w:color w:val="auto"/>
        </w:rPr>
      </w:pPr>
      <w:bookmarkStart w:id="82" w:name="_Toc112248412"/>
      <w:r>
        <w:rPr>
          <w:rFonts w:hint="default" w:ascii="Times New Roman" w:hAnsi="Times New Roman" w:eastAsia="黑体" w:cs="Times New Roman"/>
          <w:color w:val="auto"/>
          <w:sz w:val="32"/>
          <w:szCs w:val="32"/>
        </w:rPr>
        <w:t>八、</w:t>
      </w:r>
      <w:r>
        <w:rPr>
          <w:rStyle w:val="34"/>
          <w:rFonts w:hint="default" w:ascii="Times New Roman" w:hAnsi="Times New Roman" w:eastAsia="黑体" w:cs="Times New Roman"/>
          <w:b w:val="0"/>
          <w:color w:val="auto"/>
        </w:rPr>
        <w:t>政府性基金预算支出决算情况说明</w:t>
      </w:r>
      <w:bookmarkEnd w:id="80"/>
      <w:bookmarkEnd w:id="81"/>
      <w:bookmarkEnd w:id="82"/>
    </w:p>
    <w:p>
      <w:pPr>
        <w:pageBreakBefore w:val="0"/>
        <w:kinsoku/>
        <w:wordWrap/>
        <w:overflowPunct/>
        <w:topLinePunct w:val="0"/>
        <w:bidi w:val="0"/>
        <w:spacing w:line="56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2021年政府性基金预算财政拨款支出0万元。</w:t>
      </w:r>
    </w:p>
    <w:p>
      <w:pPr>
        <w:pageBreakBefore w:val="0"/>
        <w:numPr>
          <w:ilvl w:val="0"/>
          <w:numId w:val="4"/>
        </w:numPr>
        <w:kinsoku/>
        <w:wordWrap/>
        <w:overflowPunct/>
        <w:topLinePunct w:val="0"/>
        <w:bidi w:val="0"/>
        <w:spacing w:line="560" w:lineRule="exact"/>
        <w:ind w:firstLine="640"/>
        <w:outlineLvl w:val="1"/>
        <w:rPr>
          <w:rStyle w:val="34"/>
          <w:rFonts w:hint="default" w:ascii="Times New Roman" w:hAnsi="Times New Roman" w:eastAsia="黑体" w:cs="Times New Roman"/>
          <w:b w:val="0"/>
          <w:color w:val="auto"/>
        </w:rPr>
      </w:pPr>
      <w:bookmarkStart w:id="83" w:name="_Toc15377219"/>
      <w:bookmarkStart w:id="84" w:name="_Toc112248413"/>
      <w:bookmarkStart w:id="85" w:name="_Toc15396611"/>
      <w:r>
        <w:rPr>
          <w:rStyle w:val="34"/>
          <w:rFonts w:hint="default" w:ascii="Times New Roman" w:hAnsi="Times New Roman" w:eastAsia="黑体" w:cs="Times New Roman"/>
          <w:b w:val="0"/>
          <w:color w:val="auto"/>
        </w:rPr>
        <w:t>国有资本经营预算支出决算情况说明</w:t>
      </w:r>
      <w:bookmarkEnd w:id="83"/>
      <w:bookmarkEnd w:id="84"/>
      <w:bookmarkEnd w:id="85"/>
    </w:p>
    <w:p>
      <w:pPr>
        <w:pageBreakBefore w:val="0"/>
        <w:kinsoku/>
        <w:wordWrap/>
        <w:overflowPunct/>
        <w:topLinePunct w:val="0"/>
        <w:bidi w:val="0"/>
        <w:spacing w:line="560" w:lineRule="exact"/>
        <w:ind w:firstLine="640"/>
        <w:rPr>
          <w:rFonts w:hint="default" w:ascii="Times New Roman" w:hAnsi="Times New Roman" w:eastAsia="方正小标宋简体" w:cs="Times New Roman"/>
          <w:color w:val="auto"/>
          <w:sz w:val="44"/>
          <w:szCs w:val="44"/>
        </w:rPr>
      </w:pPr>
      <w:r>
        <w:rPr>
          <w:rFonts w:hint="default" w:ascii="Times New Roman" w:hAnsi="Times New Roman" w:eastAsia="仿宋_GB2312" w:cs="Times New Roman"/>
          <w:color w:val="auto"/>
          <w:sz w:val="32"/>
          <w:szCs w:val="32"/>
        </w:rPr>
        <w:t>2021年国有资本经营预算财政拨款支出0万元。</w:t>
      </w:r>
    </w:p>
    <w:p>
      <w:pPr>
        <w:pageBreakBefore w:val="0"/>
        <w:numPr>
          <w:ilvl w:val="0"/>
          <w:numId w:val="4"/>
        </w:numPr>
        <w:kinsoku/>
        <w:wordWrap/>
        <w:overflowPunct/>
        <w:topLinePunct w:val="0"/>
        <w:bidi w:val="0"/>
        <w:spacing w:line="560" w:lineRule="exact"/>
        <w:ind w:firstLine="640"/>
        <w:outlineLvl w:val="1"/>
        <w:rPr>
          <w:rStyle w:val="34"/>
          <w:rFonts w:hint="default" w:ascii="Times New Roman" w:hAnsi="Times New Roman" w:eastAsia="黑体" w:cs="Times New Roman"/>
          <w:b w:val="0"/>
          <w:color w:val="auto"/>
        </w:rPr>
      </w:pPr>
      <w:bookmarkStart w:id="86" w:name="_Toc15377221"/>
      <w:bookmarkStart w:id="87" w:name="_Toc15396612"/>
      <w:bookmarkStart w:id="88" w:name="_Toc112248414"/>
      <w:r>
        <w:rPr>
          <w:rStyle w:val="34"/>
          <w:rFonts w:hint="default" w:ascii="Times New Roman" w:hAnsi="Times New Roman" w:eastAsia="黑体" w:cs="Times New Roman"/>
          <w:b w:val="0"/>
          <w:color w:val="auto"/>
        </w:rPr>
        <w:t>其他重要事项的情况说明</w:t>
      </w:r>
      <w:bookmarkEnd w:id="86"/>
      <w:bookmarkEnd w:id="87"/>
      <w:bookmarkEnd w:id="88"/>
    </w:p>
    <w:p>
      <w:pPr>
        <w:pageBreakBefore w:val="0"/>
        <w:kinsoku/>
        <w:wordWrap/>
        <w:overflowPunct/>
        <w:topLinePunct w:val="0"/>
        <w:bidi w:val="0"/>
        <w:spacing w:line="560" w:lineRule="exact"/>
        <w:ind w:firstLine="642" w:firstLineChars="200"/>
        <w:outlineLvl w:val="2"/>
        <w:rPr>
          <w:rFonts w:hint="default" w:ascii="Times New Roman" w:hAnsi="Times New Roman" w:eastAsia="楷体_GB2312" w:cs="Times New Roman"/>
          <w:b/>
          <w:bCs w:val="0"/>
          <w:color w:val="auto"/>
          <w:sz w:val="32"/>
          <w:szCs w:val="32"/>
        </w:rPr>
      </w:pPr>
      <w:bookmarkStart w:id="89" w:name="_Toc15377222"/>
      <w:bookmarkStart w:id="90" w:name="_Toc112248415"/>
      <w:r>
        <w:rPr>
          <w:rFonts w:hint="default" w:ascii="Times New Roman" w:hAnsi="Times New Roman" w:eastAsia="楷体_GB2312" w:cs="Times New Roman"/>
          <w:b/>
          <w:bCs w:val="0"/>
          <w:color w:val="auto"/>
          <w:sz w:val="32"/>
          <w:szCs w:val="32"/>
        </w:rPr>
        <w:t>（一）机关运行经费支出情况</w:t>
      </w:r>
      <w:bookmarkEnd w:id="89"/>
      <w:r>
        <w:rPr>
          <w:rFonts w:hint="default" w:ascii="Times New Roman" w:hAnsi="Times New Roman" w:eastAsia="楷体_GB2312" w:cs="Times New Roman"/>
          <w:b/>
          <w:bCs w:val="0"/>
          <w:color w:val="auto"/>
          <w:sz w:val="32"/>
          <w:szCs w:val="32"/>
        </w:rPr>
        <w:t>。</w:t>
      </w:r>
      <w:bookmarkEnd w:id="90"/>
    </w:p>
    <w:p>
      <w:pPr>
        <w:pageBreakBefore w:val="0"/>
        <w:kinsoku/>
        <w:wordWrap/>
        <w:overflowPunct/>
        <w:topLinePunct w:val="0"/>
        <w:bidi w:val="0"/>
        <w:spacing w:line="56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2021年，四川省发展和改革委员会机关运行经费支出3,119.58万元，比2020年增加131.91万元，增长4.42%。主要原因</w:t>
      </w:r>
      <w:r>
        <w:rPr>
          <w:rFonts w:hint="default" w:ascii="Times New Roman" w:hAnsi="Times New Roman" w:eastAsia="仿宋_GB2312" w:cs="Times New Roman"/>
          <w:color w:val="auto"/>
          <w:sz w:val="32"/>
          <w:szCs w:val="32"/>
          <w:lang w:eastAsia="zh-CN"/>
        </w:rPr>
        <w:t>是更新办公</w:t>
      </w:r>
      <w:r>
        <w:rPr>
          <w:rFonts w:hint="default" w:ascii="Times New Roman" w:hAnsi="Times New Roman" w:eastAsia="仿宋_GB2312" w:cs="Times New Roman"/>
          <w:color w:val="auto"/>
          <w:sz w:val="32"/>
          <w:szCs w:val="32"/>
        </w:rPr>
        <w:t>设备</w:t>
      </w:r>
      <w:r>
        <w:rPr>
          <w:rFonts w:hint="default" w:ascii="Times New Roman" w:hAnsi="Times New Roman" w:eastAsia="仿宋_GB2312" w:cs="Times New Roman"/>
          <w:color w:val="auto"/>
          <w:sz w:val="32"/>
          <w:szCs w:val="32"/>
          <w:lang w:eastAsia="zh-CN"/>
        </w:rPr>
        <w:t>相关</w:t>
      </w:r>
      <w:r>
        <w:rPr>
          <w:rFonts w:hint="default" w:ascii="Times New Roman" w:hAnsi="Times New Roman" w:eastAsia="仿宋_GB2312" w:cs="Times New Roman"/>
          <w:color w:val="auto"/>
          <w:sz w:val="32"/>
          <w:szCs w:val="32"/>
        </w:rPr>
        <w:t>经费增加。</w:t>
      </w:r>
    </w:p>
    <w:p>
      <w:pPr>
        <w:pageBreakBefore w:val="0"/>
        <w:kinsoku/>
        <w:wordWrap/>
        <w:overflowPunct/>
        <w:topLinePunct w:val="0"/>
        <w:bidi w:val="0"/>
        <w:spacing w:line="560" w:lineRule="exact"/>
        <w:ind w:firstLine="642" w:firstLineChars="200"/>
        <w:outlineLvl w:val="2"/>
        <w:rPr>
          <w:rFonts w:hint="default" w:ascii="Times New Roman" w:hAnsi="Times New Roman" w:eastAsia="楷体_GB2312" w:cs="Times New Roman"/>
          <w:b/>
          <w:bCs w:val="0"/>
          <w:color w:val="auto"/>
          <w:sz w:val="32"/>
          <w:szCs w:val="32"/>
        </w:rPr>
      </w:pPr>
      <w:bookmarkStart w:id="91" w:name="_Toc15377223"/>
      <w:bookmarkStart w:id="92" w:name="_Toc112248416"/>
      <w:r>
        <w:rPr>
          <w:rFonts w:hint="default" w:ascii="Times New Roman" w:hAnsi="Times New Roman" w:eastAsia="楷体_GB2312" w:cs="Times New Roman"/>
          <w:b/>
          <w:bCs w:val="0"/>
          <w:color w:val="auto"/>
          <w:sz w:val="32"/>
          <w:szCs w:val="32"/>
        </w:rPr>
        <w:t>（二）政府采购支出情况</w:t>
      </w:r>
      <w:bookmarkEnd w:id="91"/>
      <w:r>
        <w:rPr>
          <w:rFonts w:hint="default" w:ascii="Times New Roman" w:hAnsi="Times New Roman" w:eastAsia="楷体_GB2312" w:cs="Times New Roman"/>
          <w:b/>
          <w:bCs w:val="0"/>
          <w:color w:val="auto"/>
          <w:sz w:val="32"/>
          <w:szCs w:val="32"/>
        </w:rPr>
        <w:t>。</w:t>
      </w:r>
      <w:bookmarkEnd w:id="92"/>
    </w:p>
    <w:p>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2021年，四川省发展和改革委员会政府采购支出总额4,228.22万元，其中：政府采购货物支出56.59万元、政府采购工程支出1,375.59万元、政府采购服务支出2,796.04万元。主要用于投资咨询评估、委托开展水电及新能源工程质量监督抽查检测、中国品牌日四川活动、省级用能权交易第三方核查、地下停车场改造等项目。授予中小企业合同金额707.45万元，占政府采购支出总额的16.73%，其中：授予小微企业合同金额17.68万元，占政府采购支出总额的0.42%。</w:t>
      </w:r>
    </w:p>
    <w:p>
      <w:pPr>
        <w:pageBreakBefore w:val="0"/>
        <w:kinsoku/>
        <w:wordWrap/>
        <w:overflowPunct/>
        <w:topLinePunct w:val="0"/>
        <w:bidi w:val="0"/>
        <w:spacing w:line="560" w:lineRule="exact"/>
        <w:ind w:firstLine="642" w:firstLineChars="200"/>
        <w:outlineLvl w:val="2"/>
        <w:rPr>
          <w:rFonts w:hint="default" w:ascii="Times New Roman" w:hAnsi="Times New Roman" w:eastAsia="楷体_GB2312" w:cs="Times New Roman"/>
          <w:b/>
          <w:bCs w:val="0"/>
          <w:color w:val="auto"/>
          <w:sz w:val="32"/>
          <w:szCs w:val="32"/>
        </w:rPr>
      </w:pPr>
      <w:bookmarkStart w:id="93" w:name="_Toc15377224"/>
      <w:bookmarkStart w:id="94" w:name="_Toc112248417"/>
      <w:r>
        <w:rPr>
          <w:rFonts w:hint="default" w:ascii="Times New Roman" w:hAnsi="Times New Roman" w:eastAsia="楷体_GB2312" w:cs="Times New Roman"/>
          <w:b/>
          <w:bCs w:val="0"/>
          <w:color w:val="auto"/>
          <w:sz w:val="32"/>
          <w:szCs w:val="32"/>
        </w:rPr>
        <w:t>（三）国有资产占有使用情况</w:t>
      </w:r>
      <w:bookmarkEnd w:id="93"/>
      <w:r>
        <w:rPr>
          <w:rFonts w:hint="default" w:ascii="Times New Roman" w:hAnsi="Times New Roman" w:eastAsia="楷体_GB2312" w:cs="Times New Roman"/>
          <w:b/>
          <w:bCs w:val="0"/>
          <w:color w:val="auto"/>
          <w:sz w:val="32"/>
          <w:szCs w:val="32"/>
        </w:rPr>
        <w:t>。</w:t>
      </w:r>
      <w:bookmarkEnd w:id="94"/>
    </w:p>
    <w:p>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截至2021年12月31日，四川省发展和改革委员会共有车辆42辆，其中：主要领导干部用车0辆、机要通信用车1辆、应急保障用车8辆、离退休干部用车9辆、其他用车24辆，其他用车主要是用于</w:t>
      </w:r>
      <w:r>
        <w:rPr>
          <w:rFonts w:hint="default" w:ascii="Times New Roman" w:hAnsi="Times New Roman" w:eastAsia="仿宋_GB2312" w:cs="Times New Roman"/>
          <w:color w:val="auto"/>
          <w:sz w:val="32"/>
          <w:szCs w:val="32"/>
          <w:lang w:eastAsia="zh-CN"/>
        </w:rPr>
        <w:t>机要</w:t>
      </w:r>
      <w:r>
        <w:rPr>
          <w:rFonts w:hint="default" w:ascii="Times New Roman" w:hAnsi="Times New Roman" w:eastAsia="仿宋_GB2312" w:cs="Times New Roman"/>
          <w:color w:val="auto"/>
          <w:sz w:val="32"/>
          <w:szCs w:val="32"/>
        </w:rPr>
        <w:t>通信、应急保障之外的必要公务用途。单价50万元以上通用设备16台（套），单价100万元以上专用设备0台（套）。</w:t>
      </w:r>
    </w:p>
    <w:p>
      <w:pPr>
        <w:pageBreakBefore w:val="0"/>
        <w:kinsoku/>
        <w:wordWrap/>
        <w:overflowPunct/>
        <w:topLinePunct w:val="0"/>
        <w:bidi w:val="0"/>
        <w:spacing w:line="560" w:lineRule="exact"/>
        <w:ind w:firstLine="642" w:firstLineChars="200"/>
        <w:outlineLvl w:val="2"/>
        <w:rPr>
          <w:rFonts w:hint="default" w:ascii="Times New Roman" w:hAnsi="Times New Roman" w:eastAsia="楷体_GB2312" w:cs="Times New Roman"/>
          <w:b/>
          <w:bCs w:val="0"/>
          <w:color w:val="auto"/>
          <w:sz w:val="32"/>
          <w:szCs w:val="32"/>
        </w:rPr>
      </w:pPr>
      <w:bookmarkStart w:id="95" w:name="_Toc112248418"/>
      <w:r>
        <w:rPr>
          <w:rFonts w:hint="default" w:ascii="Times New Roman" w:hAnsi="Times New Roman" w:eastAsia="楷体_GB2312" w:cs="Times New Roman"/>
          <w:b/>
          <w:bCs w:val="0"/>
          <w:color w:val="auto"/>
          <w:sz w:val="32"/>
          <w:szCs w:val="32"/>
        </w:rPr>
        <w:t>（四）预算绩效管理情况。</w:t>
      </w:r>
      <w:bookmarkEnd w:id="95"/>
    </w:p>
    <w:p>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预算绩效管理要求，本部门在2021年度预算编制阶段，组织对0个项目开展了预算事前绩效评估，对14个项目编制了绩效目标，预算执行过程中，选取14个项目开展绩效监控，年终执行完毕后，对14个项目开展了绩效自评。同时，本部门对2021年部门整体开展绩效自评，《2021年四川省发展和改革委员会部门整体绩效评价报告》见附件（第四部分）。</w:t>
      </w:r>
    </w:p>
    <w:p>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br w:type="page"/>
      </w:r>
    </w:p>
    <w:p>
      <w:pPr>
        <w:pageBreakBefore w:val="0"/>
        <w:numPr>
          <w:ilvl w:val="0"/>
          <w:numId w:val="5"/>
        </w:numPr>
        <w:kinsoku/>
        <w:wordWrap/>
        <w:overflowPunct/>
        <w:topLinePunct w:val="0"/>
        <w:bidi w:val="0"/>
        <w:spacing w:line="560" w:lineRule="exact"/>
        <w:ind w:firstLine="660" w:firstLineChars="150"/>
        <w:jc w:val="center"/>
        <w:outlineLvl w:val="0"/>
        <w:rPr>
          <w:rStyle w:val="33"/>
          <w:rFonts w:hint="default" w:ascii="Times New Roman" w:hAnsi="Times New Roman" w:eastAsia="黑体" w:cs="Times New Roman"/>
          <w:b w:val="0"/>
          <w:color w:val="auto"/>
        </w:rPr>
      </w:pPr>
      <w:bookmarkStart w:id="96" w:name="_Toc15396613"/>
      <w:bookmarkStart w:id="97" w:name="_Toc112248419"/>
      <w:bookmarkStart w:id="98" w:name="_Toc15377225"/>
      <w:r>
        <w:rPr>
          <w:rFonts w:hint="default" w:ascii="Times New Roman" w:hAnsi="Times New Roman" w:eastAsia="黑体" w:cs="Times New Roman"/>
          <w:color w:val="auto"/>
          <w:sz w:val="44"/>
          <w:szCs w:val="44"/>
        </w:rPr>
        <w:t>名</w:t>
      </w:r>
      <w:r>
        <w:rPr>
          <w:rStyle w:val="33"/>
          <w:rFonts w:hint="default" w:ascii="Times New Roman" w:hAnsi="Times New Roman" w:eastAsia="黑体" w:cs="Times New Roman"/>
          <w:b w:val="0"/>
          <w:color w:val="auto"/>
        </w:rPr>
        <w:t>词解释</w:t>
      </w:r>
      <w:bookmarkEnd w:id="96"/>
      <w:bookmarkEnd w:id="97"/>
      <w:bookmarkEnd w:id="98"/>
    </w:p>
    <w:p>
      <w:pPr>
        <w:pageBreakBefore w:val="0"/>
        <w:kinsoku/>
        <w:wordWrap/>
        <w:overflowPunct/>
        <w:topLinePunct w:val="0"/>
        <w:bidi w:val="0"/>
        <w:spacing w:line="560" w:lineRule="exact"/>
        <w:jc w:val="left"/>
        <w:rPr>
          <w:rFonts w:hint="default" w:ascii="Times New Roman" w:hAnsi="Times New Roman" w:cs="Times New Roman"/>
          <w:b/>
          <w:color w:val="auto"/>
          <w:sz w:val="44"/>
          <w:szCs w:val="44"/>
        </w:rPr>
      </w:pPr>
    </w:p>
    <w:p>
      <w:pPr>
        <w:pStyle w:val="31"/>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1.财政拨款收入：指单位从同级财政部门取得的财政预算资金。</w:t>
      </w:r>
    </w:p>
    <w:p>
      <w:pPr>
        <w:pStyle w:val="31"/>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2.事业收入：指事业单位开展专业业务活动及辅助活动取得的收入。如四川省经济</w:t>
      </w:r>
      <w:r>
        <w:rPr>
          <w:rFonts w:hint="default" w:ascii="Times New Roman" w:hAnsi="Times New Roman" w:eastAsia="仿宋_GB2312" w:cs="Times New Roman"/>
          <w:color w:val="auto"/>
          <w:sz w:val="32"/>
          <w:szCs w:val="32"/>
          <w:lang w:eastAsia="zh-CN"/>
        </w:rPr>
        <w:t>和社会</w:t>
      </w:r>
      <w:r>
        <w:rPr>
          <w:rFonts w:hint="default" w:ascii="Times New Roman" w:hAnsi="Times New Roman" w:eastAsia="仿宋_GB2312" w:cs="Times New Roman"/>
          <w:color w:val="auto"/>
          <w:sz w:val="32"/>
          <w:szCs w:val="32"/>
        </w:rPr>
        <w:t>发展研究院事业收入等。</w:t>
      </w:r>
    </w:p>
    <w:p>
      <w:pPr>
        <w:pStyle w:val="31"/>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3.经营收入：指事业单位在专业业务活动及其辅助活动之外开展非独立核算经营活动取得的收入。如四川省工程咨询研究院经营收入等。</w:t>
      </w:r>
    </w:p>
    <w:p>
      <w:pPr>
        <w:pStyle w:val="31"/>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4.其他收入：指单位取得的除上述收入以外的各项收入。主要是利息收入等。</w:t>
      </w:r>
    </w:p>
    <w:p>
      <w:pPr>
        <w:pStyle w:val="31"/>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5.使用非财政拨款结余：指事业单位使用以前年度积累的非财政拨款结余弥补当年收支差额的金额。</w:t>
      </w:r>
    </w:p>
    <w:p>
      <w:pPr>
        <w:pStyle w:val="31"/>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6.年初结转和结余：指以前年度尚未完成、结转到本年按有关规定继续使用的资金。</w:t>
      </w:r>
    </w:p>
    <w:p>
      <w:pPr>
        <w:pStyle w:val="31"/>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7.结余分配：指事业单位按照会计制度规定缴纳的所得税、提取的专用结余以及转入非财政拨款结余的金额等。</w:t>
      </w:r>
    </w:p>
    <w:p>
      <w:pPr>
        <w:pStyle w:val="31"/>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8.年末结转和结余：指单位按有关规定结转到下年或以后年度继续使用的资金。</w:t>
      </w:r>
    </w:p>
    <w:p>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9.一般公共服务支出（类）发展与改革事务（款）行政运行（项）: 指反映行政单位（包括实行公务员管理的事业单位）的基本支出。</w:t>
      </w:r>
    </w:p>
    <w:p>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10.一般公共服务支出（类）发展与改革事务（款）一般行政管理事务（项）: 指反映行政单位（包括实行公务员管理的事业单位）未单独设置项级科目的其他项目支出。</w:t>
      </w:r>
    </w:p>
    <w:p>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11.一般公共服务支出（类）发展与改革事务（款）机关服务（项）:指反映为行政单位（包括实行公务员管理的事业单位）提供后勤服务的各类后勤服务中心、医务室等附属事业单位的支出。</w:t>
      </w:r>
    </w:p>
    <w:p>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 xml:space="preserve">12.一般公共服务支出（类）发展与改革事务（款）战略规划与实施（项）: </w:t>
      </w:r>
      <w:r>
        <w:rPr>
          <w:rFonts w:hint="default" w:ascii="Times New Roman" w:hAnsi="Times New Roman" w:eastAsia="仿宋_GB2312" w:cs="Times New Roman"/>
          <w:color w:val="auto"/>
          <w:kern w:val="0"/>
          <w:sz w:val="32"/>
          <w:szCs w:val="32"/>
          <w:lang w:eastAsia="zh-CN"/>
        </w:rPr>
        <w:t>指反映拟订并组织实施国民经济和社会发展战略、中长期规划和年度计划，实施宏观管理与调控等方面的支出。</w:t>
      </w:r>
    </w:p>
    <w:p>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13.一般公共服务支出（类）发展与改革事务（款）物价管理（项）: 指反映物价管理方面的支出。</w:t>
      </w:r>
    </w:p>
    <w:p>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14.一般公共服务支出（类）发展与改革事务（款）事业运行（项）: 指反映事业单位的基本支出，不包括行政单位（包括实行公务员管理的事业单位）后勤服务中心、医务室等附属事业单位。</w:t>
      </w:r>
    </w:p>
    <w:p>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15.一般公共服务支出（类）发展与改革事务（款）其他发展与改革事务支出（项）: 指反映除行政运行、一般行政管理事务、机关服务、社会事业发展规划、经济体制改革研究、物价管理、事业运行以外的其他发展与改革事务支出。</w:t>
      </w:r>
    </w:p>
    <w:p>
      <w:pPr>
        <w:pageBreakBefore w:val="0"/>
        <w:shd w:val="solid" w:color="FFFFFF" w:fill="auto"/>
        <w:kinsoku/>
        <w:wordWrap/>
        <w:overflowPunct/>
        <w:topLinePunct w:val="0"/>
        <w:autoSpaceDN w:val="0"/>
        <w:bidi w:val="0"/>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16.一般公共服务支出（类）其他共产党事务支出（款）其他共产党事务支出（项）: 指反映除行政运行、一般行政管理事务、机关服务、事业运行以外的其他用于中国共产党事务的支出。</w:t>
      </w:r>
    </w:p>
    <w:p>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17.一般公共服务支出（类）市场监督管理事务（款）其他市场监督管理事务（项）: 指反映用于除上述项目以外其他市场监督管理事务方面的支出。</w:t>
      </w:r>
    </w:p>
    <w:p>
      <w:pPr>
        <w:pageBreakBefore w:val="0"/>
        <w:shd w:val="solid" w:color="FFFFFF" w:fill="auto"/>
        <w:kinsoku/>
        <w:wordWrap/>
        <w:overflowPunct/>
        <w:topLinePunct w:val="0"/>
        <w:autoSpaceDN w:val="0"/>
        <w:bidi w:val="0"/>
        <w:spacing w:line="560" w:lineRule="exact"/>
        <w:ind w:firstLine="64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18.一般公共服务支出（类）其他一般公共服务支出（款）其他一般公共服务支出（项）: 指反映上述项目以外的其他一般公共服务支出。</w:t>
      </w:r>
    </w:p>
    <w:p>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19.教育支出（类）进修及培训（款）培训支出（项）: 指反映各部门安排的用于培训方面的支出。</w:t>
      </w:r>
    </w:p>
    <w:p>
      <w:pPr>
        <w:pageBreakBefore w:val="0"/>
        <w:shd w:val="solid" w:color="FFFFFF" w:fill="auto"/>
        <w:kinsoku/>
        <w:wordWrap/>
        <w:overflowPunct/>
        <w:topLinePunct w:val="0"/>
        <w:autoSpaceDN w:val="0"/>
        <w:bidi w:val="0"/>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20.科学技术（类）应用研究（款）机构运行（项）: 指反映应用研究机构的基本支出。</w:t>
      </w:r>
    </w:p>
    <w:p>
      <w:pPr>
        <w:pageBreakBefore w:val="0"/>
        <w:shd w:val="solid" w:color="FFFFFF" w:fill="auto"/>
        <w:kinsoku/>
        <w:wordWrap/>
        <w:overflowPunct/>
        <w:topLinePunct w:val="0"/>
        <w:autoSpaceDN w:val="0"/>
        <w:bidi w:val="0"/>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21.科学技术（类）应用研究（款）社会公益研究（项）: 指反映从事卫生、劳动保护、计划生育、环境科学、农业等社会公益专项科研方面的支出。</w:t>
      </w:r>
    </w:p>
    <w:p>
      <w:pPr>
        <w:pageBreakBefore w:val="0"/>
        <w:shd w:val="solid" w:color="FFFFFF" w:fill="auto"/>
        <w:kinsoku/>
        <w:wordWrap/>
        <w:overflowPunct/>
        <w:topLinePunct w:val="0"/>
        <w:autoSpaceDN w:val="0"/>
        <w:bidi w:val="0"/>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22.科学技术（类）技术研究与开发（款）其他技术研究与开发支出（项）: 指反映除机构运行、社会公益研究、高技术研究、专项科研试制以外其他用于应用研究方面的支出。</w:t>
      </w:r>
    </w:p>
    <w:p>
      <w:pPr>
        <w:pageBreakBefore w:val="0"/>
        <w:shd w:val="solid" w:color="FFFFFF" w:fill="auto"/>
        <w:kinsoku/>
        <w:wordWrap/>
        <w:overflowPunct/>
        <w:topLinePunct w:val="0"/>
        <w:autoSpaceDN w:val="0"/>
        <w:bidi w:val="0"/>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23.科学技术（类）其他科学技术支出（款）其他科学技术支出（项）: 指反映除机构运行、科技成果转换与扩散、共性技术研究与开发以外其他用于技术研究与开发方面的支出。</w:t>
      </w:r>
    </w:p>
    <w:p>
      <w:pPr>
        <w:pageBreakBefore w:val="0"/>
        <w:shd w:val="solid" w:color="FFFFFF" w:fill="auto"/>
        <w:kinsoku/>
        <w:wordWrap/>
        <w:overflowPunct/>
        <w:topLinePunct w:val="0"/>
        <w:autoSpaceDN w:val="0"/>
        <w:bidi w:val="0"/>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24.社会保障和就业支出（类）行政事业单位养老支出（款）行政单位离退休（项）: 指行政单位（包括实行公务员管理的事业单位）开支的离退休经费。</w:t>
      </w:r>
    </w:p>
    <w:p>
      <w:pPr>
        <w:pageBreakBefore w:val="0"/>
        <w:shd w:val="solid" w:color="FFFFFF" w:fill="auto"/>
        <w:kinsoku/>
        <w:wordWrap/>
        <w:overflowPunct/>
        <w:topLinePunct w:val="0"/>
        <w:autoSpaceDN w:val="0"/>
        <w:bidi w:val="0"/>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25.社会保障和就业支出（类）行政事业单位养老支出（款）事业单位离退休（项）: 指事业单位开支的离退休经费。</w:t>
      </w:r>
    </w:p>
    <w:p>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26.社会保障和就业支出（类）行政事业单位养老支出（款）机关事业单位基本养老保险缴费支出（项）: 反映机关事业单位实施养老保险制度由单位缴纳的基本养老保险费支出。</w:t>
      </w:r>
    </w:p>
    <w:p>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27.社会保障和就业支出（类）行政事业单位养老支出（款）机关事业单位职业年金缴费支出（项）: 反映机关事业单位实施养老保险制度由单位实际缴纳的职业年金支出。</w:t>
      </w:r>
    </w:p>
    <w:p>
      <w:pPr>
        <w:pageBreakBefore w:val="0"/>
        <w:shd w:val="solid" w:color="FFFFFF" w:fill="auto"/>
        <w:kinsoku/>
        <w:wordWrap/>
        <w:overflowPunct/>
        <w:topLinePunct w:val="0"/>
        <w:autoSpaceDN w:val="0"/>
        <w:bidi w:val="0"/>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28.社会保障和就业支出（类）抚恤（款）死亡抚恤（项）: 指反映按规定用于烈士和牺牲、病故人员家属的一次性和定期抚恤金以及丧葬补助费。</w:t>
      </w:r>
    </w:p>
    <w:p>
      <w:pPr>
        <w:pageBreakBefore w:val="0"/>
        <w:shd w:val="solid" w:color="FFFFFF" w:fill="auto"/>
        <w:kinsoku/>
        <w:wordWrap/>
        <w:overflowPunct/>
        <w:topLinePunct w:val="0"/>
        <w:autoSpaceDN w:val="0"/>
        <w:bidi w:val="0"/>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29.社会保障和就业支出（类）其他社会保障和就业支出（款）其他社会保障和就业支出（项）: 指反映除人力资源和社会保障管理、民政管理事务、补充全国社会保障基金、</w:t>
      </w:r>
      <w:r>
        <w:rPr>
          <w:rFonts w:hint="eastAsia" w:eastAsia="仿宋_GB2312" w:cs="Times New Roman"/>
          <w:color w:val="auto"/>
          <w:kern w:val="0"/>
          <w:sz w:val="32"/>
          <w:szCs w:val="32"/>
          <w:lang w:eastAsia="zh-CN"/>
        </w:rPr>
        <w:t>行政</w:t>
      </w:r>
      <w:r>
        <w:rPr>
          <w:rFonts w:hint="default" w:ascii="Times New Roman" w:hAnsi="Times New Roman" w:eastAsia="仿宋_GB2312" w:cs="Times New Roman"/>
          <w:color w:val="auto"/>
          <w:kern w:val="0"/>
          <w:sz w:val="32"/>
          <w:szCs w:val="32"/>
        </w:rPr>
        <w:t>事业单位离退休、企业改革补助、就业补助、抚恤、退役安置、社会福利、残疾人事业、自然灾害生活补助、红十字事业、最</w:t>
      </w:r>
      <w:bookmarkStart w:id="132" w:name="_GoBack"/>
      <w:bookmarkEnd w:id="132"/>
      <w:r>
        <w:rPr>
          <w:rFonts w:hint="default" w:ascii="Times New Roman" w:hAnsi="Times New Roman" w:eastAsia="仿宋_GB2312" w:cs="Times New Roman"/>
          <w:color w:val="auto"/>
          <w:kern w:val="0"/>
          <w:sz w:val="32"/>
          <w:szCs w:val="32"/>
        </w:rPr>
        <w:t>低生活保障、临时救助等项目以外其他用于社会保障和就业方面的支出。</w:t>
      </w:r>
    </w:p>
    <w:p>
      <w:pPr>
        <w:pageBreakBefore w:val="0"/>
        <w:shd w:val="solid" w:color="FFFFFF" w:fill="auto"/>
        <w:kinsoku/>
        <w:wordWrap/>
        <w:overflowPunct/>
        <w:topLinePunct w:val="0"/>
        <w:autoSpaceDN w:val="0"/>
        <w:bidi w:val="0"/>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30.卫生健康（类）行政事业单位医疗（款）行政单位医疗（项）: 指反映财政部门安排的行政单位（包括实行公务员管理的事业单位）基本医疗保险缴费经费，未参加医疗保险的行政单位的公费医疗经费，按国家规定享受离休人员、红军老战士待遇人员的医疗经费。</w:t>
      </w:r>
    </w:p>
    <w:p>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31.卫生健康（类）行政事业单位医疗（款）事业单位医疗（项）: 指反映财政部门安排的事业单位基本医疗保险缴费经费，未参加医疗保险的事业单位的公费医疗经费，按国家规定享受离休人员待遇的医疗经费。</w:t>
      </w:r>
    </w:p>
    <w:p>
      <w:pPr>
        <w:pageBreakBefore w:val="0"/>
        <w:shd w:val="solid" w:color="FFFFFF" w:fill="auto"/>
        <w:kinsoku/>
        <w:wordWrap/>
        <w:overflowPunct/>
        <w:topLinePunct w:val="0"/>
        <w:autoSpaceDN w:val="0"/>
        <w:bidi w:val="0"/>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32.卫生健康（类）行政事业单位医疗（款）公务员医疗补助（项）: 指反映财政部门安排的公务员医疗补助经费。</w:t>
      </w:r>
    </w:p>
    <w:p>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33.卫生健康（类）其他卫生健康支出（款）其他卫生健康支出（项）:指除上述项目以外其他用于卫生健康方面的支出。</w:t>
      </w:r>
    </w:p>
    <w:p>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34.住房保障支出（类）住房改革支出（款）住房公积金（项）: 指反映行政事业单位按人力资源和社会保障部、财政部规定的基本工资和津贴补贴以及规定比例为职工缴纳的住房公积金。</w:t>
      </w:r>
    </w:p>
    <w:p>
      <w:pPr>
        <w:pageBreakBefore w:val="0"/>
        <w:shd w:val="solid" w:color="FFFFFF" w:fill="auto"/>
        <w:kinsoku/>
        <w:wordWrap/>
        <w:overflowPunct/>
        <w:topLinePunct w:val="0"/>
        <w:autoSpaceDN w:val="0"/>
        <w:bidi w:val="0"/>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35.住房保障支出（类）住房改革支出（款）购房补贴（项）: 指反映按房改政策规定，行政事业单位向符合条件职工（含离退休）、军队（含武警）向转役复员离退休人员发放的用于购买住房的补贴。</w:t>
      </w:r>
    </w:p>
    <w:p>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36.灾害防治及应急管理支出（类）应急管理事务（款）其他应急管理支出（项）: 指除行政运行、一般行政管理事务、机关服务、灾害风险防治、国务院安委会专项、安全监管、安全生产基础、应急救援、应急管理、事业运行以外的其他用于应急管理方面的支出。</w:t>
      </w:r>
    </w:p>
    <w:p>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37.节能环保支出（类）环境监测与监察（款）其他环境监测与监察（项）: 指除建设项目环评审查与监督、核与辐射安全监督以外其他用于环境监测与监察方面的支出。</w:t>
      </w:r>
    </w:p>
    <w:p>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38.基本支出：指为保障机构正常运转、完成日常工作任务而发生的人员支出和公用支出。</w:t>
      </w:r>
    </w:p>
    <w:p>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39.项目支出：指在基本支出之外为完成特定行政任务和事业发展目标所发生的支出。</w:t>
      </w:r>
    </w:p>
    <w:p>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40.经营支出：指事业单位在专业业务活动及其辅助活动之外开展非独立核算经营活动发生的支出。</w:t>
      </w:r>
    </w:p>
    <w:p>
      <w:pPr>
        <w:pStyle w:val="31"/>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1"/>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1"/>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auto"/>
          <w:sz w:val="32"/>
          <w:szCs w:val="32"/>
        </w:rPr>
      </w:pPr>
    </w:p>
    <w:p>
      <w:pPr>
        <w:pageBreakBefore w:val="0"/>
        <w:kinsoku/>
        <w:wordWrap/>
        <w:overflowPunct/>
        <w:topLinePunct w:val="0"/>
        <w:bidi w:val="0"/>
        <w:spacing w:line="560" w:lineRule="exact"/>
        <w:jc w:val="center"/>
        <w:outlineLvl w:val="0"/>
        <w:rPr>
          <w:rFonts w:hint="default" w:ascii="Times New Roman" w:hAnsi="Times New Roman" w:eastAsia="黑体" w:cs="Times New Roman"/>
          <w:color w:val="auto"/>
          <w:sz w:val="44"/>
          <w:szCs w:val="44"/>
        </w:rPr>
      </w:pPr>
      <w:bookmarkStart w:id="99" w:name="_Toc15396614"/>
      <w:bookmarkStart w:id="100" w:name="_Toc15377226"/>
    </w:p>
    <w:p>
      <w:pPr>
        <w:pageBreakBefore w:val="0"/>
        <w:kinsoku/>
        <w:wordWrap/>
        <w:overflowPunct/>
        <w:topLinePunct w:val="0"/>
        <w:bidi w:val="0"/>
        <w:spacing w:line="560" w:lineRule="exact"/>
        <w:jc w:val="center"/>
        <w:outlineLvl w:val="0"/>
        <w:rPr>
          <w:rStyle w:val="33"/>
          <w:rFonts w:hint="default" w:ascii="Times New Roman" w:hAnsi="Times New Roman" w:eastAsia="黑体" w:cs="Times New Roman"/>
          <w:b w:val="0"/>
          <w:color w:val="auto"/>
        </w:rPr>
      </w:pPr>
      <w:bookmarkStart w:id="101" w:name="_Toc112248420"/>
      <w:r>
        <w:rPr>
          <w:rFonts w:hint="default" w:ascii="Times New Roman" w:hAnsi="Times New Roman" w:eastAsia="黑体" w:cs="Times New Roman"/>
          <w:color w:val="auto"/>
          <w:sz w:val="44"/>
          <w:szCs w:val="44"/>
        </w:rPr>
        <w:t>第</w:t>
      </w:r>
      <w:r>
        <w:rPr>
          <w:rStyle w:val="33"/>
          <w:rFonts w:hint="default" w:ascii="Times New Roman" w:hAnsi="Times New Roman" w:eastAsia="黑体" w:cs="Times New Roman"/>
          <w:b w:val="0"/>
          <w:color w:val="auto"/>
        </w:rPr>
        <w:t>四部分 附件</w:t>
      </w:r>
      <w:bookmarkEnd w:id="99"/>
      <w:bookmarkEnd w:id="101"/>
    </w:p>
    <w:p>
      <w:pPr>
        <w:pageBreakBefore w:val="0"/>
        <w:kinsoku/>
        <w:wordWrap/>
        <w:overflowPunct/>
        <w:topLinePunct w:val="0"/>
        <w:bidi w:val="0"/>
        <w:spacing w:line="560" w:lineRule="exact"/>
        <w:jc w:val="left"/>
        <w:outlineLvl w:val="0"/>
        <w:rPr>
          <w:rFonts w:hint="default" w:ascii="Times New Roman" w:hAnsi="Times New Roman" w:eastAsia="黑体" w:cs="Times New Roman"/>
          <w:color w:val="auto"/>
          <w:sz w:val="44"/>
          <w:szCs w:val="44"/>
        </w:rPr>
      </w:pPr>
      <w:bookmarkStart w:id="102" w:name="_Toc112248421"/>
      <w:r>
        <w:rPr>
          <w:rFonts w:hint="default" w:ascii="Times New Roman" w:hAnsi="Times New Roman" w:eastAsia="黑体" w:cs="Times New Roman"/>
          <w:color w:val="auto"/>
          <w:sz w:val="32"/>
          <w:szCs w:val="32"/>
        </w:rPr>
        <w:t>附件1</w:t>
      </w:r>
      <w:bookmarkEnd w:id="102"/>
    </w:p>
    <w:p>
      <w:pPr>
        <w:pageBreakBefore w:val="0"/>
        <w:kinsoku/>
        <w:wordWrap/>
        <w:overflowPunct/>
        <w:topLinePunct w:val="0"/>
        <w:bidi w:val="0"/>
        <w:spacing w:line="560" w:lineRule="exact"/>
        <w:jc w:val="center"/>
        <w:rPr>
          <w:rFonts w:hint="default" w:ascii="Times New Roman" w:hAnsi="Times New Roman" w:eastAsia="方正小标宋简体" w:cs="Times New Roman"/>
          <w:color w:val="auto"/>
          <w:kern w:val="0"/>
          <w:sz w:val="40"/>
          <w:szCs w:val="44"/>
        </w:rPr>
      </w:pPr>
      <w:r>
        <w:rPr>
          <w:rFonts w:hint="default" w:ascii="Times New Roman" w:hAnsi="Times New Roman" w:eastAsia="方正小标宋简体" w:cs="Times New Roman"/>
          <w:color w:val="auto"/>
          <w:kern w:val="0"/>
          <w:sz w:val="40"/>
          <w:szCs w:val="44"/>
        </w:rPr>
        <w:t>2021年四川省发展和改革委员会</w:t>
      </w:r>
    </w:p>
    <w:p>
      <w:pPr>
        <w:pageBreakBefore w:val="0"/>
        <w:kinsoku/>
        <w:wordWrap/>
        <w:overflowPunct/>
        <w:topLinePunct w:val="0"/>
        <w:bidi w:val="0"/>
        <w:spacing w:line="560" w:lineRule="exact"/>
        <w:jc w:val="center"/>
        <w:rPr>
          <w:rFonts w:hint="default" w:ascii="Times New Roman" w:hAnsi="Times New Roman" w:eastAsia="方正小标宋简体" w:cs="Times New Roman"/>
          <w:color w:val="auto"/>
          <w:kern w:val="0"/>
          <w:sz w:val="40"/>
          <w:szCs w:val="44"/>
          <w:lang w:val="zh-CN"/>
        </w:rPr>
      </w:pPr>
      <w:r>
        <w:rPr>
          <w:rFonts w:hint="default" w:ascii="Times New Roman" w:hAnsi="Times New Roman" w:eastAsia="方正小标宋简体" w:cs="Times New Roman"/>
          <w:color w:val="auto"/>
          <w:kern w:val="0"/>
          <w:sz w:val="40"/>
          <w:szCs w:val="44"/>
        </w:rPr>
        <w:t>部门整体绩效评价报告</w:t>
      </w:r>
    </w:p>
    <w:p>
      <w:pPr>
        <w:pageBreakBefore w:val="0"/>
        <w:widowControl/>
        <w:kinsoku/>
        <w:wordWrap/>
        <w:overflowPunct/>
        <w:topLinePunct w:val="0"/>
        <w:bidi w:val="0"/>
        <w:adjustRightInd w:val="0"/>
        <w:snapToGrid w:val="0"/>
        <w:spacing w:line="560" w:lineRule="exact"/>
        <w:ind w:firstLine="640" w:firstLineChars="200"/>
        <w:contextualSpacing/>
        <w:jc w:val="left"/>
        <w:rPr>
          <w:rFonts w:hint="default" w:ascii="Times New Roman" w:hAnsi="Times New Roman" w:eastAsia="黑体" w:cs="Times New Roman"/>
          <w:color w:val="auto"/>
          <w:kern w:val="0"/>
          <w:sz w:val="32"/>
          <w:szCs w:val="32"/>
          <w:shd w:val="clear" w:color="auto" w:fill="FFFFFF"/>
        </w:rPr>
      </w:pPr>
    </w:p>
    <w:p>
      <w:pPr>
        <w:pageBreakBefore w:val="0"/>
        <w:widowControl/>
        <w:kinsoku/>
        <w:wordWrap/>
        <w:overflowPunct/>
        <w:topLinePunct w:val="0"/>
        <w:bidi w:val="0"/>
        <w:adjustRightInd w:val="0"/>
        <w:snapToGrid w:val="0"/>
        <w:spacing w:line="560" w:lineRule="exact"/>
        <w:ind w:firstLine="640" w:firstLineChars="200"/>
        <w:contextualSpacing/>
        <w:jc w:val="left"/>
        <w:rPr>
          <w:rFonts w:hint="default" w:ascii="Times New Roman" w:hAnsi="Times New Roman" w:eastAsia="黑体" w:cs="Times New Roman"/>
          <w:color w:val="auto"/>
          <w:kern w:val="0"/>
          <w:sz w:val="32"/>
          <w:szCs w:val="32"/>
          <w:shd w:val="clear" w:color="auto" w:fill="FFFFFF"/>
          <w:lang w:val="zh-CN"/>
        </w:rPr>
      </w:pPr>
      <w:r>
        <w:rPr>
          <w:rFonts w:hint="default" w:ascii="Times New Roman" w:hAnsi="Times New Roman" w:eastAsia="黑体" w:cs="Times New Roman"/>
          <w:color w:val="auto"/>
          <w:kern w:val="0"/>
          <w:sz w:val="32"/>
          <w:szCs w:val="32"/>
          <w:shd w:val="clear" w:color="auto" w:fill="FFFFFF"/>
        </w:rPr>
        <w:t>一、</w:t>
      </w:r>
      <w:r>
        <w:rPr>
          <w:rFonts w:hint="default" w:ascii="Times New Roman" w:hAnsi="Times New Roman" w:eastAsia="黑体" w:cs="Times New Roman"/>
          <w:color w:val="auto"/>
          <w:kern w:val="0"/>
          <w:sz w:val="32"/>
          <w:szCs w:val="32"/>
          <w:shd w:val="clear" w:color="auto" w:fill="FFFFFF"/>
          <w:lang w:val="zh-CN"/>
        </w:rPr>
        <w:t>部门（单位）概况</w:t>
      </w:r>
    </w:p>
    <w:p>
      <w:pPr>
        <w:pageBreakBefore w:val="0"/>
        <w:widowControl/>
        <w:kinsoku/>
        <w:wordWrap/>
        <w:overflowPunct/>
        <w:topLinePunct w:val="0"/>
        <w:bidi w:val="0"/>
        <w:adjustRightInd w:val="0"/>
        <w:snapToGrid w:val="0"/>
        <w:spacing w:line="560" w:lineRule="exact"/>
        <w:ind w:firstLine="642" w:firstLineChars="200"/>
        <w:contextualSpacing/>
        <w:jc w:val="left"/>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bCs/>
          <w:color w:val="auto"/>
          <w:kern w:val="0"/>
          <w:sz w:val="32"/>
          <w:szCs w:val="32"/>
          <w:shd w:val="clear" w:color="auto" w:fill="FFFFFF"/>
          <w:lang w:val="zh-CN"/>
        </w:rPr>
        <w:t>（一）机构组成。</w:t>
      </w:r>
    </w:p>
    <w:p>
      <w:pPr>
        <w:pageBreakBefore w:val="0"/>
        <w:widowControl/>
        <w:kinsoku/>
        <w:wordWrap/>
        <w:overflowPunct/>
        <w:topLinePunct w:val="0"/>
        <w:bidi w:val="0"/>
        <w:adjustRightInd w:val="0"/>
        <w:snapToGrid w:val="0"/>
        <w:spacing w:line="560" w:lineRule="exact"/>
        <w:ind w:firstLine="640" w:firstLineChars="200"/>
        <w:contextualSpacing/>
        <w:jc w:val="left"/>
        <w:rPr>
          <w:rFonts w:hint="default" w:ascii="Times New Roman" w:hAnsi="Times New Roman" w:eastAsia="仿宋_GB2312" w:cs="Times New Roman"/>
          <w:bCs/>
          <w:color w:val="auto"/>
          <w:sz w:val="32"/>
          <w:szCs w:val="32"/>
          <w:lang w:val="zh-CN"/>
        </w:rPr>
      </w:pPr>
      <w:r>
        <w:rPr>
          <w:rFonts w:hint="default" w:ascii="Times New Roman" w:hAnsi="Times New Roman" w:eastAsia="仿宋_GB2312" w:cs="Times New Roman"/>
          <w:bCs/>
          <w:color w:val="auto"/>
          <w:sz w:val="32"/>
          <w:szCs w:val="32"/>
          <w:lang w:val="zh-CN"/>
        </w:rPr>
        <w:t>省发展改革委共有独立编制机构</w:t>
      </w:r>
      <w:r>
        <w:rPr>
          <w:rFonts w:hint="default" w:ascii="Times New Roman" w:hAnsi="Times New Roman" w:cs="Times New Roman"/>
          <w:bCs/>
          <w:color w:val="auto"/>
          <w:sz w:val="32"/>
        </w:rPr>
        <w:t>12个，其中：行政单位3个（</w:t>
      </w:r>
      <w:r>
        <w:rPr>
          <w:rFonts w:hint="default" w:ascii="Times New Roman" w:hAnsi="Times New Roman" w:eastAsia="仿宋_GB2312" w:cs="Times New Roman"/>
          <w:bCs/>
          <w:color w:val="auto"/>
          <w:sz w:val="32"/>
          <w:szCs w:val="32"/>
          <w:lang w:val="zh-CN"/>
        </w:rPr>
        <w:t>省发展改革委机关、省成本调查监审局、省价格监测局），参照公务员法管理的事业单位2个</w:t>
      </w:r>
      <w:r>
        <w:rPr>
          <w:rFonts w:hint="default" w:ascii="Times New Roman" w:hAnsi="Times New Roman" w:eastAsia="方正隶书_GBK" w:cs="Times New Roman"/>
          <w:bCs/>
          <w:color w:val="auto"/>
          <w:sz w:val="32"/>
          <w:szCs w:val="32"/>
          <w:lang w:val="zh-CN"/>
        </w:rPr>
        <w:t>〔</w:t>
      </w:r>
      <w:r>
        <w:rPr>
          <w:rFonts w:hint="default" w:ascii="Times New Roman" w:hAnsi="Times New Roman" w:eastAsia="仿宋_GB2312" w:cs="Times New Roman"/>
          <w:bCs/>
          <w:color w:val="auto"/>
          <w:sz w:val="32"/>
          <w:szCs w:val="32"/>
          <w:lang w:val="zh-CN"/>
        </w:rPr>
        <w:t>省价格认证中心、省总部经济发展中心（原省对外交流合作中心）</w:t>
      </w:r>
      <w:r>
        <w:rPr>
          <w:rFonts w:hint="default" w:ascii="Times New Roman" w:hAnsi="Times New Roman" w:eastAsia="方正隶书_GBK" w:cs="Times New Roman"/>
          <w:bCs/>
          <w:color w:val="auto"/>
          <w:sz w:val="32"/>
          <w:szCs w:val="32"/>
          <w:lang w:val="zh-CN"/>
        </w:rPr>
        <w:t>〕</w:t>
      </w:r>
      <w:r>
        <w:rPr>
          <w:rFonts w:hint="default" w:ascii="Times New Roman" w:hAnsi="Times New Roman" w:eastAsia="仿宋_GB2312" w:cs="Times New Roman"/>
          <w:bCs/>
          <w:color w:val="auto"/>
          <w:sz w:val="32"/>
          <w:szCs w:val="32"/>
          <w:lang w:val="zh-CN"/>
        </w:rPr>
        <w:t>，其他事业单位7个（省发展改革委机关服务中心、省发展与改革研究所、省经济和社会发展研究院、省县域经济研究中心、省工程咨询研究院、省创新驱动发展研究中心、省数字经济研究中心）。其中，省创新驱动发展中心、省数字经济研究中心于202</w:t>
      </w:r>
      <w:r>
        <w:rPr>
          <w:rFonts w:hint="default" w:ascii="Times New Roman" w:hAnsi="Times New Roman"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lang w:val="zh-CN"/>
        </w:rPr>
        <w:t>年纳入预算管理。</w:t>
      </w:r>
    </w:p>
    <w:p>
      <w:pPr>
        <w:pageBreakBefore w:val="0"/>
        <w:widowControl/>
        <w:kinsoku/>
        <w:wordWrap/>
        <w:overflowPunct/>
        <w:topLinePunct w:val="0"/>
        <w:bidi w:val="0"/>
        <w:adjustRightInd w:val="0"/>
        <w:snapToGrid w:val="0"/>
        <w:spacing w:line="560" w:lineRule="exact"/>
        <w:ind w:firstLine="642" w:firstLineChars="200"/>
        <w:contextualSpacing/>
        <w:jc w:val="left"/>
        <w:rPr>
          <w:rFonts w:hint="default" w:ascii="Times New Roman" w:hAnsi="Times New Roman" w:eastAsia="仿宋_GB2312" w:cs="Times New Roman"/>
          <w:b/>
          <w:bCs/>
          <w:color w:val="auto"/>
          <w:kern w:val="0"/>
          <w:sz w:val="32"/>
          <w:szCs w:val="32"/>
          <w:shd w:val="clear" w:color="auto" w:fill="FFFFFF"/>
          <w:lang w:val="zh-CN"/>
        </w:rPr>
      </w:pPr>
      <w:r>
        <w:rPr>
          <w:rFonts w:hint="default" w:ascii="Times New Roman" w:hAnsi="Times New Roman" w:eastAsia="仿宋_GB2312" w:cs="Times New Roman"/>
          <w:b/>
          <w:bCs/>
          <w:color w:val="auto"/>
          <w:kern w:val="0"/>
          <w:sz w:val="32"/>
          <w:szCs w:val="32"/>
          <w:shd w:val="clear" w:color="auto" w:fill="FFFFFF"/>
          <w:lang w:val="zh-CN"/>
        </w:rPr>
        <w:t>（</w:t>
      </w:r>
      <w:r>
        <w:rPr>
          <w:rFonts w:hint="default" w:ascii="Times New Roman" w:hAnsi="Times New Roman" w:eastAsia="楷体_GB2312" w:cs="Times New Roman"/>
          <w:b/>
          <w:bCs/>
          <w:color w:val="auto"/>
          <w:kern w:val="0"/>
          <w:sz w:val="32"/>
          <w:szCs w:val="32"/>
          <w:shd w:val="clear" w:color="auto" w:fill="FFFFFF"/>
          <w:lang w:val="zh-CN"/>
        </w:rPr>
        <w:t>二）机构职能。</w:t>
      </w:r>
    </w:p>
    <w:p>
      <w:pPr>
        <w:pageBreakBefore w:val="0"/>
        <w:kinsoku/>
        <w:wordWrap/>
        <w:overflowPunct/>
        <w:topLinePunct w:val="0"/>
        <w:bidi w:val="0"/>
        <w:snapToGrid w:val="0"/>
        <w:spacing w:line="560" w:lineRule="exact"/>
        <w:ind w:firstLine="640" w:firstLineChars="200"/>
        <w:rPr>
          <w:rFonts w:hint="default" w:ascii="Times New Roman" w:hAnsi="Times New Roman" w:cs="Times New Roman"/>
          <w:bCs/>
          <w:color w:val="auto"/>
        </w:rPr>
      </w:pPr>
      <w:r>
        <w:rPr>
          <w:rFonts w:hint="default" w:ascii="Times New Roman" w:hAnsi="Times New Roman" w:eastAsia="仿宋_GB2312" w:cs="Times New Roman"/>
          <w:bCs/>
          <w:color w:val="auto"/>
          <w:sz w:val="32"/>
          <w:szCs w:val="32"/>
        </w:rPr>
        <w:t>1.贯彻实施国家有关国民经济和社会发展、经济体制改革的方针、政策和法律、法规。拟订全省有关国民经济和社会发展、经济体制改革的地方性法规、规章草案，负责本系统、本部门依法行政工作，落实行政执法责任制。</w:t>
      </w:r>
    </w:p>
    <w:p>
      <w:pPr>
        <w:pageBreakBefore w:val="0"/>
        <w:kinsoku/>
        <w:wordWrap/>
        <w:overflowPunct/>
        <w:topLinePunct w:val="0"/>
        <w:bidi w:val="0"/>
        <w:snapToGrid w:val="0"/>
        <w:spacing w:line="560" w:lineRule="exact"/>
        <w:ind w:firstLine="640" w:firstLineChars="200"/>
        <w:rPr>
          <w:rFonts w:hint="default" w:ascii="Times New Roman" w:hAnsi="Times New Roman" w:cs="Times New Roman"/>
          <w:bCs/>
          <w:color w:val="auto"/>
        </w:rPr>
      </w:pPr>
      <w:r>
        <w:rPr>
          <w:rFonts w:hint="default" w:ascii="Times New Roman" w:hAnsi="Times New Roman" w:eastAsia="仿宋_GB2312" w:cs="Times New Roman"/>
          <w:bCs/>
          <w:color w:val="auto"/>
          <w:sz w:val="32"/>
          <w:szCs w:val="32"/>
        </w:rPr>
        <w:t>2.负责拟订并组织实施全省国民经济和社会发展战略、中长期规划和年度计划，统筹协调全省经济社会发展，研究分析宏观经济形势，提出全省经济社会发展、经济结构优化、价格总水平调控目标和政策建议。受省政府委托向省人大提交国民经济和社会发展计划报告。</w:t>
      </w:r>
    </w:p>
    <w:p>
      <w:pPr>
        <w:pageBreakBefore w:val="0"/>
        <w:kinsoku/>
        <w:wordWrap/>
        <w:overflowPunct/>
        <w:topLinePunct w:val="0"/>
        <w:bidi w:val="0"/>
        <w:snapToGrid w:val="0"/>
        <w:spacing w:line="560" w:lineRule="exact"/>
        <w:ind w:firstLine="640" w:firstLineChars="200"/>
        <w:rPr>
          <w:rFonts w:hint="default" w:ascii="Times New Roman" w:hAnsi="Times New Roman" w:cs="Times New Roman"/>
          <w:bCs/>
          <w:color w:val="auto"/>
        </w:rPr>
      </w:pPr>
      <w:r>
        <w:rPr>
          <w:rFonts w:hint="default" w:ascii="Times New Roman" w:hAnsi="Times New Roman" w:eastAsia="仿宋_GB2312" w:cs="Times New Roman"/>
          <w:bCs/>
          <w:color w:val="auto"/>
          <w:sz w:val="32"/>
          <w:szCs w:val="32"/>
        </w:rPr>
        <w:t>3.负责监测宏观经济和社会发展态势，承担预测预警和信息引导的责任，研究宏观调控重大问题并提出政策建议，搞好总量平衡，综合协调经济社会发展中的重大问题。负责省级以上开发区的指导、协调和宏观管理。</w:t>
      </w:r>
    </w:p>
    <w:p>
      <w:pPr>
        <w:pageBreakBefore w:val="0"/>
        <w:kinsoku/>
        <w:wordWrap/>
        <w:overflowPunct/>
        <w:topLinePunct w:val="0"/>
        <w:bidi w:val="0"/>
        <w:snapToGrid w:val="0"/>
        <w:spacing w:line="560" w:lineRule="exact"/>
        <w:ind w:firstLine="640" w:firstLineChars="200"/>
        <w:rPr>
          <w:rFonts w:hint="default" w:ascii="Times New Roman" w:hAnsi="Times New Roman" w:cs="Times New Roman"/>
          <w:bCs/>
          <w:color w:val="auto"/>
        </w:rPr>
      </w:pPr>
      <w:r>
        <w:rPr>
          <w:rFonts w:hint="default" w:ascii="Times New Roman" w:hAnsi="Times New Roman" w:eastAsia="仿宋_GB2312" w:cs="Times New Roman"/>
          <w:bCs/>
          <w:color w:val="auto"/>
          <w:sz w:val="32"/>
          <w:szCs w:val="32"/>
        </w:rPr>
        <w:t>4.负责汇总分析全省财政、金融等方面情况，参与制订财政、金融、土地政策，综合分析政策执行效果，负责全省全口径外债管理有关工作，提出多渠道融资的政策建议，综合协调财政、金融、价格和产业政策等经济杠杆，保证全省国民经济计划和发展规划的实施。</w:t>
      </w:r>
    </w:p>
    <w:p>
      <w:pPr>
        <w:pageBreakBefore w:val="0"/>
        <w:kinsoku/>
        <w:wordWrap/>
        <w:overflowPunct/>
        <w:topLinePunct w:val="0"/>
        <w:bidi w:val="0"/>
        <w:snapToGrid w:val="0"/>
        <w:spacing w:line="560" w:lineRule="exact"/>
        <w:ind w:firstLine="640" w:firstLineChars="200"/>
        <w:rPr>
          <w:rFonts w:hint="default" w:ascii="Times New Roman" w:hAnsi="Times New Roman" w:cs="Times New Roman"/>
          <w:bCs/>
          <w:color w:val="auto"/>
        </w:rPr>
      </w:pPr>
      <w:r>
        <w:rPr>
          <w:rFonts w:hint="default" w:ascii="Times New Roman" w:hAnsi="Times New Roman" w:eastAsia="仿宋_GB2312" w:cs="Times New Roman"/>
          <w:bCs/>
          <w:color w:val="auto"/>
          <w:sz w:val="32"/>
          <w:szCs w:val="32"/>
        </w:rPr>
        <w:t>5.承担指导推进和综合协调全省经济体制改革的责任，研究经济体制改革和对外开放的重大问题，组织拟订综合性经济体制改革方案，协调有关专项经济体制改革方案，会同有关部门搞好重要专项经济体制改革之间的衔接，指导经济体制改革试点和改革试验区工作。</w:t>
      </w:r>
    </w:p>
    <w:p>
      <w:pPr>
        <w:pageBreakBefore w:val="0"/>
        <w:kinsoku/>
        <w:wordWrap/>
        <w:overflowPunct/>
        <w:topLinePunct w:val="0"/>
        <w:bidi w:val="0"/>
        <w:snapToGrid w:val="0"/>
        <w:spacing w:line="560" w:lineRule="exact"/>
        <w:ind w:firstLine="640" w:firstLineChars="200"/>
        <w:rPr>
          <w:rFonts w:hint="default" w:ascii="Times New Roman" w:hAnsi="Times New Roman" w:cs="Times New Roman"/>
          <w:bCs/>
          <w:color w:val="auto"/>
        </w:rPr>
      </w:pPr>
      <w:r>
        <w:rPr>
          <w:rFonts w:hint="default" w:ascii="Times New Roman" w:hAnsi="Times New Roman" w:eastAsia="仿宋_GB2312" w:cs="Times New Roman"/>
          <w:bCs/>
          <w:color w:val="auto"/>
          <w:sz w:val="32"/>
          <w:szCs w:val="32"/>
        </w:rPr>
        <w:t>6.贯彻实施国家和省价格法律、法规和方针、政策，编制和执行价格调整改革规划，提出年度价格总水平调控目标及价格调控措施并组织实施，管理国家、省列名管理的商品和服务价格，承担行政事业性收费管理工作，负责全省价格成本调查监审、价格监测、价格认证等工作。</w:t>
      </w:r>
    </w:p>
    <w:p>
      <w:pPr>
        <w:pageBreakBefore w:val="0"/>
        <w:kinsoku/>
        <w:wordWrap/>
        <w:overflowPunct/>
        <w:topLinePunct w:val="0"/>
        <w:bidi w:val="0"/>
        <w:snapToGrid w:val="0"/>
        <w:spacing w:line="560" w:lineRule="exact"/>
        <w:ind w:firstLine="640" w:firstLineChars="200"/>
        <w:rPr>
          <w:rFonts w:hint="default" w:ascii="Times New Roman" w:hAnsi="Times New Roman" w:cs="Times New Roman"/>
          <w:bCs/>
          <w:color w:val="auto"/>
        </w:rPr>
      </w:pPr>
      <w:r>
        <w:rPr>
          <w:rFonts w:hint="default" w:ascii="Times New Roman" w:hAnsi="Times New Roman" w:eastAsia="仿宋_GB2312" w:cs="Times New Roman"/>
          <w:bCs/>
          <w:color w:val="auto"/>
          <w:sz w:val="32"/>
          <w:szCs w:val="32"/>
        </w:rPr>
        <w:t>7.负责全省投资宏观管理和协调推进重大项目建设。拟订全社会固定资产投资总规模和投资结构的调控目标、政策及措施，安排省级预算内基本建设资金，按规定权限审批、核准、备案或转报固定资产投资项目（企业技术改造项目除外）和资源开发利用、外资、境外投资项目。引导民间投资方向，研究提出利用外资和境外投资的规划、总量平衡和结构优化的目标和政策，指导和协调国外贷款项目实施。</w:t>
      </w:r>
    </w:p>
    <w:p>
      <w:pPr>
        <w:pageBreakBefore w:val="0"/>
        <w:kinsoku/>
        <w:wordWrap/>
        <w:overflowPunct/>
        <w:topLinePunct w:val="0"/>
        <w:bidi w:val="0"/>
        <w:snapToGrid w:val="0"/>
        <w:spacing w:line="560" w:lineRule="exact"/>
        <w:ind w:firstLine="640" w:firstLineChars="200"/>
        <w:rPr>
          <w:rFonts w:hint="default" w:ascii="Times New Roman" w:hAnsi="Times New Roman" w:cs="Times New Roman"/>
          <w:bCs/>
          <w:color w:val="auto"/>
        </w:rPr>
      </w:pPr>
      <w:r>
        <w:rPr>
          <w:rFonts w:hint="default" w:ascii="Times New Roman" w:hAnsi="Times New Roman" w:eastAsia="仿宋_GB2312" w:cs="Times New Roman"/>
          <w:bCs/>
          <w:color w:val="auto"/>
          <w:sz w:val="32"/>
          <w:szCs w:val="32"/>
        </w:rPr>
        <w:t>8.推进经济结构战略性调整。组织拟订全省综合性产业政策，负责协调第一、二、三产业发展的重大问题，衔接平衡相关发展规划和重大政策，拟订重大产业发展规划，引导全省重大生产力合理布局，协调推进全省重大技术装备推广应用和重大产业基地建设，会同有关部门拟订服务业、现代物流业发展战略、规划和重大政策。组织拟订高技术产业发展、产业技术进步的战略、规划和重大政策，指导全省自主创新体系建设发展。</w:t>
      </w:r>
    </w:p>
    <w:p>
      <w:pPr>
        <w:pageBreakBefore w:val="0"/>
        <w:kinsoku/>
        <w:wordWrap/>
        <w:overflowPunct/>
        <w:topLinePunct w:val="0"/>
        <w:bidi w:val="0"/>
        <w:snapToGrid w:val="0"/>
        <w:spacing w:line="560" w:lineRule="exact"/>
        <w:ind w:firstLine="640" w:firstLineChars="200"/>
        <w:rPr>
          <w:rFonts w:hint="default" w:ascii="Times New Roman" w:hAnsi="Times New Roman" w:cs="Times New Roman"/>
          <w:bCs/>
          <w:color w:val="auto"/>
        </w:rPr>
      </w:pPr>
      <w:r>
        <w:rPr>
          <w:rFonts w:hint="default" w:ascii="Times New Roman" w:hAnsi="Times New Roman" w:eastAsia="仿宋_GB2312" w:cs="Times New Roman"/>
          <w:bCs/>
          <w:color w:val="auto"/>
          <w:sz w:val="32"/>
          <w:szCs w:val="32"/>
        </w:rPr>
        <w:t>9.促进城乡区域协调发展。组织拟订区域协调发展战略、规划和重大政策，研究提出城镇化发展战略，负责地区经济协作的统筹协调。</w:t>
      </w:r>
    </w:p>
    <w:p>
      <w:pPr>
        <w:pageBreakBefore w:val="0"/>
        <w:kinsoku/>
        <w:wordWrap/>
        <w:overflowPunct/>
        <w:topLinePunct w:val="0"/>
        <w:bidi w:val="0"/>
        <w:snapToGrid w:val="0"/>
        <w:spacing w:line="560" w:lineRule="exact"/>
        <w:ind w:firstLine="640" w:firstLineChars="200"/>
        <w:rPr>
          <w:rFonts w:hint="default" w:ascii="Times New Roman" w:hAnsi="Times New Roman" w:cs="Times New Roman"/>
          <w:bCs/>
          <w:color w:val="auto"/>
        </w:rPr>
      </w:pPr>
      <w:r>
        <w:rPr>
          <w:rFonts w:hint="default" w:ascii="Times New Roman" w:hAnsi="Times New Roman" w:eastAsia="仿宋_GB2312" w:cs="Times New Roman"/>
          <w:bCs/>
          <w:color w:val="auto"/>
          <w:sz w:val="32"/>
          <w:szCs w:val="32"/>
        </w:rPr>
        <w:t>10.负责重要商品总量平衡和宏观调控。研究分析省内外市场和对外贸易运行情况，会同有关部门管理重要物资的省级储备工作。</w:t>
      </w:r>
    </w:p>
    <w:p>
      <w:pPr>
        <w:pageBreakBefore w:val="0"/>
        <w:kinsoku/>
        <w:wordWrap/>
        <w:overflowPunct/>
        <w:topLinePunct w:val="0"/>
        <w:bidi w:val="0"/>
        <w:snapToGrid w:val="0"/>
        <w:spacing w:line="560" w:lineRule="exact"/>
        <w:ind w:firstLine="640" w:firstLineChars="200"/>
        <w:rPr>
          <w:rFonts w:hint="default" w:ascii="Times New Roman" w:hAnsi="Times New Roman" w:cs="Times New Roman"/>
          <w:bCs/>
          <w:color w:val="auto"/>
        </w:rPr>
      </w:pPr>
      <w:r>
        <w:rPr>
          <w:rFonts w:hint="default" w:ascii="Times New Roman" w:hAnsi="Times New Roman" w:eastAsia="仿宋_GB2312" w:cs="Times New Roman"/>
          <w:bCs/>
          <w:color w:val="auto"/>
          <w:sz w:val="32"/>
          <w:szCs w:val="32"/>
        </w:rPr>
        <w:t>11.负责全省社会发展与国民经济发展的政策衔接，组织拟订社会发展战略、总体规划和年度计划，研究提出促进就业、调整收入分配、完善社会保障与经济协调发展的政策建议，协调社会事业发展中的重大问题及政策。</w:t>
      </w:r>
    </w:p>
    <w:p>
      <w:pPr>
        <w:pageBreakBefore w:val="0"/>
        <w:kinsoku/>
        <w:wordWrap/>
        <w:overflowPunct/>
        <w:topLinePunct w:val="0"/>
        <w:bidi w:val="0"/>
        <w:snapToGrid w:val="0"/>
        <w:spacing w:line="560" w:lineRule="exact"/>
        <w:ind w:firstLine="640" w:firstLineChars="200"/>
        <w:rPr>
          <w:rFonts w:hint="default" w:ascii="Times New Roman" w:hAnsi="Times New Roman" w:cs="Times New Roman"/>
          <w:bCs/>
          <w:color w:val="auto"/>
        </w:rPr>
      </w:pPr>
      <w:r>
        <w:rPr>
          <w:rFonts w:hint="default" w:ascii="Times New Roman" w:hAnsi="Times New Roman" w:eastAsia="仿宋_GB2312" w:cs="Times New Roman"/>
          <w:bCs/>
          <w:color w:val="auto"/>
          <w:sz w:val="32"/>
          <w:szCs w:val="32"/>
        </w:rPr>
        <w:t>12.推进可持续发展，负责全省节能的综合协调工作，组织拟订并协调实施全省发展循环经济、能源资源节约和综合利用规划及政策措施，参与编制生态建设规划，协调生态建设、能源资源节约和综合利用的重大问题，综合协调环保产业和清洁生产促进有关工作。</w:t>
      </w:r>
    </w:p>
    <w:p>
      <w:pPr>
        <w:pageBreakBefore w:val="0"/>
        <w:kinsoku/>
        <w:wordWrap/>
        <w:overflowPunct/>
        <w:topLinePunct w:val="0"/>
        <w:bidi w:val="0"/>
        <w:snapToGrid w:val="0"/>
        <w:spacing w:line="560" w:lineRule="exact"/>
        <w:ind w:firstLine="640" w:firstLineChars="200"/>
        <w:rPr>
          <w:rFonts w:hint="default" w:ascii="Times New Roman" w:hAnsi="Times New Roman" w:cs="Times New Roman"/>
          <w:bCs/>
          <w:color w:val="auto"/>
        </w:rPr>
      </w:pPr>
      <w:r>
        <w:rPr>
          <w:rFonts w:hint="default" w:ascii="Times New Roman" w:hAnsi="Times New Roman" w:eastAsia="仿宋_GB2312" w:cs="Times New Roman"/>
          <w:bCs/>
          <w:color w:val="auto"/>
          <w:sz w:val="32"/>
          <w:szCs w:val="32"/>
        </w:rPr>
        <w:t>13.会同有关部门拟订民族地区、革命老区、贫困地区经济发展规划，会同有关部门制定加快民族地区、革命老区、贫困地区经济发展的重大政策，协调推进重大项目建设。</w:t>
      </w:r>
    </w:p>
    <w:p>
      <w:pPr>
        <w:pageBreakBefore w:val="0"/>
        <w:kinsoku/>
        <w:wordWrap/>
        <w:overflowPunct/>
        <w:topLinePunct w:val="0"/>
        <w:bidi w:val="0"/>
        <w:snapToGrid w:val="0"/>
        <w:spacing w:line="560" w:lineRule="exact"/>
        <w:ind w:firstLine="640" w:firstLineChars="200"/>
        <w:rPr>
          <w:rFonts w:hint="default" w:ascii="Times New Roman" w:hAnsi="Times New Roman" w:cs="Times New Roman"/>
          <w:bCs/>
          <w:color w:val="auto"/>
        </w:rPr>
      </w:pPr>
      <w:r>
        <w:rPr>
          <w:rFonts w:hint="default" w:ascii="Times New Roman" w:hAnsi="Times New Roman" w:eastAsia="仿宋_GB2312" w:cs="Times New Roman"/>
          <w:bCs/>
          <w:color w:val="auto"/>
          <w:sz w:val="32"/>
          <w:szCs w:val="32"/>
        </w:rPr>
        <w:t>14.指导、协调并综合管理全省招标投标工作。</w:t>
      </w:r>
    </w:p>
    <w:p>
      <w:pPr>
        <w:pageBreakBefore w:val="0"/>
        <w:kinsoku/>
        <w:wordWrap/>
        <w:overflowPunct/>
        <w:topLinePunct w:val="0"/>
        <w:bidi w:val="0"/>
        <w:snapToGrid w:val="0"/>
        <w:spacing w:line="560" w:lineRule="exact"/>
        <w:ind w:firstLine="640" w:firstLineChars="200"/>
        <w:rPr>
          <w:rFonts w:hint="default" w:ascii="Times New Roman" w:hAnsi="Times New Roman" w:cs="Times New Roman"/>
          <w:bCs/>
          <w:color w:val="auto"/>
        </w:rPr>
      </w:pPr>
      <w:r>
        <w:rPr>
          <w:rFonts w:hint="default" w:ascii="Times New Roman" w:hAnsi="Times New Roman" w:eastAsia="仿宋_GB2312" w:cs="Times New Roman"/>
          <w:bCs/>
          <w:color w:val="auto"/>
          <w:sz w:val="32"/>
          <w:szCs w:val="32"/>
        </w:rPr>
        <w:t>15.负责组织协调和处理全省铁路、机场建设项目前期工作、征地拆迁、建设过程中涉及的重大问题，做好全省铁路、机场建设规划及年度计划编制的相关工作。</w:t>
      </w:r>
    </w:p>
    <w:p>
      <w:pPr>
        <w:pageBreakBefore w:val="0"/>
        <w:kinsoku/>
        <w:wordWrap/>
        <w:overflowPunct/>
        <w:topLinePunct w:val="0"/>
        <w:bidi w:val="0"/>
        <w:snapToGrid w:val="0"/>
        <w:spacing w:line="560" w:lineRule="exact"/>
        <w:ind w:firstLine="640" w:firstLineChars="200"/>
        <w:rPr>
          <w:rFonts w:hint="default" w:ascii="Times New Roman" w:hAnsi="Times New Roman" w:cs="Times New Roman"/>
          <w:bCs/>
          <w:color w:val="auto"/>
        </w:rPr>
      </w:pPr>
      <w:r>
        <w:rPr>
          <w:rFonts w:hint="default" w:ascii="Times New Roman" w:hAnsi="Times New Roman" w:eastAsia="仿宋_GB2312" w:cs="Times New Roman"/>
          <w:bCs/>
          <w:color w:val="auto"/>
          <w:sz w:val="32"/>
          <w:szCs w:val="32"/>
        </w:rPr>
        <w:t>16.承担省实施西部大开发领导小组（省攀西地区资源开发领导小组）、省重点项目领导小组等具体工作。</w:t>
      </w:r>
    </w:p>
    <w:p>
      <w:pPr>
        <w:pageBreakBefore w:val="0"/>
        <w:kinsoku/>
        <w:wordWrap/>
        <w:overflowPunct/>
        <w:topLinePunct w:val="0"/>
        <w:bidi w:val="0"/>
        <w:snapToGrid w:val="0"/>
        <w:spacing w:line="560" w:lineRule="exact"/>
        <w:ind w:firstLine="640" w:firstLineChars="200"/>
        <w:rPr>
          <w:rFonts w:hint="default" w:ascii="Times New Roman" w:hAnsi="Times New Roman" w:cs="Times New Roman"/>
          <w:bCs/>
          <w:color w:val="auto"/>
        </w:rPr>
      </w:pPr>
      <w:r>
        <w:rPr>
          <w:rFonts w:hint="default" w:ascii="Times New Roman" w:hAnsi="Times New Roman" w:eastAsia="仿宋_GB2312" w:cs="Times New Roman"/>
          <w:bCs/>
          <w:color w:val="auto"/>
          <w:sz w:val="32"/>
          <w:szCs w:val="32"/>
        </w:rPr>
        <w:t>17.承担省政府公布的有关行政审批事项。</w:t>
      </w:r>
    </w:p>
    <w:p>
      <w:pPr>
        <w:pageBreakBefore w:val="0"/>
        <w:kinsoku/>
        <w:wordWrap/>
        <w:overflowPunct/>
        <w:topLinePunct w:val="0"/>
        <w:bidi w:val="0"/>
        <w:snapToGrid w:val="0"/>
        <w:spacing w:line="560" w:lineRule="exact"/>
        <w:ind w:firstLine="640" w:firstLineChars="200"/>
        <w:rPr>
          <w:rFonts w:hint="default" w:ascii="Times New Roman" w:hAnsi="Times New Roman" w:cs="Times New Roman"/>
          <w:bCs/>
          <w:color w:val="auto"/>
        </w:rPr>
      </w:pPr>
      <w:r>
        <w:rPr>
          <w:rFonts w:hint="default" w:ascii="Times New Roman" w:hAnsi="Times New Roman" w:eastAsia="仿宋_GB2312" w:cs="Times New Roman"/>
          <w:bCs/>
          <w:color w:val="auto"/>
          <w:sz w:val="32"/>
          <w:szCs w:val="32"/>
        </w:rPr>
        <w:t>18.承办省政府交办的其他事项。</w:t>
      </w:r>
    </w:p>
    <w:p>
      <w:pPr>
        <w:pageBreakBefore w:val="0"/>
        <w:widowControl/>
        <w:kinsoku/>
        <w:wordWrap/>
        <w:overflowPunct/>
        <w:topLinePunct w:val="0"/>
        <w:bidi w:val="0"/>
        <w:adjustRightInd w:val="0"/>
        <w:snapToGrid w:val="0"/>
        <w:spacing w:line="560" w:lineRule="exact"/>
        <w:ind w:firstLine="642" w:firstLineChars="200"/>
        <w:contextualSpacing/>
        <w:jc w:val="left"/>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bCs/>
          <w:color w:val="auto"/>
          <w:kern w:val="0"/>
          <w:sz w:val="32"/>
          <w:szCs w:val="32"/>
          <w:shd w:val="clear" w:color="auto" w:fill="FFFFFF"/>
          <w:lang w:val="zh-CN"/>
        </w:rPr>
        <w:t>（三）人员概况。</w:t>
      </w:r>
    </w:p>
    <w:p>
      <w:pPr>
        <w:pageBreakBefore w:val="0"/>
        <w:kinsoku/>
        <w:wordWrap/>
        <w:overflowPunct/>
        <w:topLinePunct w:val="0"/>
        <w:bidi w:val="0"/>
        <w:snapToGrid w:val="0"/>
        <w:spacing w:line="560" w:lineRule="exact"/>
        <w:ind w:firstLine="640" w:firstLineChars="200"/>
        <w:rPr>
          <w:rFonts w:hint="default" w:ascii="Times New Roman" w:hAnsi="Times New Roman" w:cs="Times New Roman"/>
          <w:bCs/>
          <w:color w:val="auto"/>
          <w:kern w:val="0"/>
          <w:shd w:val="clear" w:color="auto" w:fill="FFFFFF"/>
          <w:lang w:val="zh-CN"/>
        </w:rPr>
      </w:pPr>
      <w:r>
        <w:rPr>
          <w:rFonts w:hint="default" w:ascii="Times New Roman" w:hAnsi="Times New Roman" w:eastAsia="仿宋_GB2312" w:cs="Times New Roman"/>
          <w:bCs/>
          <w:color w:val="auto"/>
          <w:sz w:val="32"/>
          <w:szCs w:val="32"/>
        </w:rPr>
        <w:t>2021年末，省发展改革委实有财政供养人数4</w:t>
      </w:r>
      <w:r>
        <w:rPr>
          <w:rFonts w:hint="default" w:ascii="Times New Roman" w:hAnsi="Times New Roman" w:cs="Times New Roman"/>
          <w:bCs/>
          <w:color w:val="auto"/>
          <w:sz w:val="32"/>
          <w:szCs w:val="32"/>
        </w:rPr>
        <w:t>88</w:t>
      </w:r>
      <w:r>
        <w:rPr>
          <w:rFonts w:hint="default" w:ascii="Times New Roman" w:hAnsi="Times New Roman" w:eastAsia="仿宋_GB2312" w:cs="Times New Roman"/>
          <w:bCs/>
          <w:color w:val="auto"/>
          <w:sz w:val="32"/>
          <w:szCs w:val="32"/>
        </w:rPr>
        <w:t>人，其中：在职人员4</w:t>
      </w:r>
      <w:r>
        <w:rPr>
          <w:rFonts w:hint="default" w:ascii="Times New Roman" w:hAnsi="Times New Roman" w:cs="Times New Roman"/>
          <w:bCs/>
          <w:color w:val="auto"/>
          <w:sz w:val="32"/>
          <w:szCs w:val="32"/>
        </w:rPr>
        <w:t>73</w:t>
      </w:r>
      <w:r>
        <w:rPr>
          <w:rFonts w:hint="default" w:ascii="Times New Roman" w:hAnsi="Times New Roman" w:eastAsia="仿宋_GB2312" w:cs="Times New Roman"/>
          <w:bCs/>
          <w:color w:val="auto"/>
          <w:sz w:val="32"/>
          <w:szCs w:val="32"/>
        </w:rPr>
        <w:t>人（行政人员3</w:t>
      </w:r>
      <w:r>
        <w:rPr>
          <w:rFonts w:hint="default" w:ascii="Times New Roman" w:hAnsi="Times New Roman" w:cs="Times New Roman"/>
          <w:bCs/>
          <w:color w:val="auto"/>
          <w:sz w:val="32"/>
          <w:szCs w:val="32"/>
        </w:rPr>
        <w:t>53</w:t>
      </w:r>
      <w:r>
        <w:rPr>
          <w:rFonts w:hint="default" w:ascii="Times New Roman" w:hAnsi="Times New Roman" w:eastAsia="仿宋_GB2312" w:cs="Times New Roman"/>
          <w:bCs/>
          <w:color w:val="auto"/>
          <w:sz w:val="32"/>
          <w:szCs w:val="32"/>
        </w:rPr>
        <w:t>人，参公及事业人员1</w:t>
      </w:r>
      <w:r>
        <w:rPr>
          <w:rFonts w:hint="default" w:ascii="Times New Roman" w:hAnsi="Times New Roman" w:cs="Times New Roman"/>
          <w:bCs/>
          <w:color w:val="auto"/>
          <w:sz w:val="32"/>
          <w:szCs w:val="32"/>
        </w:rPr>
        <w:t>20</w:t>
      </w:r>
      <w:r>
        <w:rPr>
          <w:rFonts w:hint="default" w:ascii="Times New Roman" w:hAnsi="Times New Roman" w:eastAsia="仿宋_GB2312" w:cs="Times New Roman"/>
          <w:bCs/>
          <w:color w:val="auto"/>
          <w:sz w:val="32"/>
          <w:szCs w:val="32"/>
        </w:rPr>
        <w:t>人），离休人员1</w:t>
      </w:r>
      <w:r>
        <w:rPr>
          <w:rFonts w:hint="default" w:ascii="Times New Roman" w:hAnsi="Times New Roman" w:cs="Times New Roman"/>
          <w:bCs/>
          <w:color w:val="auto"/>
          <w:sz w:val="32"/>
          <w:szCs w:val="32"/>
        </w:rPr>
        <w:t>5</w:t>
      </w:r>
      <w:r>
        <w:rPr>
          <w:rFonts w:hint="default" w:ascii="Times New Roman" w:hAnsi="Times New Roman" w:eastAsia="仿宋_GB2312" w:cs="Times New Roman"/>
          <w:bCs/>
          <w:color w:val="auto"/>
          <w:sz w:val="32"/>
          <w:szCs w:val="32"/>
        </w:rPr>
        <w:t>人。</w:t>
      </w:r>
    </w:p>
    <w:p>
      <w:pPr>
        <w:pageBreakBefore w:val="0"/>
        <w:widowControl/>
        <w:kinsoku/>
        <w:wordWrap/>
        <w:overflowPunct/>
        <w:topLinePunct w:val="0"/>
        <w:bidi w:val="0"/>
        <w:adjustRightInd w:val="0"/>
        <w:snapToGrid w:val="0"/>
        <w:spacing w:line="560" w:lineRule="exact"/>
        <w:ind w:firstLine="640" w:firstLineChars="200"/>
        <w:contextualSpacing/>
        <w:jc w:val="left"/>
        <w:rPr>
          <w:rFonts w:hint="default" w:ascii="Times New Roman" w:hAnsi="Times New Roman" w:eastAsia="黑体" w:cs="Times New Roman"/>
          <w:color w:val="auto"/>
          <w:kern w:val="0"/>
          <w:sz w:val="32"/>
          <w:szCs w:val="32"/>
          <w:shd w:val="clear" w:color="auto" w:fill="FFFFFF"/>
        </w:rPr>
      </w:pPr>
      <w:r>
        <w:rPr>
          <w:rFonts w:hint="default" w:ascii="Times New Roman" w:hAnsi="Times New Roman" w:eastAsia="黑体" w:cs="Times New Roman"/>
          <w:color w:val="auto"/>
          <w:kern w:val="0"/>
          <w:sz w:val="32"/>
          <w:szCs w:val="32"/>
          <w:shd w:val="clear" w:color="auto" w:fill="FFFFFF"/>
        </w:rPr>
        <w:t>二、部门财政资金收支情况</w:t>
      </w:r>
    </w:p>
    <w:p>
      <w:pPr>
        <w:pageBreakBefore w:val="0"/>
        <w:widowControl/>
        <w:kinsoku/>
        <w:wordWrap/>
        <w:overflowPunct/>
        <w:topLinePunct w:val="0"/>
        <w:bidi w:val="0"/>
        <w:adjustRightInd w:val="0"/>
        <w:snapToGrid w:val="0"/>
        <w:spacing w:line="560" w:lineRule="exact"/>
        <w:ind w:firstLine="642" w:firstLineChars="200"/>
        <w:contextualSpacing/>
        <w:jc w:val="left"/>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bCs/>
          <w:color w:val="auto"/>
          <w:kern w:val="0"/>
          <w:sz w:val="32"/>
          <w:szCs w:val="32"/>
          <w:shd w:val="clear" w:color="auto" w:fill="FFFFFF"/>
          <w:lang w:val="zh-CN"/>
        </w:rPr>
        <w:t>（一）部门财政资金收入情况。</w:t>
      </w:r>
    </w:p>
    <w:p>
      <w:pPr>
        <w:pageBreakBefore w:val="0"/>
        <w:kinsoku/>
        <w:wordWrap/>
        <w:overflowPunct/>
        <w:topLinePunct w:val="0"/>
        <w:bidi w:val="0"/>
        <w:snapToGrid w:val="0"/>
        <w:spacing w:line="560" w:lineRule="exact"/>
        <w:ind w:firstLine="640" w:firstLineChars="200"/>
        <w:rPr>
          <w:rFonts w:hint="default" w:ascii="Times New Roman" w:hAnsi="Times New Roman" w:cs="Times New Roman"/>
          <w:bCs/>
          <w:color w:val="auto"/>
        </w:rPr>
      </w:pPr>
      <w:r>
        <w:rPr>
          <w:rFonts w:hint="default" w:ascii="Times New Roman" w:hAnsi="Times New Roman" w:eastAsia="仿宋_GB2312" w:cs="Times New Roman"/>
          <w:bCs/>
          <w:color w:val="auto"/>
          <w:sz w:val="32"/>
          <w:szCs w:val="32"/>
        </w:rPr>
        <w:t>20</w:t>
      </w:r>
      <w:r>
        <w:rPr>
          <w:rFonts w:hint="default" w:ascii="Times New Roman" w:hAnsi="Times New Roman" w:cs="Times New Roman"/>
          <w:bCs/>
          <w:color w:val="auto"/>
          <w:sz w:val="32"/>
          <w:szCs w:val="32"/>
        </w:rPr>
        <w:t>21</w:t>
      </w:r>
      <w:r>
        <w:rPr>
          <w:rFonts w:hint="default" w:ascii="Times New Roman" w:hAnsi="Times New Roman" w:eastAsia="仿宋_GB2312" w:cs="Times New Roman"/>
          <w:bCs/>
          <w:color w:val="auto"/>
          <w:sz w:val="32"/>
          <w:szCs w:val="32"/>
        </w:rPr>
        <w:t>年，省发展改革委机关及直属单位财政拨款收入</w:t>
      </w:r>
      <w:r>
        <w:rPr>
          <w:rFonts w:hint="default" w:ascii="Times New Roman" w:hAnsi="Times New Roman" w:cs="Times New Roman"/>
          <w:bCs/>
          <w:color w:val="auto"/>
          <w:sz w:val="32"/>
          <w:szCs w:val="32"/>
        </w:rPr>
        <w:t>23766.68</w:t>
      </w:r>
      <w:r>
        <w:rPr>
          <w:rFonts w:hint="default" w:ascii="Times New Roman" w:hAnsi="Times New Roman" w:eastAsia="仿宋_GB2312" w:cs="Times New Roman"/>
          <w:bCs/>
          <w:color w:val="auto"/>
          <w:sz w:val="32"/>
          <w:szCs w:val="32"/>
        </w:rPr>
        <w:t>万元，全部为一般公共预算收入。</w:t>
      </w:r>
    </w:p>
    <w:p>
      <w:pPr>
        <w:pageBreakBefore w:val="0"/>
        <w:widowControl/>
        <w:kinsoku/>
        <w:wordWrap/>
        <w:overflowPunct/>
        <w:topLinePunct w:val="0"/>
        <w:bidi w:val="0"/>
        <w:adjustRightInd w:val="0"/>
        <w:snapToGrid w:val="0"/>
        <w:spacing w:line="560" w:lineRule="exact"/>
        <w:ind w:firstLine="642" w:firstLineChars="200"/>
        <w:contextualSpacing/>
        <w:jc w:val="left"/>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bCs/>
          <w:color w:val="auto"/>
          <w:kern w:val="0"/>
          <w:sz w:val="32"/>
          <w:szCs w:val="32"/>
          <w:shd w:val="clear" w:color="auto" w:fill="FFFFFF"/>
          <w:lang w:val="zh-CN"/>
        </w:rPr>
        <w:t>（二）部门财政资金支出情况。</w:t>
      </w:r>
    </w:p>
    <w:p>
      <w:pPr>
        <w:pageBreakBefore w:val="0"/>
        <w:kinsoku/>
        <w:wordWrap/>
        <w:overflowPunct/>
        <w:topLinePunct w:val="0"/>
        <w:bidi w:val="0"/>
        <w:adjustRightInd w:val="0"/>
        <w:snapToGrid w:val="0"/>
        <w:spacing w:line="560" w:lineRule="exact"/>
        <w:ind w:firstLine="640"/>
        <w:contextualSpacing/>
        <w:rPr>
          <w:rFonts w:hint="default" w:ascii="Times New Roman" w:hAnsi="Times New Roman" w:cs="Times New Roman"/>
          <w:bCs/>
          <w:color w:val="auto"/>
        </w:rPr>
      </w:pPr>
      <w:r>
        <w:rPr>
          <w:rFonts w:hint="default" w:ascii="Times New Roman" w:hAnsi="Times New Roman" w:eastAsia="仿宋_GB2312" w:cs="Times New Roman"/>
          <w:bCs/>
          <w:color w:val="auto"/>
          <w:sz w:val="32"/>
          <w:szCs w:val="32"/>
        </w:rPr>
        <w:t>20</w:t>
      </w:r>
      <w:r>
        <w:rPr>
          <w:rFonts w:hint="default" w:ascii="Times New Roman" w:hAnsi="Times New Roman" w:cs="Times New Roman"/>
          <w:bCs/>
          <w:color w:val="auto"/>
          <w:sz w:val="32"/>
          <w:szCs w:val="32"/>
        </w:rPr>
        <w:t>21</w:t>
      </w:r>
      <w:r>
        <w:rPr>
          <w:rFonts w:hint="default" w:ascii="Times New Roman" w:hAnsi="Times New Roman" w:eastAsia="仿宋_GB2312" w:cs="Times New Roman"/>
          <w:bCs/>
          <w:color w:val="auto"/>
          <w:sz w:val="32"/>
          <w:szCs w:val="32"/>
        </w:rPr>
        <w:t>年，省发展改革委机关及直属单位财政拨款支出</w:t>
      </w:r>
      <w:r>
        <w:rPr>
          <w:rFonts w:hint="default" w:ascii="Times New Roman" w:hAnsi="Times New Roman" w:cs="Times New Roman"/>
          <w:bCs/>
          <w:color w:val="auto"/>
          <w:sz w:val="32"/>
          <w:szCs w:val="32"/>
        </w:rPr>
        <w:t>23766.68</w:t>
      </w:r>
      <w:r>
        <w:rPr>
          <w:rFonts w:hint="default" w:ascii="Times New Roman" w:hAnsi="Times New Roman" w:eastAsia="仿宋_GB2312" w:cs="Times New Roman"/>
          <w:bCs/>
          <w:color w:val="auto"/>
          <w:sz w:val="32"/>
          <w:szCs w:val="32"/>
        </w:rPr>
        <w:t>万元。其中，基本支出</w:t>
      </w:r>
      <w:r>
        <w:rPr>
          <w:rFonts w:hint="default" w:ascii="Times New Roman" w:hAnsi="Times New Roman" w:cs="Times New Roman"/>
          <w:bCs/>
          <w:color w:val="auto"/>
          <w:sz w:val="32"/>
          <w:szCs w:val="32"/>
        </w:rPr>
        <w:t>15055.79</w:t>
      </w:r>
      <w:r>
        <w:rPr>
          <w:rFonts w:hint="default" w:ascii="Times New Roman" w:hAnsi="Times New Roman" w:eastAsia="仿宋_GB2312" w:cs="Times New Roman"/>
          <w:bCs/>
          <w:color w:val="auto"/>
          <w:sz w:val="32"/>
          <w:szCs w:val="32"/>
        </w:rPr>
        <w:t>万元</w:t>
      </w:r>
      <w:r>
        <w:rPr>
          <w:rFonts w:hint="default" w:ascii="Times New Roman" w:hAnsi="Times New Roman" w:cs="Times New Roman"/>
          <w:bCs/>
          <w:color w:val="auto"/>
          <w:sz w:val="32"/>
          <w:szCs w:val="32"/>
        </w:rPr>
        <w:t>，</w:t>
      </w:r>
      <w:r>
        <w:rPr>
          <w:rFonts w:hint="default" w:ascii="Times New Roman" w:hAnsi="Times New Roman" w:eastAsia="仿宋_GB2312" w:cs="Times New Roman"/>
          <w:bCs/>
          <w:color w:val="auto"/>
          <w:sz w:val="32"/>
          <w:szCs w:val="32"/>
        </w:rPr>
        <w:t>项目支出</w:t>
      </w:r>
      <w:r>
        <w:rPr>
          <w:rFonts w:hint="default" w:ascii="Times New Roman" w:hAnsi="Times New Roman" w:cs="Times New Roman"/>
          <w:bCs/>
          <w:color w:val="auto"/>
          <w:sz w:val="32"/>
          <w:szCs w:val="32"/>
        </w:rPr>
        <w:t>8710.89</w:t>
      </w:r>
      <w:r>
        <w:rPr>
          <w:rFonts w:hint="default" w:ascii="Times New Roman" w:hAnsi="Times New Roman" w:eastAsia="仿宋_GB2312" w:cs="Times New Roman"/>
          <w:bCs/>
          <w:color w:val="auto"/>
          <w:sz w:val="32"/>
          <w:szCs w:val="32"/>
        </w:rPr>
        <w:t>万元</w:t>
      </w:r>
      <w:r>
        <w:rPr>
          <w:rFonts w:hint="default" w:ascii="Times New Roman" w:hAnsi="Times New Roman" w:cs="Times New Roman"/>
          <w:bCs/>
          <w:color w:val="auto"/>
          <w:sz w:val="32"/>
          <w:szCs w:val="32"/>
        </w:rPr>
        <w:t>。</w:t>
      </w:r>
      <w:r>
        <w:rPr>
          <w:rFonts w:hint="default" w:ascii="Times New Roman" w:hAnsi="Times New Roman" w:eastAsia="仿宋_GB2312" w:cs="Times New Roman"/>
          <w:bCs/>
          <w:color w:val="auto"/>
          <w:sz w:val="32"/>
          <w:szCs w:val="32"/>
        </w:rPr>
        <w:t>按经济支出分类</w:t>
      </w:r>
      <w:r>
        <w:rPr>
          <w:rFonts w:hint="default" w:ascii="Times New Roman" w:hAnsi="Times New Roman" w:cs="Times New Roman"/>
          <w:bCs/>
          <w:color w:val="auto"/>
          <w:sz w:val="32"/>
          <w:szCs w:val="32"/>
        </w:rPr>
        <w:t>：</w:t>
      </w:r>
      <w:r>
        <w:rPr>
          <w:rFonts w:hint="default" w:ascii="Times New Roman" w:hAnsi="Times New Roman" w:eastAsia="仿宋_GB2312" w:cs="Times New Roman"/>
          <w:bCs/>
          <w:color w:val="auto"/>
          <w:sz w:val="32"/>
          <w:szCs w:val="32"/>
        </w:rPr>
        <w:t>工资福利支出</w:t>
      </w:r>
      <w:r>
        <w:rPr>
          <w:rFonts w:hint="default" w:ascii="Times New Roman" w:hAnsi="Times New Roman" w:cs="Times New Roman"/>
          <w:bCs/>
          <w:color w:val="auto"/>
          <w:sz w:val="32"/>
          <w:szCs w:val="32"/>
        </w:rPr>
        <w:t>9535.67</w:t>
      </w:r>
      <w:r>
        <w:rPr>
          <w:rFonts w:hint="default" w:ascii="Times New Roman" w:hAnsi="Times New Roman" w:eastAsia="仿宋_GB2312" w:cs="Times New Roman"/>
          <w:bCs/>
          <w:color w:val="auto"/>
          <w:sz w:val="32"/>
          <w:szCs w:val="32"/>
        </w:rPr>
        <w:t>万元</w:t>
      </w:r>
      <w:r>
        <w:rPr>
          <w:rFonts w:hint="default" w:ascii="Times New Roman" w:hAnsi="Times New Roman" w:cs="Times New Roman"/>
          <w:bCs/>
          <w:color w:val="auto"/>
          <w:sz w:val="32"/>
          <w:szCs w:val="32"/>
        </w:rPr>
        <w:t>，</w:t>
      </w:r>
      <w:r>
        <w:rPr>
          <w:rFonts w:hint="default" w:ascii="Times New Roman" w:hAnsi="Times New Roman" w:eastAsia="仿宋_GB2312" w:cs="Times New Roman"/>
          <w:bCs/>
          <w:color w:val="auto"/>
          <w:sz w:val="32"/>
          <w:szCs w:val="32"/>
        </w:rPr>
        <w:t>商品和服务支出</w:t>
      </w:r>
      <w:r>
        <w:rPr>
          <w:rFonts w:hint="default" w:ascii="Times New Roman" w:hAnsi="Times New Roman" w:cs="Times New Roman"/>
          <w:bCs/>
          <w:color w:val="auto"/>
          <w:sz w:val="32"/>
          <w:szCs w:val="32"/>
        </w:rPr>
        <w:t>6005.85</w:t>
      </w:r>
      <w:r>
        <w:rPr>
          <w:rFonts w:hint="default" w:ascii="Times New Roman" w:hAnsi="Times New Roman" w:eastAsia="仿宋_GB2312" w:cs="Times New Roman"/>
          <w:bCs/>
          <w:color w:val="auto"/>
          <w:sz w:val="32"/>
          <w:szCs w:val="32"/>
        </w:rPr>
        <w:t>万元</w:t>
      </w:r>
      <w:r>
        <w:rPr>
          <w:rFonts w:hint="default" w:ascii="Times New Roman" w:hAnsi="Times New Roman" w:cs="Times New Roman"/>
          <w:bCs/>
          <w:color w:val="auto"/>
          <w:sz w:val="32"/>
          <w:szCs w:val="32"/>
        </w:rPr>
        <w:t>，</w:t>
      </w:r>
      <w:r>
        <w:rPr>
          <w:rFonts w:hint="default" w:ascii="Times New Roman" w:hAnsi="Times New Roman" w:eastAsia="仿宋_GB2312" w:cs="Times New Roman"/>
          <w:bCs/>
          <w:color w:val="auto"/>
          <w:sz w:val="32"/>
          <w:szCs w:val="32"/>
        </w:rPr>
        <w:t>对个人和家庭的补助支出</w:t>
      </w:r>
      <w:r>
        <w:rPr>
          <w:rFonts w:hint="default" w:ascii="Times New Roman" w:hAnsi="Times New Roman" w:cs="Times New Roman"/>
          <w:bCs/>
          <w:color w:val="auto"/>
          <w:sz w:val="32"/>
          <w:szCs w:val="32"/>
        </w:rPr>
        <w:t>2180.25</w:t>
      </w:r>
      <w:r>
        <w:rPr>
          <w:rFonts w:hint="default" w:ascii="Times New Roman" w:hAnsi="Times New Roman" w:eastAsia="仿宋_GB2312" w:cs="Times New Roman"/>
          <w:bCs/>
          <w:color w:val="auto"/>
          <w:sz w:val="32"/>
          <w:szCs w:val="32"/>
        </w:rPr>
        <w:t>万元</w:t>
      </w:r>
      <w:r>
        <w:rPr>
          <w:rFonts w:hint="default" w:ascii="Times New Roman" w:hAnsi="Times New Roman" w:cs="Times New Roman"/>
          <w:bCs/>
          <w:color w:val="auto"/>
          <w:sz w:val="32"/>
          <w:szCs w:val="32"/>
        </w:rPr>
        <w:t>，</w:t>
      </w:r>
      <w:r>
        <w:rPr>
          <w:rFonts w:hint="default" w:ascii="Times New Roman" w:hAnsi="Times New Roman" w:eastAsia="仿宋_GB2312" w:cs="Times New Roman"/>
          <w:bCs/>
          <w:color w:val="auto"/>
          <w:sz w:val="32"/>
          <w:szCs w:val="32"/>
        </w:rPr>
        <w:t>资本性支出</w:t>
      </w:r>
      <w:r>
        <w:rPr>
          <w:rFonts w:hint="default" w:ascii="Times New Roman" w:hAnsi="Times New Roman" w:cs="Times New Roman"/>
          <w:bCs/>
          <w:color w:val="auto"/>
          <w:sz w:val="32"/>
          <w:szCs w:val="32"/>
        </w:rPr>
        <w:t>6044.91</w:t>
      </w:r>
      <w:r>
        <w:rPr>
          <w:rFonts w:hint="default" w:ascii="Times New Roman" w:hAnsi="Times New Roman" w:eastAsia="仿宋_GB2312" w:cs="Times New Roman"/>
          <w:bCs/>
          <w:color w:val="auto"/>
          <w:sz w:val="32"/>
          <w:szCs w:val="32"/>
        </w:rPr>
        <w:t>万元</w:t>
      </w:r>
      <w:r>
        <w:rPr>
          <w:rFonts w:hint="default" w:ascii="Times New Roman" w:hAnsi="Times New Roman" w:cs="Times New Roman"/>
          <w:bCs/>
          <w:color w:val="auto"/>
          <w:sz w:val="32"/>
          <w:szCs w:val="32"/>
        </w:rPr>
        <w:t>。</w:t>
      </w:r>
    </w:p>
    <w:p>
      <w:pPr>
        <w:pageBreakBefore w:val="0"/>
        <w:widowControl/>
        <w:kinsoku/>
        <w:wordWrap/>
        <w:overflowPunct/>
        <w:topLinePunct w:val="0"/>
        <w:bidi w:val="0"/>
        <w:adjustRightInd w:val="0"/>
        <w:snapToGrid w:val="0"/>
        <w:spacing w:line="560" w:lineRule="exact"/>
        <w:ind w:firstLine="640" w:firstLineChars="200"/>
        <w:contextualSpacing/>
        <w:jc w:val="left"/>
        <w:rPr>
          <w:rFonts w:hint="default" w:ascii="Times New Roman" w:hAnsi="Times New Roman" w:eastAsia="黑体" w:cs="Times New Roman"/>
          <w:color w:val="auto"/>
          <w:kern w:val="0"/>
          <w:sz w:val="32"/>
          <w:szCs w:val="32"/>
          <w:shd w:val="clear" w:color="auto" w:fill="FFFFFF"/>
        </w:rPr>
      </w:pPr>
      <w:r>
        <w:rPr>
          <w:rFonts w:hint="default" w:ascii="Times New Roman" w:hAnsi="Times New Roman" w:eastAsia="黑体" w:cs="Times New Roman"/>
          <w:color w:val="auto"/>
          <w:kern w:val="0"/>
          <w:sz w:val="32"/>
          <w:szCs w:val="32"/>
          <w:shd w:val="clear" w:color="auto" w:fill="FFFFFF"/>
        </w:rPr>
        <w:t>三、部门整体预算绩效管理情况</w:t>
      </w:r>
    </w:p>
    <w:p>
      <w:pPr>
        <w:pageBreakBefore w:val="0"/>
        <w:widowControl/>
        <w:kinsoku/>
        <w:wordWrap/>
        <w:overflowPunct/>
        <w:topLinePunct w:val="0"/>
        <w:bidi w:val="0"/>
        <w:adjustRightInd w:val="0"/>
        <w:snapToGrid w:val="0"/>
        <w:spacing w:line="560" w:lineRule="exact"/>
        <w:ind w:firstLine="642" w:firstLineChars="200"/>
        <w:contextualSpacing/>
        <w:jc w:val="left"/>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bCs/>
          <w:color w:val="auto"/>
          <w:kern w:val="0"/>
          <w:sz w:val="32"/>
          <w:szCs w:val="32"/>
          <w:shd w:val="clear" w:color="auto" w:fill="FFFFFF"/>
          <w:lang w:val="zh-CN"/>
        </w:rPr>
        <w:t>（一）部门预算项目绩效管理。</w:t>
      </w:r>
    </w:p>
    <w:p>
      <w:pPr>
        <w:pageBreakBefore w:val="0"/>
        <w:kinsoku/>
        <w:wordWrap/>
        <w:overflowPunct/>
        <w:topLinePunct w:val="0"/>
        <w:bidi w:val="0"/>
        <w:adjustRightInd w:val="0"/>
        <w:snapToGrid w:val="0"/>
        <w:spacing w:line="560" w:lineRule="exact"/>
        <w:ind w:firstLine="642"/>
        <w:contextualSpacing/>
        <w:jc w:val="left"/>
        <w:rPr>
          <w:rFonts w:hint="default" w:ascii="Times New Roman" w:hAnsi="Times New Roman" w:eastAsia="仿宋_GB2312" w:cs="Times New Roman"/>
          <w:bCs/>
          <w:color w:val="auto"/>
          <w:kern w:val="0"/>
          <w:sz w:val="32"/>
          <w:szCs w:val="32"/>
          <w:shd w:val="clear" w:color="auto" w:fill="FFFFFF"/>
        </w:rPr>
      </w:pPr>
      <w:r>
        <w:rPr>
          <w:rFonts w:hint="default" w:ascii="Times New Roman" w:hAnsi="Times New Roman" w:eastAsia="仿宋_GB2312" w:cs="Times New Roman"/>
          <w:bCs/>
          <w:color w:val="auto"/>
          <w:kern w:val="0"/>
          <w:sz w:val="32"/>
          <w:szCs w:val="32"/>
          <w:shd w:val="clear" w:color="auto" w:fill="FFFFFF"/>
        </w:rPr>
        <w:t>1.目标管理</w:t>
      </w:r>
    </w:p>
    <w:p>
      <w:pPr>
        <w:pageBreakBefore w:val="0"/>
        <w:kinsoku/>
        <w:wordWrap/>
        <w:overflowPunct/>
        <w:topLinePunct w:val="0"/>
        <w:bidi w:val="0"/>
        <w:adjustRightInd w:val="0"/>
        <w:snapToGrid w:val="0"/>
        <w:spacing w:line="560" w:lineRule="exact"/>
        <w:ind w:firstLine="642"/>
        <w:contextualSpacing/>
        <w:jc w:val="left"/>
        <w:rPr>
          <w:rFonts w:hint="default" w:ascii="Times New Roman" w:hAnsi="Times New Roman" w:eastAsia="仿宋_GB2312" w:cs="Times New Roman"/>
          <w:bCs/>
          <w:color w:val="auto"/>
          <w:kern w:val="0"/>
          <w:sz w:val="32"/>
          <w:szCs w:val="32"/>
          <w:shd w:val="clear" w:color="auto" w:fill="FFFFFF"/>
        </w:rPr>
      </w:pPr>
      <w:r>
        <w:rPr>
          <w:rFonts w:hint="default" w:ascii="Times New Roman" w:hAnsi="Times New Roman" w:eastAsia="仿宋_GB2312" w:cs="Times New Roman"/>
          <w:bCs/>
          <w:color w:val="auto"/>
          <w:kern w:val="0"/>
          <w:sz w:val="32"/>
          <w:szCs w:val="32"/>
          <w:shd w:val="clear" w:color="auto" w:fill="FFFFFF"/>
        </w:rPr>
        <w:t>（1）目标制定。我委严格落实省委、省政府各项决策部署，结合2021年度计划任务，科学制定部门整体预算绩效目标。整体绩效目标符合中长期规划，切合当前实际，在全面反映年度主要目标任务基础上，细化、量化了成果和效益指标，绩效目标监控和考核具有科学性、合理性和可操作性。按部门预算编制要求，100万元以上的项目均编制了项目绩效目标，纳入绩效管理体系。同时，绩效目标与预算草案一同经委党组审议。该项分值5分，按照评分标准，自评得分5分。</w:t>
      </w:r>
    </w:p>
    <w:p>
      <w:pPr>
        <w:pageBreakBefore w:val="0"/>
        <w:kinsoku/>
        <w:wordWrap/>
        <w:overflowPunct/>
        <w:topLinePunct w:val="0"/>
        <w:bidi w:val="0"/>
        <w:adjustRightInd w:val="0"/>
        <w:snapToGrid w:val="0"/>
        <w:spacing w:line="560" w:lineRule="exact"/>
        <w:ind w:firstLine="640" w:firstLineChars="200"/>
        <w:contextualSpacing/>
        <w:jc w:val="left"/>
        <w:rPr>
          <w:rFonts w:hint="default" w:ascii="Times New Roman" w:hAnsi="Times New Roman" w:eastAsia="仿宋_GB2312" w:cs="Times New Roman"/>
          <w:bCs/>
          <w:color w:val="auto"/>
          <w:kern w:val="0"/>
          <w:sz w:val="32"/>
          <w:szCs w:val="32"/>
          <w:shd w:val="clear" w:color="auto" w:fill="FFFFFF"/>
        </w:rPr>
      </w:pPr>
      <w:r>
        <w:rPr>
          <w:rFonts w:hint="default" w:ascii="Times New Roman" w:hAnsi="Times New Roman" w:eastAsia="仿宋_GB2312" w:cs="Times New Roman"/>
          <w:bCs/>
          <w:color w:val="auto"/>
          <w:kern w:val="0"/>
          <w:sz w:val="32"/>
          <w:szCs w:val="32"/>
          <w:shd w:val="clear" w:color="auto" w:fill="FFFFFF"/>
        </w:rPr>
        <w:t>（2）目标实现。2021年纳入绩效管理项目14个，数量指标21个。无未达到预期指标值或超过预期指标值30%数量指标。该项分值10分，按照计算公式，自评得分10分。</w:t>
      </w:r>
    </w:p>
    <w:p>
      <w:pPr>
        <w:pageBreakBefore w:val="0"/>
        <w:kinsoku/>
        <w:wordWrap/>
        <w:overflowPunct/>
        <w:topLinePunct w:val="0"/>
        <w:bidi w:val="0"/>
        <w:adjustRightInd w:val="0"/>
        <w:snapToGrid w:val="0"/>
        <w:spacing w:line="560" w:lineRule="exact"/>
        <w:ind w:firstLine="640"/>
        <w:contextualSpacing/>
        <w:jc w:val="left"/>
        <w:rPr>
          <w:rFonts w:hint="default" w:ascii="Times New Roman" w:hAnsi="Times New Roman" w:eastAsia="仿宋_GB2312" w:cs="Times New Roman"/>
          <w:bCs/>
          <w:color w:val="auto"/>
          <w:kern w:val="0"/>
          <w:sz w:val="32"/>
          <w:szCs w:val="32"/>
          <w:shd w:val="clear" w:color="auto" w:fill="FFFFFF"/>
        </w:rPr>
      </w:pPr>
      <w:r>
        <w:rPr>
          <w:rFonts w:hint="default" w:ascii="Times New Roman" w:hAnsi="Times New Roman" w:eastAsia="仿宋_GB2312" w:cs="Times New Roman"/>
          <w:bCs/>
          <w:color w:val="auto"/>
          <w:kern w:val="0"/>
          <w:sz w:val="32"/>
          <w:szCs w:val="32"/>
          <w:shd w:val="clear" w:color="auto" w:fill="FFFFFF"/>
        </w:rPr>
        <w:t>2.动态调整</w:t>
      </w:r>
    </w:p>
    <w:p>
      <w:pPr>
        <w:pageBreakBefore w:val="0"/>
        <w:kinsoku/>
        <w:wordWrap/>
        <w:overflowPunct/>
        <w:topLinePunct w:val="0"/>
        <w:bidi w:val="0"/>
        <w:adjustRightInd w:val="0"/>
        <w:snapToGrid w:val="0"/>
        <w:spacing w:line="560" w:lineRule="exact"/>
        <w:contextualSpacing/>
        <w:jc w:val="left"/>
        <w:rPr>
          <w:rFonts w:hint="default" w:ascii="Times New Roman" w:hAnsi="Times New Roman" w:eastAsia="仿宋_GB2312" w:cs="Times New Roman"/>
          <w:bCs/>
          <w:color w:val="auto"/>
          <w:kern w:val="0"/>
          <w:sz w:val="32"/>
          <w:szCs w:val="32"/>
          <w:shd w:val="clear" w:color="auto" w:fill="FFFFFF"/>
        </w:rPr>
      </w:pPr>
      <w:r>
        <w:rPr>
          <w:rFonts w:hint="default" w:ascii="Times New Roman" w:hAnsi="Times New Roman" w:eastAsia="仿宋_GB2312" w:cs="Times New Roman"/>
          <w:bCs/>
          <w:color w:val="auto"/>
          <w:kern w:val="0"/>
          <w:sz w:val="32"/>
          <w:szCs w:val="32"/>
          <w:shd w:val="clear" w:color="auto" w:fill="FFFFFF"/>
        </w:rPr>
        <w:t xml:space="preserve">    （1）支出控制。委机关及直属单位日常公用经费、项目支出中“办公费、印刷费、水费、电费、物业管理费”科目年初预算总额为1087.62万元，实际决算支出总额为1181.87万元，预决算偏差度8.67%，小于10%。该项分值2分，按照评分标准，偏差度小于10%，自评得分2分。</w:t>
      </w:r>
    </w:p>
    <w:p>
      <w:pPr>
        <w:pageBreakBefore w:val="0"/>
        <w:kinsoku/>
        <w:wordWrap/>
        <w:overflowPunct/>
        <w:topLinePunct w:val="0"/>
        <w:bidi w:val="0"/>
        <w:adjustRightInd w:val="0"/>
        <w:snapToGrid w:val="0"/>
        <w:spacing w:line="560" w:lineRule="exact"/>
        <w:ind w:firstLine="640"/>
        <w:contextualSpacing/>
        <w:jc w:val="left"/>
        <w:rPr>
          <w:rFonts w:hint="default" w:ascii="Times New Roman" w:hAnsi="Times New Roman" w:eastAsia="仿宋_GB2312" w:cs="Times New Roman"/>
          <w:bCs/>
          <w:color w:val="auto"/>
          <w:kern w:val="0"/>
          <w:sz w:val="32"/>
          <w:szCs w:val="32"/>
          <w:shd w:val="clear" w:color="auto" w:fill="FFFFFF"/>
        </w:rPr>
      </w:pPr>
      <w:r>
        <w:rPr>
          <w:rFonts w:hint="default" w:ascii="Times New Roman" w:hAnsi="Times New Roman" w:eastAsia="仿宋_GB2312" w:cs="Times New Roman"/>
          <w:bCs/>
          <w:color w:val="auto"/>
          <w:kern w:val="0"/>
          <w:sz w:val="32"/>
          <w:szCs w:val="32"/>
          <w:shd w:val="clear" w:color="auto" w:fill="FFFFFF"/>
        </w:rPr>
        <w:t>（2）及时处置。我委2021年绩效监控调整取消额为0,结余注销额为597.88万元，年度总预算为28301.8万元。该项分值4分，按照计算公式，自评得分3.15分。</w:t>
      </w:r>
    </w:p>
    <w:p>
      <w:pPr>
        <w:pageBreakBefore w:val="0"/>
        <w:kinsoku/>
        <w:wordWrap/>
        <w:overflowPunct/>
        <w:topLinePunct w:val="0"/>
        <w:bidi w:val="0"/>
        <w:adjustRightInd w:val="0"/>
        <w:snapToGrid w:val="0"/>
        <w:spacing w:line="560" w:lineRule="exact"/>
        <w:ind w:firstLine="640" w:firstLineChars="200"/>
        <w:contextualSpacing/>
        <w:jc w:val="left"/>
        <w:rPr>
          <w:rFonts w:hint="default" w:ascii="Times New Roman" w:hAnsi="Times New Roman" w:eastAsia="仿宋_GB2312" w:cs="Times New Roman"/>
          <w:bCs/>
          <w:color w:val="auto"/>
          <w:kern w:val="0"/>
          <w:sz w:val="32"/>
          <w:szCs w:val="32"/>
          <w:shd w:val="clear" w:color="auto" w:fill="FFFFFF"/>
        </w:rPr>
      </w:pPr>
      <w:r>
        <w:rPr>
          <w:rFonts w:hint="default" w:ascii="Times New Roman" w:hAnsi="Times New Roman" w:eastAsia="仿宋_GB2312" w:cs="Times New Roman"/>
          <w:bCs/>
          <w:color w:val="auto"/>
          <w:kern w:val="0"/>
          <w:sz w:val="32"/>
          <w:szCs w:val="32"/>
          <w:shd w:val="clear" w:color="auto" w:fill="FFFFFF"/>
        </w:rPr>
        <w:t>（3）执行进度。按照财政厅预算执行情况通报，我委6月份预算执行率49.6%，得1分；9月份预算执行率63.9%，得0.95分；11月份预算执行率70%，得1.7分。该项分值4分，按照计算公式，自评得分3.65分。</w:t>
      </w:r>
    </w:p>
    <w:p>
      <w:pPr>
        <w:pageBreakBefore w:val="0"/>
        <w:kinsoku/>
        <w:wordWrap/>
        <w:overflowPunct/>
        <w:topLinePunct w:val="0"/>
        <w:bidi w:val="0"/>
        <w:adjustRightInd w:val="0"/>
        <w:snapToGrid w:val="0"/>
        <w:spacing w:line="560" w:lineRule="exact"/>
        <w:ind w:firstLine="640"/>
        <w:contextualSpacing/>
        <w:jc w:val="left"/>
        <w:rPr>
          <w:rFonts w:hint="default" w:ascii="Times New Roman" w:hAnsi="Times New Roman" w:eastAsia="仿宋_GB2312" w:cs="Times New Roman"/>
          <w:bCs/>
          <w:color w:val="auto"/>
          <w:kern w:val="0"/>
          <w:sz w:val="32"/>
          <w:szCs w:val="32"/>
          <w:shd w:val="clear" w:color="auto" w:fill="FFFFFF"/>
        </w:rPr>
      </w:pPr>
      <w:r>
        <w:rPr>
          <w:rFonts w:hint="default" w:ascii="Times New Roman" w:hAnsi="Times New Roman" w:eastAsia="仿宋_GB2312" w:cs="Times New Roman"/>
          <w:bCs/>
          <w:color w:val="auto"/>
          <w:kern w:val="0"/>
          <w:sz w:val="32"/>
          <w:szCs w:val="32"/>
          <w:shd w:val="clear" w:color="auto" w:fill="FFFFFF"/>
        </w:rPr>
        <w:t>3.完成效率</w:t>
      </w:r>
    </w:p>
    <w:p>
      <w:pPr>
        <w:pageBreakBefore w:val="0"/>
        <w:kinsoku/>
        <w:wordWrap/>
        <w:overflowPunct/>
        <w:topLinePunct w:val="0"/>
        <w:bidi w:val="0"/>
        <w:adjustRightInd w:val="0"/>
        <w:snapToGrid w:val="0"/>
        <w:spacing w:line="560" w:lineRule="exact"/>
        <w:ind w:firstLine="640"/>
        <w:contextualSpacing/>
        <w:jc w:val="left"/>
        <w:rPr>
          <w:rFonts w:hint="default" w:ascii="Times New Roman" w:hAnsi="Times New Roman" w:eastAsia="仿宋_GB2312" w:cs="Times New Roman"/>
          <w:bCs/>
          <w:color w:val="auto"/>
          <w:kern w:val="0"/>
          <w:sz w:val="32"/>
          <w:szCs w:val="32"/>
          <w:shd w:val="clear" w:color="auto" w:fill="FFFFFF"/>
        </w:rPr>
      </w:pPr>
      <w:r>
        <w:rPr>
          <w:rFonts w:hint="default" w:ascii="Times New Roman" w:hAnsi="Times New Roman" w:eastAsia="仿宋_GB2312" w:cs="Times New Roman"/>
          <w:bCs/>
          <w:color w:val="auto"/>
          <w:kern w:val="0"/>
          <w:sz w:val="32"/>
          <w:szCs w:val="32"/>
          <w:shd w:val="clear" w:color="auto" w:fill="FFFFFF"/>
        </w:rPr>
        <w:t>（1）预算完成。按照财政厅预算执行情况通报，我委年度预算执行率84.2%。该项分值5分，按照计算公式，自评得分4.21分。</w:t>
      </w:r>
    </w:p>
    <w:p>
      <w:pPr>
        <w:pageBreakBefore w:val="0"/>
        <w:kinsoku/>
        <w:wordWrap/>
        <w:overflowPunct/>
        <w:topLinePunct w:val="0"/>
        <w:bidi w:val="0"/>
        <w:adjustRightInd w:val="0"/>
        <w:snapToGrid w:val="0"/>
        <w:spacing w:line="560" w:lineRule="exact"/>
        <w:ind w:firstLine="640"/>
        <w:contextualSpacing/>
        <w:jc w:val="left"/>
        <w:rPr>
          <w:rFonts w:hint="default" w:ascii="Times New Roman" w:hAnsi="Times New Roman" w:eastAsia="仿宋_GB2312" w:cs="Times New Roman"/>
          <w:bCs/>
          <w:color w:val="auto"/>
          <w:kern w:val="0"/>
          <w:sz w:val="32"/>
          <w:szCs w:val="32"/>
          <w:shd w:val="clear" w:color="auto" w:fill="FFFFFF"/>
        </w:rPr>
      </w:pPr>
      <w:r>
        <w:rPr>
          <w:rFonts w:hint="default" w:ascii="Times New Roman" w:hAnsi="Times New Roman" w:eastAsia="仿宋_GB2312" w:cs="Times New Roman"/>
          <w:bCs/>
          <w:color w:val="auto"/>
          <w:kern w:val="0"/>
          <w:sz w:val="32"/>
          <w:szCs w:val="32"/>
          <w:shd w:val="clear" w:color="auto" w:fill="FFFFFF"/>
        </w:rPr>
        <w:t>（2）资金结余率。我委2021年部门预算项目数78个，资金结余率小于0.1的项目67个。该项分值8分，按照计算公式，自评得分6.87分。</w:t>
      </w:r>
    </w:p>
    <w:p>
      <w:pPr>
        <w:pageBreakBefore w:val="0"/>
        <w:kinsoku/>
        <w:wordWrap/>
        <w:overflowPunct/>
        <w:topLinePunct w:val="0"/>
        <w:bidi w:val="0"/>
        <w:adjustRightInd w:val="0"/>
        <w:snapToGrid w:val="0"/>
        <w:spacing w:line="560" w:lineRule="exact"/>
        <w:ind w:firstLine="640"/>
        <w:contextualSpacing/>
        <w:jc w:val="left"/>
        <w:rPr>
          <w:rFonts w:hint="default" w:ascii="Times New Roman" w:hAnsi="Times New Roman" w:eastAsia="仿宋_GB2312" w:cs="Times New Roman"/>
          <w:bCs/>
          <w:color w:val="auto"/>
          <w:kern w:val="0"/>
          <w:sz w:val="32"/>
          <w:szCs w:val="32"/>
          <w:shd w:val="clear" w:color="auto" w:fill="FFFFFF"/>
        </w:rPr>
      </w:pPr>
      <w:r>
        <w:rPr>
          <w:rFonts w:hint="default" w:ascii="Times New Roman" w:hAnsi="Times New Roman" w:eastAsia="仿宋_GB2312" w:cs="Times New Roman"/>
          <w:bCs/>
          <w:color w:val="auto"/>
          <w:kern w:val="0"/>
          <w:sz w:val="32"/>
          <w:szCs w:val="32"/>
          <w:shd w:val="clear" w:color="auto" w:fill="FFFFFF"/>
        </w:rPr>
        <w:t>（3）违规记录。我委2021年部门预算管理方面无违纪违规问题。该项分值2分，按照评分标准，自评得分2分。</w:t>
      </w:r>
    </w:p>
    <w:p>
      <w:pPr>
        <w:pageBreakBefore w:val="0"/>
        <w:widowControl/>
        <w:kinsoku/>
        <w:wordWrap/>
        <w:overflowPunct/>
        <w:topLinePunct w:val="0"/>
        <w:bidi w:val="0"/>
        <w:adjustRightInd w:val="0"/>
        <w:snapToGrid w:val="0"/>
        <w:spacing w:line="560" w:lineRule="exact"/>
        <w:ind w:firstLine="642" w:firstLineChars="200"/>
        <w:contextualSpacing/>
        <w:jc w:val="left"/>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bCs/>
          <w:color w:val="auto"/>
          <w:kern w:val="0"/>
          <w:sz w:val="32"/>
          <w:szCs w:val="32"/>
          <w:shd w:val="clear" w:color="auto" w:fill="FFFFFF"/>
          <w:lang w:val="zh-CN"/>
        </w:rPr>
        <w:t>（二）结果应用情况。</w:t>
      </w:r>
    </w:p>
    <w:p>
      <w:pPr>
        <w:pageBreakBefore w:val="0"/>
        <w:kinsoku/>
        <w:wordWrap/>
        <w:overflowPunct/>
        <w:topLinePunct w:val="0"/>
        <w:bidi w:val="0"/>
        <w:adjustRightInd w:val="0"/>
        <w:snapToGrid w:val="0"/>
        <w:spacing w:line="560" w:lineRule="exact"/>
        <w:ind w:firstLine="642"/>
        <w:contextualSpacing/>
        <w:jc w:val="left"/>
        <w:rPr>
          <w:rFonts w:hint="default" w:ascii="Times New Roman" w:hAnsi="Times New Roman" w:eastAsia="仿宋_GB2312" w:cs="Times New Roman"/>
          <w:bCs/>
          <w:color w:val="auto"/>
          <w:kern w:val="0"/>
          <w:sz w:val="32"/>
          <w:szCs w:val="32"/>
          <w:shd w:val="clear" w:color="auto" w:fill="FFFFFF"/>
        </w:rPr>
      </w:pPr>
      <w:r>
        <w:rPr>
          <w:rFonts w:hint="default" w:ascii="Times New Roman" w:hAnsi="Times New Roman" w:eastAsia="仿宋_GB2312" w:cs="Times New Roman"/>
          <w:bCs/>
          <w:color w:val="auto"/>
          <w:kern w:val="0"/>
          <w:sz w:val="32"/>
          <w:szCs w:val="32"/>
          <w:shd w:val="clear" w:color="auto" w:fill="FFFFFF"/>
        </w:rPr>
        <w:t>1.内部应用</w:t>
      </w:r>
    </w:p>
    <w:p>
      <w:pPr>
        <w:pageBreakBefore w:val="0"/>
        <w:kinsoku/>
        <w:wordWrap/>
        <w:overflowPunct/>
        <w:topLinePunct w:val="0"/>
        <w:bidi w:val="0"/>
        <w:adjustRightInd w:val="0"/>
        <w:snapToGrid w:val="0"/>
        <w:spacing w:line="560" w:lineRule="exact"/>
        <w:ind w:firstLine="642"/>
        <w:contextualSpacing/>
        <w:jc w:val="left"/>
        <w:rPr>
          <w:rFonts w:hint="default" w:ascii="Times New Roman" w:hAnsi="Times New Roman" w:eastAsia="仿宋_GB2312" w:cs="Times New Roman"/>
          <w:bCs/>
          <w:color w:val="auto"/>
          <w:kern w:val="0"/>
          <w:sz w:val="32"/>
          <w:szCs w:val="32"/>
          <w:shd w:val="clear" w:color="auto" w:fill="FFFFFF"/>
        </w:rPr>
      </w:pPr>
      <w:r>
        <w:rPr>
          <w:rFonts w:hint="default" w:ascii="Times New Roman" w:hAnsi="Times New Roman" w:eastAsia="仿宋_GB2312" w:cs="Times New Roman"/>
          <w:bCs/>
          <w:color w:val="auto"/>
          <w:kern w:val="0"/>
          <w:sz w:val="32"/>
          <w:szCs w:val="32"/>
          <w:shd w:val="clear" w:color="auto" w:fill="FFFFFF"/>
        </w:rPr>
        <w:t>我委已将内设机构及下属各单位部门预算绩效管理情况纳入年度绩效考评工作体系。该项分值4分，按照评分标准，自评得分4分。</w:t>
      </w:r>
    </w:p>
    <w:p>
      <w:pPr>
        <w:pageBreakBefore w:val="0"/>
        <w:kinsoku/>
        <w:wordWrap/>
        <w:overflowPunct/>
        <w:topLinePunct w:val="0"/>
        <w:bidi w:val="0"/>
        <w:adjustRightInd w:val="0"/>
        <w:snapToGrid w:val="0"/>
        <w:spacing w:line="560" w:lineRule="exact"/>
        <w:ind w:firstLine="642"/>
        <w:contextualSpacing/>
        <w:jc w:val="left"/>
        <w:rPr>
          <w:rFonts w:hint="default" w:ascii="Times New Roman" w:hAnsi="Times New Roman" w:eastAsia="仿宋_GB2312" w:cs="Times New Roman"/>
          <w:bCs/>
          <w:color w:val="auto"/>
          <w:kern w:val="0"/>
          <w:sz w:val="32"/>
          <w:szCs w:val="32"/>
          <w:shd w:val="clear" w:color="auto" w:fill="FFFFFF"/>
        </w:rPr>
      </w:pPr>
      <w:r>
        <w:rPr>
          <w:rFonts w:hint="default" w:ascii="Times New Roman" w:hAnsi="Times New Roman" w:eastAsia="仿宋_GB2312" w:cs="Times New Roman"/>
          <w:bCs/>
          <w:color w:val="auto"/>
          <w:kern w:val="0"/>
          <w:sz w:val="32"/>
          <w:szCs w:val="32"/>
          <w:shd w:val="clear" w:color="auto" w:fill="FFFFFF"/>
        </w:rPr>
        <w:t>2.信息公开</w:t>
      </w:r>
    </w:p>
    <w:p>
      <w:pPr>
        <w:pageBreakBefore w:val="0"/>
        <w:kinsoku/>
        <w:wordWrap/>
        <w:overflowPunct/>
        <w:topLinePunct w:val="0"/>
        <w:bidi w:val="0"/>
        <w:adjustRightInd w:val="0"/>
        <w:snapToGrid w:val="0"/>
        <w:spacing w:line="560" w:lineRule="exact"/>
        <w:ind w:firstLine="642"/>
        <w:contextualSpacing/>
        <w:jc w:val="left"/>
        <w:rPr>
          <w:rFonts w:hint="default" w:ascii="Times New Roman" w:hAnsi="Times New Roman" w:eastAsia="仿宋_GB2312" w:cs="Times New Roman"/>
          <w:bCs/>
          <w:color w:val="auto"/>
          <w:kern w:val="0"/>
          <w:sz w:val="32"/>
          <w:szCs w:val="32"/>
          <w:shd w:val="clear" w:color="auto" w:fill="FFFFFF"/>
        </w:rPr>
      </w:pPr>
      <w:r>
        <w:rPr>
          <w:rFonts w:hint="default" w:ascii="Times New Roman" w:hAnsi="Times New Roman" w:eastAsia="仿宋_GB2312" w:cs="Times New Roman"/>
          <w:bCs/>
          <w:color w:val="auto"/>
          <w:kern w:val="0"/>
          <w:sz w:val="32"/>
          <w:szCs w:val="32"/>
          <w:shd w:val="clear" w:color="auto" w:fill="FFFFFF"/>
        </w:rPr>
        <w:t>按照财政通知要求，我委2021年整体绩效目标和2021年部门预算向在委门户网站上予以公开，部门整体绩效自评情况和项目绩效自评情况也同2020年部门决算进行了公开。该项分值2分，按照评分标准，自评得分2分。</w:t>
      </w:r>
    </w:p>
    <w:p>
      <w:pPr>
        <w:pageBreakBefore w:val="0"/>
        <w:kinsoku/>
        <w:wordWrap/>
        <w:overflowPunct/>
        <w:topLinePunct w:val="0"/>
        <w:bidi w:val="0"/>
        <w:adjustRightInd w:val="0"/>
        <w:snapToGrid w:val="0"/>
        <w:spacing w:line="560" w:lineRule="exact"/>
        <w:ind w:firstLine="640"/>
        <w:contextualSpacing/>
        <w:jc w:val="left"/>
        <w:rPr>
          <w:rFonts w:hint="default" w:ascii="Times New Roman" w:hAnsi="Times New Roman" w:eastAsia="仿宋_GB2312" w:cs="Times New Roman"/>
          <w:bCs/>
          <w:color w:val="auto"/>
          <w:kern w:val="0"/>
          <w:sz w:val="32"/>
          <w:szCs w:val="32"/>
          <w:shd w:val="clear" w:color="auto" w:fill="FFFFFF"/>
        </w:rPr>
      </w:pPr>
      <w:r>
        <w:rPr>
          <w:rFonts w:hint="default" w:ascii="Times New Roman" w:hAnsi="Times New Roman" w:eastAsia="仿宋_GB2312" w:cs="Times New Roman"/>
          <w:bCs/>
          <w:color w:val="auto"/>
          <w:kern w:val="0"/>
          <w:sz w:val="32"/>
          <w:szCs w:val="32"/>
          <w:shd w:val="clear" w:color="auto" w:fill="FFFFFF"/>
        </w:rPr>
        <w:t>3.整改反馈</w:t>
      </w:r>
    </w:p>
    <w:p>
      <w:pPr>
        <w:pageBreakBefore w:val="0"/>
        <w:kinsoku/>
        <w:wordWrap/>
        <w:overflowPunct/>
        <w:topLinePunct w:val="0"/>
        <w:bidi w:val="0"/>
        <w:adjustRightInd w:val="0"/>
        <w:snapToGrid w:val="0"/>
        <w:spacing w:line="560" w:lineRule="exact"/>
        <w:ind w:firstLine="640"/>
        <w:contextualSpacing/>
        <w:jc w:val="left"/>
        <w:rPr>
          <w:rFonts w:hint="default" w:ascii="Times New Roman" w:hAnsi="Times New Roman" w:eastAsia="仿宋_GB2312" w:cs="Times New Roman"/>
          <w:bCs/>
          <w:color w:val="auto"/>
          <w:kern w:val="0"/>
          <w:sz w:val="32"/>
          <w:szCs w:val="32"/>
          <w:shd w:val="clear" w:color="auto" w:fill="FFFFFF"/>
        </w:rPr>
      </w:pPr>
      <w:r>
        <w:rPr>
          <w:rFonts w:hint="default" w:ascii="Times New Roman" w:hAnsi="Times New Roman" w:eastAsia="仿宋_GB2312" w:cs="Times New Roman"/>
          <w:bCs/>
          <w:color w:val="auto"/>
          <w:kern w:val="0"/>
          <w:sz w:val="32"/>
          <w:szCs w:val="32"/>
          <w:shd w:val="clear" w:color="auto" w:fill="FFFFFF"/>
        </w:rPr>
        <w:t>（1）问题整改。按照《财政厅关于印送2021年省级财政重点绩效评价报告和做好绩效评价问题整改及结果应用的函》（川财绩函〔2021〕7号）要求，我委对涉及的部门整体、部门预算项目、攀西战略资源创新开发专项资金重点绩效评价指出问题进行问题整改，并已将问题整改情况和结果应用情况函报财政厅。该项分值2分，按照评分标准，自评得分2分。</w:t>
      </w:r>
    </w:p>
    <w:p>
      <w:pPr>
        <w:pageBreakBefore w:val="0"/>
        <w:kinsoku/>
        <w:wordWrap/>
        <w:overflowPunct/>
        <w:topLinePunct w:val="0"/>
        <w:bidi w:val="0"/>
        <w:adjustRightInd w:val="0"/>
        <w:snapToGrid w:val="0"/>
        <w:spacing w:line="560" w:lineRule="exact"/>
        <w:ind w:firstLine="640"/>
        <w:contextualSpacing/>
        <w:jc w:val="left"/>
        <w:rPr>
          <w:rFonts w:hint="default" w:ascii="Times New Roman" w:hAnsi="Times New Roman" w:eastAsia="仿宋_GB2312" w:cs="Times New Roman"/>
          <w:bCs/>
          <w:color w:val="auto"/>
          <w:kern w:val="0"/>
          <w:sz w:val="32"/>
          <w:szCs w:val="32"/>
          <w:shd w:val="clear" w:color="auto" w:fill="FFFFFF"/>
        </w:rPr>
      </w:pPr>
      <w:r>
        <w:rPr>
          <w:rFonts w:hint="default" w:ascii="Times New Roman" w:hAnsi="Times New Roman" w:eastAsia="仿宋_GB2312" w:cs="Times New Roman"/>
          <w:bCs/>
          <w:color w:val="auto"/>
          <w:kern w:val="0"/>
          <w:sz w:val="32"/>
          <w:szCs w:val="32"/>
          <w:shd w:val="clear" w:color="auto" w:fill="FFFFFF"/>
        </w:rPr>
        <w:t>（2）应用反馈。根据通知要求，我委在规定时间内向财政部门反馈了绩效结果应用报告和绩效评估应用报告。该项分值2分，按照评分标准，自评得分2分。</w:t>
      </w:r>
    </w:p>
    <w:p>
      <w:pPr>
        <w:pageBreakBefore w:val="0"/>
        <w:widowControl/>
        <w:numPr>
          <w:ilvl w:val="0"/>
          <w:numId w:val="0"/>
        </w:numPr>
        <w:kinsoku/>
        <w:wordWrap/>
        <w:overflowPunct/>
        <w:topLinePunct w:val="0"/>
        <w:bidi w:val="0"/>
        <w:adjustRightInd w:val="0"/>
        <w:snapToGrid w:val="0"/>
        <w:spacing w:line="560" w:lineRule="exact"/>
        <w:ind w:firstLine="642" w:firstLineChars="200"/>
        <w:contextualSpacing/>
        <w:jc w:val="left"/>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bCs/>
          <w:color w:val="auto"/>
          <w:kern w:val="0"/>
          <w:sz w:val="32"/>
          <w:szCs w:val="32"/>
          <w:shd w:val="clear" w:color="auto" w:fill="FFFFFF"/>
          <w:lang w:val="zh-CN"/>
        </w:rPr>
        <w:t>（三）自评质量。</w:t>
      </w:r>
    </w:p>
    <w:p>
      <w:pPr>
        <w:pageBreakBefore w:val="0"/>
        <w:kinsoku/>
        <w:wordWrap/>
        <w:overflowPunct/>
        <w:topLinePunct w:val="0"/>
        <w:bidi w:val="0"/>
        <w:adjustRightInd w:val="0"/>
        <w:snapToGrid w:val="0"/>
        <w:spacing w:line="560" w:lineRule="exact"/>
        <w:ind w:firstLine="640" w:firstLineChars="200"/>
        <w:contextualSpacing/>
        <w:jc w:val="left"/>
        <w:rPr>
          <w:rFonts w:hint="default" w:ascii="Times New Roman" w:hAnsi="Times New Roman" w:eastAsia="仿宋_GB2312" w:cs="Times New Roman"/>
          <w:bCs/>
          <w:color w:val="auto"/>
          <w:kern w:val="0"/>
          <w:sz w:val="32"/>
          <w:szCs w:val="32"/>
          <w:shd w:val="clear" w:color="auto" w:fill="FFFFFF"/>
          <w:lang w:val="zh-CN"/>
        </w:rPr>
      </w:pPr>
      <w:r>
        <w:rPr>
          <w:rFonts w:hint="default" w:ascii="Times New Roman" w:hAnsi="Times New Roman" w:eastAsia="仿宋_GB2312" w:cs="Times New Roman"/>
          <w:bCs/>
          <w:color w:val="auto"/>
          <w:kern w:val="0"/>
          <w:sz w:val="32"/>
          <w:szCs w:val="32"/>
          <w:shd w:val="clear" w:color="auto" w:fill="FFFFFF"/>
          <w:lang w:val="zh-CN"/>
        </w:rPr>
        <w:t>2021年9月，财政厅对我委部门整体支出进行重点绩效评价，评价组考评得分34.94分，我委自评得分35.45分,得分差异在5%以内。该项分值10分，按照评分标准，自评得分10分。</w:t>
      </w:r>
    </w:p>
    <w:p>
      <w:pPr>
        <w:pageBreakBefore w:val="0"/>
        <w:widowControl/>
        <w:kinsoku/>
        <w:wordWrap/>
        <w:overflowPunct/>
        <w:topLinePunct w:val="0"/>
        <w:bidi w:val="0"/>
        <w:adjustRightInd w:val="0"/>
        <w:snapToGrid w:val="0"/>
        <w:spacing w:line="560" w:lineRule="exact"/>
        <w:ind w:firstLine="640" w:firstLineChars="200"/>
        <w:contextualSpacing/>
        <w:jc w:val="left"/>
        <w:rPr>
          <w:rFonts w:hint="default" w:ascii="Times New Roman" w:hAnsi="Times New Roman" w:eastAsia="黑体" w:cs="Times New Roman"/>
          <w:color w:val="auto"/>
          <w:kern w:val="0"/>
          <w:sz w:val="32"/>
          <w:szCs w:val="32"/>
          <w:shd w:val="clear" w:color="auto" w:fill="FFFFFF"/>
        </w:rPr>
      </w:pPr>
      <w:r>
        <w:rPr>
          <w:rFonts w:hint="default" w:ascii="Times New Roman" w:hAnsi="Times New Roman" w:eastAsia="黑体" w:cs="Times New Roman"/>
          <w:color w:val="auto"/>
          <w:kern w:val="0"/>
          <w:sz w:val="32"/>
          <w:szCs w:val="32"/>
          <w:shd w:val="clear" w:color="auto" w:fill="FFFFFF"/>
        </w:rPr>
        <w:t>四、评价结论及建议</w:t>
      </w:r>
    </w:p>
    <w:p>
      <w:pPr>
        <w:pageBreakBefore w:val="0"/>
        <w:widowControl/>
        <w:kinsoku/>
        <w:wordWrap/>
        <w:overflowPunct/>
        <w:topLinePunct w:val="0"/>
        <w:bidi w:val="0"/>
        <w:adjustRightInd w:val="0"/>
        <w:snapToGrid w:val="0"/>
        <w:spacing w:line="560" w:lineRule="exact"/>
        <w:ind w:firstLine="642" w:firstLineChars="200"/>
        <w:contextualSpacing/>
        <w:jc w:val="left"/>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bCs/>
          <w:color w:val="auto"/>
          <w:kern w:val="0"/>
          <w:sz w:val="32"/>
          <w:szCs w:val="32"/>
          <w:shd w:val="clear" w:color="auto" w:fill="FFFFFF"/>
          <w:lang w:val="zh-CN"/>
        </w:rPr>
        <w:t>（一）评价结论。</w:t>
      </w:r>
    </w:p>
    <w:p>
      <w:pPr>
        <w:pageBreakBefore w:val="0"/>
        <w:kinsoku/>
        <w:wordWrap/>
        <w:overflowPunct/>
        <w:topLinePunct w:val="0"/>
        <w:bidi w:val="0"/>
        <w:adjustRightInd w:val="0"/>
        <w:snapToGrid w:val="0"/>
        <w:spacing w:line="560" w:lineRule="exact"/>
        <w:ind w:firstLine="640" w:firstLineChars="200"/>
        <w:contextualSpacing/>
        <w:jc w:val="left"/>
        <w:rPr>
          <w:rFonts w:hint="default" w:ascii="Times New Roman" w:hAnsi="Times New Roman" w:eastAsia="仿宋_GB2312" w:cs="Times New Roman"/>
          <w:bCs/>
          <w:color w:val="auto"/>
          <w:kern w:val="0"/>
          <w:sz w:val="32"/>
          <w:szCs w:val="32"/>
          <w:shd w:val="clear" w:color="auto" w:fill="FFFFFF"/>
          <w:lang w:val="zh-CN"/>
        </w:rPr>
      </w:pPr>
      <w:r>
        <w:rPr>
          <w:rFonts w:hint="default" w:ascii="Times New Roman" w:hAnsi="Times New Roman" w:eastAsia="仿宋_GB2312" w:cs="Times New Roman"/>
          <w:bCs/>
          <w:color w:val="auto"/>
          <w:kern w:val="0"/>
          <w:sz w:val="32"/>
          <w:szCs w:val="32"/>
          <w:shd w:val="clear" w:color="auto" w:fill="FFFFFF"/>
          <w:lang w:val="zh-CN"/>
        </w:rPr>
        <w:t>按照《202</w:t>
      </w:r>
      <w:r>
        <w:rPr>
          <w:rFonts w:hint="default" w:ascii="Times New Roman" w:hAnsi="Times New Roman" w:eastAsia="仿宋_GB2312" w:cs="Times New Roman"/>
          <w:bCs/>
          <w:color w:val="auto"/>
          <w:kern w:val="0"/>
          <w:sz w:val="32"/>
          <w:szCs w:val="32"/>
          <w:shd w:val="clear" w:color="auto" w:fill="FFFFFF"/>
        </w:rPr>
        <w:t>2</w:t>
      </w:r>
      <w:r>
        <w:rPr>
          <w:rFonts w:hint="default" w:ascii="Times New Roman" w:hAnsi="Times New Roman" w:eastAsia="仿宋_GB2312" w:cs="Times New Roman"/>
          <w:bCs/>
          <w:color w:val="auto"/>
          <w:kern w:val="0"/>
          <w:sz w:val="32"/>
          <w:szCs w:val="32"/>
          <w:shd w:val="clear" w:color="auto" w:fill="FFFFFF"/>
          <w:lang w:val="zh-CN"/>
        </w:rPr>
        <w:t>年度省级部门整体支出绩效评价指标体系（适用于有专项预算项目的部门）》，我委按要求对部门预算管理、绩效结果应用等进行逐项评分，总分</w:t>
      </w:r>
      <w:r>
        <w:rPr>
          <w:rFonts w:hint="default" w:ascii="Times New Roman" w:hAnsi="Times New Roman" w:eastAsia="仿宋_GB2312" w:cs="Times New Roman"/>
          <w:bCs/>
          <w:color w:val="auto"/>
          <w:kern w:val="0"/>
          <w:sz w:val="32"/>
          <w:szCs w:val="32"/>
          <w:shd w:val="clear" w:color="auto" w:fill="FFFFFF"/>
        </w:rPr>
        <w:t>100分，共得分96.08分。</w:t>
      </w:r>
    </w:p>
    <w:p>
      <w:pPr>
        <w:pageBreakBefore w:val="0"/>
        <w:widowControl/>
        <w:kinsoku/>
        <w:wordWrap/>
        <w:overflowPunct/>
        <w:topLinePunct w:val="0"/>
        <w:bidi w:val="0"/>
        <w:adjustRightInd w:val="0"/>
        <w:snapToGrid w:val="0"/>
        <w:spacing w:line="560" w:lineRule="exact"/>
        <w:ind w:firstLine="642" w:firstLineChars="200"/>
        <w:contextualSpacing/>
        <w:jc w:val="left"/>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bCs/>
          <w:color w:val="auto"/>
          <w:kern w:val="0"/>
          <w:sz w:val="32"/>
          <w:szCs w:val="32"/>
          <w:shd w:val="clear" w:color="auto" w:fill="FFFFFF"/>
          <w:lang w:val="zh-CN"/>
        </w:rPr>
        <w:t>（二）存在问题。</w:t>
      </w:r>
    </w:p>
    <w:p>
      <w:pPr>
        <w:pageBreakBefore w:val="0"/>
        <w:kinsoku/>
        <w:wordWrap/>
        <w:overflowPunct/>
        <w:topLinePunct w:val="0"/>
        <w:bidi w:val="0"/>
        <w:spacing w:line="560" w:lineRule="exact"/>
        <w:ind w:firstLine="642" w:firstLineChars="200"/>
        <w:rPr>
          <w:rFonts w:hint="default" w:ascii="Times New Roman" w:hAnsi="Times New Roman" w:eastAsia="仿宋_GB2312" w:cs="Times New Roman"/>
          <w:color w:val="auto"/>
        </w:rPr>
      </w:pPr>
      <w:r>
        <w:rPr>
          <w:rFonts w:hint="default" w:ascii="Times New Roman" w:hAnsi="Times New Roman" w:eastAsia="仿宋_GB2312" w:cs="Times New Roman"/>
          <w:b/>
          <w:bCs/>
          <w:color w:val="auto"/>
          <w:sz w:val="32"/>
          <w:szCs w:val="32"/>
        </w:rPr>
        <w:t>一是</w:t>
      </w:r>
      <w:r>
        <w:rPr>
          <w:rFonts w:hint="default" w:ascii="Times New Roman" w:hAnsi="Times New Roman" w:eastAsia="仿宋_GB2312" w:cs="Times New Roman"/>
          <w:b w:val="0"/>
          <w:bCs w:val="0"/>
          <w:color w:val="auto"/>
          <w:sz w:val="32"/>
          <w:szCs w:val="32"/>
        </w:rPr>
        <w:t>预算绩效管理观念有待提高。</w:t>
      </w:r>
      <w:r>
        <w:rPr>
          <w:rFonts w:hint="default" w:ascii="Times New Roman" w:hAnsi="Times New Roman" w:eastAsia="仿宋_GB2312" w:cs="Times New Roman"/>
          <w:color w:val="auto"/>
          <w:sz w:val="32"/>
          <w:szCs w:val="32"/>
        </w:rPr>
        <w:t>部分处室和直属单位对预算绩效管理工作重视程度不够，</w:t>
      </w:r>
      <w:r>
        <w:rPr>
          <w:rFonts w:hint="default" w:ascii="Times New Roman" w:hAnsi="Times New Roman" w:eastAsia="仿宋_GB2312" w:cs="Times New Roman"/>
          <w:color w:val="auto"/>
          <w:sz w:val="32"/>
          <w:szCs w:val="32"/>
          <w:lang w:eastAsia="zh-CN"/>
        </w:rPr>
        <w:t>对</w:t>
      </w:r>
      <w:r>
        <w:rPr>
          <w:rFonts w:hint="default" w:ascii="Times New Roman" w:hAnsi="Times New Roman" w:eastAsia="仿宋_GB2312" w:cs="Times New Roman"/>
          <w:color w:val="auto"/>
          <w:sz w:val="32"/>
          <w:szCs w:val="32"/>
        </w:rPr>
        <w:t>标预算绩效管理要求的工作</w:t>
      </w:r>
      <w:r>
        <w:rPr>
          <w:rFonts w:hint="default" w:ascii="Times New Roman" w:hAnsi="Times New Roman" w:eastAsia="仿宋_GB2312" w:cs="Times New Roman"/>
          <w:color w:val="auto"/>
          <w:sz w:val="32"/>
          <w:szCs w:val="32"/>
          <w:lang w:eastAsia="zh-CN"/>
        </w:rPr>
        <w:t>主动性不够</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bCs/>
          <w:color w:val="auto"/>
          <w:sz w:val="32"/>
          <w:szCs w:val="32"/>
        </w:rPr>
        <w:t>二是</w:t>
      </w:r>
      <w:r>
        <w:rPr>
          <w:rFonts w:hint="default" w:ascii="Times New Roman" w:hAnsi="Times New Roman" w:eastAsia="仿宋_GB2312" w:cs="Times New Roman"/>
          <w:b w:val="0"/>
          <w:bCs w:val="0"/>
          <w:color w:val="auto"/>
          <w:sz w:val="32"/>
          <w:szCs w:val="32"/>
        </w:rPr>
        <w:t>绩效目标值设定的科学性有待提高</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rPr>
        <w:t>申报绩效目标不够明确，设计的评价指标体系不够科学精准，目标值设定不够合理，量化程度不够。</w:t>
      </w:r>
    </w:p>
    <w:p>
      <w:pPr>
        <w:pageBreakBefore w:val="0"/>
        <w:widowControl/>
        <w:kinsoku/>
        <w:wordWrap/>
        <w:overflowPunct/>
        <w:topLinePunct w:val="0"/>
        <w:bidi w:val="0"/>
        <w:adjustRightInd w:val="0"/>
        <w:snapToGrid w:val="0"/>
        <w:spacing w:line="560" w:lineRule="exact"/>
        <w:ind w:firstLine="642" w:firstLineChars="200"/>
        <w:contextualSpacing/>
        <w:jc w:val="left"/>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bCs/>
          <w:color w:val="auto"/>
          <w:kern w:val="0"/>
          <w:sz w:val="32"/>
          <w:szCs w:val="32"/>
          <w:shd w:val="clear" w:color="auto" w:fill="FFFFFF"/>
          <w:lang w:val="zh-CN"/>
        </w:rPr>
        <w:t>（三）改进建议。</w:t>
      </w:r>
    </w:p>
    <w:p>
      <w:pPr>
        <w:pageBreakBefore w:val="0"/>
        <w:kinsoku/>
        <w:wordWrap/>
        <w:overflowPunct/>
        <w:topLinePunct w:val="0"/>
        <w:bidi w:val="0"/>
        <w:snapToGrid w:val="0"/>
        <w:spacing w:line="560" w:lineRule="exact"/>
        <w:ind w:firstLine="640"/>
        <w:rPr>
          <w:rFonts w:hint="default" w:ascii="Times New Roman" w:hAnsi="Times New Roman" w:eastAsia="仿宋_GB2312" w:cs="Times New Roman"/>
          <w:color w:val="auto"/>
        </w:rPr>
      </w:pPr>
      <w:r>
        <w:rPr>
          <w:rFonts w:hint="default" w:ascii="Times New Roman" w:hAnsi="Times New Roman" w:eastAsia="仿宋_GB2312" w:cs="Times New Roman"/>
          <w:b/>
          <w:bCs/>
          <w:color w:val="auto"/>
          <w:sz w:val="32"/>
          <w:szCs w:val="32"/>
        </w:rPr>
        <w:t>一是</w:t>
      </w:r>
      <w:r>
        <w:rPr>
          <w:rFonts w:hint="default" w:ascii="Times New Roman" w:hAnsi="Times New Roman" w:eastAsia="仿宋_GB2312" w:cs="Times New Roman"/>
          <w:b w:val="0"/>
          <w:bCs w:val="0"/>
          <w:color w:val="auto"/>
          <w:sz w:val="32"/>
          <w:szCs w:val="32"/>
        </w:rPr>
        <w:t>优化预算绩效目标。</w:t>
      </w:r>
      <w:r>
        <w:rPr>
          <w:rFonts w:hint="default" w:ascii="Times New Roman" w:hAnsi="Times New Roman" w:eastAsia="仿宋_GB2312" w:cs="Times New Roman"/>
          <w:color w:val="auto"/>
          <w:kern w:val="0"/>
          <w:sz w:val="32"/>
          <w:szCs w:val="32"/>
          <w:shd w:val="clear" w:color="auto" w:fill="FFFFFF"/>
          <w:lang w:val="zh-CN"/>
        </w:rPr>
        <w:t>结合职能职责和年度总体任务，进一步提高绩效目标设置的科学性、合理性。从数量、质量、时效、成本、社会效益、经济效益和生态效益等方面，更加科学设置绩效目标，使绩效目标成体系、可量化、可考核。</w:t>
      </w:r>
    </w:p>
    <w:p>
      <w:pPr>
        <w:pageBreakBefore w:val="0"/>
        <w:kinsoku/>
        <w:wordWrap/>
        <w:overflowPunct/>
        <w:topLinePunct w:val="0"/>
        <w:bidi w:val="0"/>
        <w:snapToGrid w:val="0"/>
        <w:spacing w:line="560" w:lineRule="exact"/>
        <w:ind w:firstLine="640"/>
        <w:rPr>
          <w:rFonts w:hint="default" w:ascii="Times New Roman" w:hAnsi="Times New Roman" w:eastAsia="仿宋_GB2312" w:cs="Times New Roman"/>
          <w:color w:val="auto"/>
        </w:rPr>
      </w:pPr>
      <w:r>
        <w:rPr>
          <w:rFonts w:hint="default" w:ascii="Times New Roman" w:hAnsi="Times New Roman" w:eastAsia="仿宋_GB2312" w:cs="Times New Roman"/>
          <w:b/>
          <w:bCs/>
          <w:color w:val="auto"/>
          <w:sz w:val="32"/>
          <w:szCs w:val="32"/>
        </w:rPr>
        <w:t>二是</w:t>
      </w:r>
      <w:r>
        <w:rPr>
          <w:rFonts w:hint="default" w:ascii="Times New Roman" w:hAnsi="Times New Roman" w:eastAsia="仿宋_GB2312" w:cs="Times New Roman"/>
          <w:b w:val="0"/>
          <w:bCs w:val="0"/>
          <w:color w:val="auto"/>
          <w:sz w:val="32"/>
          <w:szCs w:val="32"/>
        </w:rPr>
        <w:t>加大运行监控力度。</w:t>
      </w:r>
      <w:r>
        <w:rPr>
          <w:rFonts w:hint="default" w:ascii="Times New Roman" w:hAnsi="Times New Roman" w:eastAsia="仿宋_GB2312" w:cs="Times New Roman"/>
          <w:color w:val="auto"/>
          <w:sz w:val="32"/>
          <w:szCs w:val="32"/>
        </w:rPr>
        <w:t>逐项对照批复预算、绩效目标，着力抓实预算执行进度和绩效目标实现程度“双监控”，提高目标精准度，加强过程监督检查，探索“穿透式”绩效管理，有效发挥“两书一函”作用，督促提高“双监控”工作质效。</w:t>
      </w:r>
    </w:p>
    <w:p>
      <w:pPr>
        <w:pageBreakBefore w:val="0"/>
        <w:kinsoku/>
        <w:wordWrap/>
        <w:overflowPunct/>
        <w:topLinePunct w:val="0"/>
        <w:bidi w:val="0"/>
        <w:snapToGrid w:val="0"/>
        <w:spacing w:line="56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三是</w:t>
      </w:r>
      <w:r>
        <w:rPr>
          <w:rFonts w:hint="default" w:ascii="Times New Roman" w:hAnsi="Times New Roman" w:eastAsia="仿宋_GB2312" w:cs="Times New Roman"/>
          <w:b w:val="0"/>
          <w:bCs w:val="0"/>
          <w:color w:val="auto"/>
          <w:sz w:val="32"/>
          <w:szCs w:val="32"/>
        </w:rPr>
        <w:t>做好预算执行分析。</w:t>
      </w:r>
      <w:r>
        <w:rPr>
          <w:rFonts w:hint="default" w:ascii="Times New Roman" w:hAnsi="Times New Roman" w:eastAsia="仿宋_GB2312" w:cs="Times New Roman"/>
          <w:color w:val="auto"/>
          <w:sz w:val="32"/>
          <w:szCs w:val="32"/>
        </w:rPr>
        <w:t>加强绩效目标完成可能性的分析研判，根据情况分类处置。对预算执行进度滞后的，加大督促力度，提出整改措施，加快项目实施进度；对确属客观原因预计无法完成的，按照《四川省财政厅关于加强省级财政资金结余结转管理健全存量资金动态清缴机制的通知》要求，及时申请追减预算结余指标，有效清理盘活财政资金。</w:t>
      </w:r>
    </w:p>
    <w:p>
      <w:pPr>
        <w:pageBreakBefore w:val="0"/>
        <w:kinsoku/>
        <w:wordWrap/>
        <w:overflowPunct/>
        <w:topLinePunct w:val="0"/>
        <w:bidi w:val="0"/>
        <w:snapToGrid w:val="0"/>
        <w:spacing w:line="560" w:lineRule="exact"/>
        <w:ind w:firstLine="640"/>
        <w:rPr>
          <w:rFonts w:hint="default" w:ascii="Times New Roman" w:hAnsi="Times New Roman" w:eastAsia="仿宋_GB2312" w:cs="Times New Roman"/>
          <w:color w:val="auto"/>
        </w:rPr>
      </w:pPr>
      <w:r>
        <w:rPr>
          <w:rFonts w:hint="default" w:ascii="Times New Roman" w:hAnsi="Times New Roman" w:eastAsia="仿宋_GB2312" w:cs="Times New Roman"/>
          <w:b/>
          <w:bCs/>
          <w:color w:val="auto"/>
          <w:sz w:val="32"/>
          <w:szCs w:val="32"/>
        </w:rPr>
        <w:t>四是</w:t>
      </w:r>
      <w:r>
        <w:rPr>
          <w:rFonts w:hint="default" w:ascii="Times New Roman" w:hAnsi="Times New Roman" w:eastAsia="仿宋_GB2312" w:cs="Times New Roman"/>
          <w:b w:val="0"/>
          <w:bCs w:val="0"/>
          <w:color w:val="auto"/>
          <w:sz w:val="32"/>
          <w:szCs w:val="32"/>
        </w:rPr>
        <w:t>强化评价结果应用。</w:t>
      </w:r>
      <w:r>
        <w:rPr>
          <w:rFonts w:hint="default" w:ascii="Times New Roman" w:hAnsi="Times New Roman" w:eastAsia="仿宋_GB2312" w:cs="Times New Roman"/>
          <w:color w:val="auto"/>
          <w:sz w:val="32"/>
          <w:szCs w:val="32"/>
        </w:rPr>
        <w:t>推进预算和绩效管理深度融合，以全过程管理为主线，进一步强化绩效目标引领和绩效结果应用。特别是针对财政厅重点绩效评价中指出的问题，举一反三，将评价结果运用到完善内部控制、强化项目管理、安排项目资金等方面。</w:t>
      </w:r>
    </w:p>
    <w:p>
      <w:pPr>
        <w:pageBreakBefore w:val="0"/>
        <w:kinsoku/>
        <w:wordWrap/>
        <w:overflowPunct/>
        <w:topLinePunct w:val="0"/>
        <w:bidi w:val="0"/>
        <w:snapToGrid w:val="0"/>
        <w:spacing w:line="560" w:lineRule="exact"/>
        <w:ind w:firstLine="640"/>
        <w:rPr>
          <w:rFonts w:hint="default" w:ascii="Times New Roman" w:hAnsi="Times New Roman" w:eastAsia="仿宋_GB2312" w:cs="Times New Roman"/>
          <w:color w:val="auto"/>
        </w:rPr>
      </w:pPr>
      <w:r>
        <w:rPr>
          <w:rFonts w:hint="default" w:ascii="Times New Roman" w:hAnsi="Times New Roman" w:eastAsia="仿宋_GB2312" w:cs="Times New Roman"/>
          <w:b/>
          <w:bCs/>
          <w:color w:val="auto"/>
          <w:sz w:val="32"/>
          <w:szCs w:val="32"/>
        </w:rPr>
        <w:t>五是</w:t>
      </w:r>
      <w:r>
        <w:rPr>
          <w:rFonts w:hint="default" w:ascii="Times New Roman" w:hAnsi="Times New Roman" w:eastAsia="仿宋_GB2312" w:cs="Times New Roman"/>
          <w:b w:val="0"/>
          <w:bCs w:val="0"/>
          <w:color w:val="auto"/>
          <w:sz w:val="32"/>
          <w:szCs w:val="32"/>
        </w:rPr>
        <w:t>加强财务队伍建设。</w:t>
      </w:r>
      <w:r>
        <w:rPr>
          <w:rFonts w:hint="default" w:ascii="Times New Roman" w:hAnsi="Times New Roman" w:eastAsia="仿宋_GB2312" w:cs="Times New Roman"/>
          <w:color w:val="auto"/>
          <w:sz w:val="32"/>
          <w:szCs w:val="32"/>
        </w:rPr>
        <w:t>进一步通过走出去和请进来等方式，加强委机关及直属单位财务人员教育培训，特别是针对预算绩效管理，加强宣传和指导力度，不断提升财务人员和业务处室预算绩效管理意识和管理能力。</w:t>
      </w:r>
    </w:p>
    <w:p>
      <w:pPr>
        <w:pStyle w:val="7"/>
        <w:pageBreakBefore w:val="0"/>
        <w:kinsoku/>
        <w:wordWrap/>
        <w:overflowPunct/>
        <w:topLinePunct w:val="0"/>
        <w:bidi w:val="0"/>
        <w:spacing w:before="93" w:line="560" w:lineRule="exact"/>
        <w:ind w:firstLine="642" w:firstLineChars="200"/>
        <w:rPr>
          <w:rFonts w:hint="default" w:ascii="Times New Roman" w:hAnsi="Times New Roman" w:cs="Times New Roman"/>
          <w:color w:val="auto"/>
        </w:rPr>
      </w:pPr>
      <w:r>
        <w:rPr>
          <w:rFonts w:hint="default" w:ascii="Times New Roman" w:hAnsi="Times New Roman" w:cs="Times New Roman"/>
          <w:b/>
          <w:bCs/>
          <w:color w:val="auto"/>
        </w:rPr>
        <w:t>六是</w:t>
      </w:r>
      <w:r>
        <w:rPr>
          <w:rFonts w:hint="default" w:ascii="Times New Roman" w:hAnsi="Times New Roman" w:cs="Times New Roman"/>
          <w:b w:val="0"/>
          <w:bCs w:val="0"/>
          <w:color w:val="auto"/>
        </w:rPr>
        <w:t>建立健全长效机制。</w:t>
      </w:r>
      <w:r>
        <w:rPr>
          <w:rFonts w:hint="default" w:ascii="Times New Roman" w:hAnsi="Times New Roman" w:cs="Times New Roman"/>
          <w:color w:val="auto"/>
        </w:rPr>
        <w:t>提升预算绩效管理考核在部门绩效目标考核中权重的比重，强化预算绩效管理的约束作用。加强委内预算绩效制度建设，抓紧制订出台部门预算绩效管理办法，进一步提升我委预算绩效管理水平。</w:t>
      </w:r>
    </w:p>
    <w:p>
      <w:pPr>
        <w:pStyle w:val="8"/>
        <w:pageBreakBefore w:val="0"/>
        <w:kinsoku/>
        <w:wordWrap/>
        <w:overflowPunct/>
        <w:topLinePunct w:val="0"/>
        <w:bidi w:val="0"/>
        <w:spacing w:before="93" w:line="560" w:lineRule="exact"/>
        <w:rPr>
          <w:rFonts w:hint="default" w:ascii="Times New Roman" w:hAnsi="Times New Roman" w:cs="Times New Roman"/>
          <w:color w:val="auto"/>
          <w:sz w:val="32"/>
          <w:szCs w:val="32"/>
          <w:shd w:val="clear" w:color="auto" w:fill="FFFFFF"/>
        </w:rPr>
      </w:pPr>
    </w:p>
    <w:p>
      <w:pPr>
        <w:pStyle w:val="8"/>
        <w:pageBreakBefore w:val="0"/>
        <w:kinsoku/>
        <w:wordWrap/>
        <w:overflowPunct/>
        <w:topLinePunct w:val="0"/>
        <w:bidi w:val="0"/>
        <w:spacing w:before="93" w:line="560" w:lineRule="exact"/>
        <w:rPr>
          <w:rFonts w:hint="default" w:ascii="Times New Roman" w:hAnsi="Times New Roman" w:eastAsia="黑体" w:cs="Times New Roman"/>
          <w:color w:val="auto"/>
        </w:rPr>
      </w:pPr>
      <w:r>
        <w:rPr>
          <w:rFonts w:hint="default" w:ascii="Times New Roman" w:hAnsi="Times New Roman" w:eastAsia="黑体" w:cs="Times New Roman"/>
          <w:color w:val="auto"/>
          <w:sz w:val="32"/>
          <w:szCs w:val="32"/>
          <w:shd w:val="clear" w:color="auto" w:fill="FFFFFF"/>
          <w:lang w:val="zh-CN"/>
        </w:rPr>
        <w:t>附件</w:t>
      </w:r>
      <w:r>
        <w:rPr>
          <w:rFonts w:hint="default" w:ascii="Times New Roman" w:hAnsi="Times New Roman" w:eastAsia="黑体" w:cs="Times New Roman"/>
          <w:color w:val="auto"/>
          <w:sz w:val="32"/>
          <w:szCs w:val="32"/>
          <w:shd w:val="clear" w:color="auto" w:fill="FFFFFF"/>
        </w:rPr>
        <w:t>2</w:t>
      </w:r>
    </w:p>
    <w:p>
      <w:pPr>
        <w:pStyle w:val="42"/>
        <w:pageBreakBefore w:val="0"/>
        <w:kinsoku/>
        <w:wordWrap/>
        <w:overflowPunct/>
        <w:topLinePunct w:val="0"/>
        <w:bidi w:val="0"/>
        <w:spacing w:line="560" w:lineRule="exact"/>
        <w:jc w:val="center"/>
        <w:rPr>
          <w:rFonts w:hint="default" w:ascii="Times New Roman" w:hAnsi="Times New Roman" w:eastAsia="方正小标宋简体" w:cs="Times New Roman"/>
          <w:color w:val="auto"/>
          <w:kern w:val="2"/>
          <w:sz w:val="44"/>
          <w:szCs w:val="44"/>
          <w:lang w:val="en-US"/>
        </w:rPr>
      </w:pPr>
      <w:r>
        <w:rPr>
          <w:rFonts w:hint="default" w:ascii="Times New Roman" w:hAnsi="Times New Roman" w:eastAsia="方正小标宋简体" w:cs="Times New Roman"/>
          <w:color w:val="auto"/>
          <w:kern w:val="2"/>
          <w:sz w:val="44"/>
          <w:szCs w:val="44"/>
          <w:lang w:val="en-US"/>
        </w:rPr>
        <w:t>2021年省预算内基本建设投资</w:t>
      </w:r>
    </w:p>
    <w:p>
      <w:pPr>
        <w:pStyle w:val="42"/>
        <w:pageBreakBefore w:val="0"/>
        <w:kinsoku/>
        <w:wordWrap/>
        <w:overflowPunct/>
        <w:topLinePunct w:val="0"/>
        <w:bidi w:val="0"/>
        <w:spacing w:line="560" w:lineRule="exact"/>
        <w:jc w:val="center"/>
        <w:rPr>
          <w:rFonts w:hint="default" w:ascii="Times New Roman" w:hAnsi="Times New Roman" w:eastAsia="方正小标宋简体" w:cs="Times New Roman"/>
          <w:color w:val="auto"/>
          <w:kern w:val="2"/>
          <w:sz w:val="44"/>
          <w:szCs w:val="44"/>
          <w:lang w:val="en-US"/>
        </w:rPr>
      </w:pPr>
      <w:r>
        <w:rPr>
          <w:rFonts w:hint="default" w:ascii="Times New Roman" w:hAnsi="Times New Roman" w:eastAsia="方正小标宋简体" w:cs="Times New Roman"/>
          <w:color w:val="auto"/>
          <w:kern w:val="2"/>
          <w:sz w:val="44"/>
          <w:szCs w:val="44"/>
          <w:lang w:val="en-US"/>
        </w:rPr>
        <w:t>支出绩效自评报告</w:t>
      </w:r>
    </w:p>
    <w:p>
      <w:pPr>
        <w:pageBreakBefore w:val="0"/>
        <w:kinsoku/>
        <w:wordWrap/>
        <w:overflowPunct/>
        <w:topLinePunct w:val="0"/>
        <w:bidi w:val="0"/>
        <w:spacing w:line="560" w:lineRule="exact"/>
        <w:ind w:firstLine="640"/>
        <w:rPr>
          <w:rFonts w:hint="default" w:ascii="Times New Roman" w:hAnsi="Times New Roman" w:eastAsia="黑体" w:cs="Times New Roman"/>
          <w:color w:val="auto"/>
          <w:sz w:val="32"/>
        </w:rPr>
      </w:pPr>
    </w:p>
    <w:p>
      <w:pPr>
        <w:pageBreakBefore w:val="0"/>
        <w:kinsoku/>
        <w:wordWrap/>
        <w:overflowPunct/>
        <w:topLinePunct w:val="0"/>
        <w:bidi w:val="0"/>
        <w:spacing w:line="560" w:lineRule="exact"/>
        <w:ind w:firstLine="640"/>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一、绩效自评思路</w:t>
      </w:r>
    </w:p>
    <w:p>
      <w:pPr>
        <w:pageBreakBefore w:val="0"/>
        <w:kinsoku/>
        <w:wordWrap/>
        <w:overflowPunct/>
        <w:topLinePunct w:val="0"/>
        <w:bidi w:val="0"/>
        <w:spacing w:line="560" w:lineRule="exact"/>
        <w:ind w:firstLine="640"/>
        <w:rPr>
          <w:rFonts w:hint="default" w:ascii="Times New Roman" w:hAnsi="Times New Roman" w:eastAsia="楷体_GB2312" w:cs="Times New Roman"/>
          <w:b/>
          <w:bCs w:val="0"/>
          <w:color w:val="auto"/>
          <w:sz w:val="32"/>
          <w:lang w:val="zh-CN"/>
        </w:rPr>
      </w:pPr>
      <w:r>
        <w:rPr>
          <w:rFonts w:hint="default" w:ascii="Times New Roman" w:hAnsi="Times New Roman" w:eastAsia="楷体_GB2312" w:cs="Times New Roman"/>
          <w:b/>
          <w:bCs w:val="0"/>
          <w:color w:val="auto"/>
          <w:sz w:val="32"/>
        </w:rPr>
        <w:t>（一</w:t>
      </w:r>
      <w:r>
        <w:rPr>
          <w:rFonts w:hint="default" w:ascii="Times New Roman" w:hAnsi="Times New Roman" w:eastAsia="楷体_GB2312" w:cs="Times New Roman"/>
          <w:b/>
          <w:bCs w:val="0"/>
          <w:color w:val="auto"/>
          <w:sz w:val="32"/>
          <w:lang w:val="zh-CN"/>
        </w:rPr>
        <w:t>）绩效目标。</w:t>
      </w:r>
    </w:p>
    <w:p>
      <w:pPr>
        <w:pageBreakBefore w:val="0"/>
        <w:kinsoku/>
        <w:wordWrap/>
        <w:overflowPunct/>
        <w:topLinePunct w:val="0"/>
        <w:bidi w:val="0"/>
        <w:spacing w:line="560" w:lineRule="exact"/>
        <w:ind w:firstLine="640"/>
        <w:rPr>
          <w:rFonts w:hint="default" w:ascii="Times New Roman" w:hAnsi="Times New Roman" w:eastAsia="楷体_GB2312" w:cs="Times New Roman"/>
          <w:b/>
          <w:bCs w:val="0"/>
          <w:color w:val="auto"/>
          <w:sz w:val="32"/>
        </w:rPr>
      </w:pPr>
      <w:r>
        <w:rPr>
          <w:rFonts w:hint="default" w:ascii="Times New Roman" w:hAnsi="Times New Roman" w:eastAsia="仿宋_GB2312" w:cs="Times New Roman"/>
          <w:color w:val="auto"/>
          <w:sz w:val="32"/>
        </w:rPr>
        <w:t>深入贯彻习近平总书记关于统筹疫情防控和经济社会发展的重要讲话精神，全面落实省委、省政府决策部署，全力做好“六稳”工作，充分发挥政府投资效益，进一步发挥</w:t>
      </w:r>
      <w:r>
        <w:rPr>
          <w:rFonts w:hint="default" w:ascii="Times New Roman" w:hAnsi="Times New Roman" w:eastAsia="仿宋_GB2312" w:cs="Times New Roman"/>
          <w:color w:val="auto"/>
          <w:sz w:val="32"/>
          <w:szCs w:val="32"/>
        </w:rPr>
        <w:t>省预算内基本建设投资对全省经济社会发展的</w:t>
      </w:r>
      <w:r>
        <w:rPr>
          <w:rFonts w:hint="default" w:ascii="Times New Roman" w:hAnsi="Times New Roman" w:eastAsia="仿宋_GB2312" w:cs="Times New Roman"/>
          <w:color w:val="auto"/>
          <w:sz w:val="32"/>
        </w:rPr>
        <w:t>引导带动作用，助力实现全省高质量发展。</w:t>
      </w:r>
    </w:p>
    <w:p>
      <w:pPr>
        <w:pageBreakBefore w:val="0"/>
        <w:kinsoku/>
        <w:wordWrap/>
        <w:overflowPunct/>
        <w:topLinePunct w:val="0"/>
        <w:bidi w:val="0"/>
        <w:spacing w:line="560" w:lineRule="exact"/>
        <w:ind w:firstLine="640"/>
        <w:rPr>
          <w:rFonts w:hint="default" w:ascii="Times New Roman" w:hAnsi="Times New Roman" w:eastAsia="楷体_GB2312" w:cs="Times New Roman"/>
          <w:b/>
          <w:bCs w:val="0"/>
          <w:color w:val="auto"/>
          <w:sz w:val="32"/>
        </w:rPr>
      </w:pPr>
      <w:r>
        <w:rPr>
          <w:rFonts w:hint="default" w:ascii="Times New Roman" w:hAnsi="Times New Roman" w:eastAsia="楷体_GB2312" w:cs="Times New Roman"/>
          <w:b/>
          <w:bCs w:val="0"/>
          <w:color w:val="auto"/>
          <w:sz w:val="32"/>
        </w:rPr>
        <w:t>（二）相关职能职责。</w:t>
      </w:r>
    </w:p>
    <w:p>
      <w:pPr>
        <w:pageBreakBefore w:val="0"/>
        <w:kinsoku/>
        <w:wordWrap/>
        <w:overflowPunct/>
        <w:topLinePunct w:val="0"/>
        <w:bidi w:val="0"/>
        <w:spacing w:line="560" w:lineRule="exact"/>
        <w:ind w:firstLine="640"/>
        <w:rPr>
          <w:rFonts w:hint="default" w:ascii="Times New Roman" w:hAnsi="Times New Roman" w:eastAsia="仿宋_GB2312" w:cs="Times New Roman"/>
          <w:color w:val="auto"/>
          <w:sz w:val="32"/>
          <w:lang w:val="zh-CN"/>
        </w:rPr>
      </w:pPr>
      <w:r>
        <w:rPr>
          <w:rFonts w:hint="default" w:ascii="Times New Roman" w:hAnsi="Times New Roman" w:eastAsia="仿宋_GB2312" w:cs="Times New Roman"/>
          <w:color w:val="auto"/>
          <w:sz w:val="32"/>
        </w:rPr>
        <w:t>省发展改革委是省预算基本建设投资的主管部门，负责省预算内资金安排下达及监管。</w:t>
      </w:r>
      <w:r>
        <w:rPr>
          <w:rFonts w:hint="default" w:ascii="Times New Roman" w:hAnsi="Times New Roman" w:eastAsia="仿宋_GB2312" w:cs="Times New Roman"/>
          <w:color w:val="auto"/>
          <w:spacing w:val="-6"/>
          <w:sz w:val="32"/>
        </w:rPr>
        <w:t>地方发展改革部门</w:t>
      </w:r>
      <w:r>
        <w:rPr>
          <w:rFonts w:hint="default" w:ascii="Times New Roman" w:hAnsi="Times New Roman" w:eastAsia="仿宋_GB2312" w:cs="Times New Roman"/>
          <w:color w:val="auto"/>
          <w:sz w:val="32"/>
        </w:rPr>
        <w:t>、省级</w:t>
      </w:r>
      <w:r>
        <w:rPr>
          <w:rFonts w:hint="default" w:ascii="Times New Roman" w:hAnsi="Times New Roman" w:eastAsia="仿宋_GB2312" w:cs="Times New Roman"/>
          <w:color w:val="auto"/>
          <w:sz w:val="32"/>
          <w:szCs w:val="32"/>
        </w:rPr>
        <w:t>项目主管</w:t>
      </w:r>
      <w:r>
        <w:rPr>
          <w:rFonts w:hint="default" w:ascii="Times New Roman" w:hAnsi="Times New Roman" w:eastAsia="仿宋_GB2312" w:cs="Times New Roman"/>
          <w:color w:val="auto"/>
          <w:sz w:val="32"/>
        </w:rPr>
        <w:t>部门以及项目日常监管的直接责任单位、监管责任人是预算绩效管理的责任主体，负责对项目前期申报、落地实施、工程建设管理、计划执行进度、资金使用与拨付等重点环节进行监督检查，</w:t>
      </w:r>
      <w:r>
        <w:rPr>
          <w:rFonts w:hint="default" w:ascii="Times New Roman" w:hAnsi="Times New Roman" w:eastAsia="仿宋_GB2312" w:cs="Times New Roman"/>
          <w:color w:val="auto"/>
          <w:sz w:val="32"/>
          <w:lang w:val="zh-CN"/>
        </w:rPr>
        <w:t>对绩效目标实现程度进行监督管理，保证政府投资资金的合理使用和项目顺利建设实施。</w:t>
      </w:r>
    </w:p>
    <w:p>
      <w:pPr>
        <w:pageBreakBefore w:val="0"/>
        <w:kinsoku/>
        <w:wordWrap/>
        <w:overflowPunct/>
        <w:topLinePunct w:val="0"/>
        <w:bidi w:val="0"/>
        <w:spacing w:line="560" w:lineRule="exact"/>
        <w:ind w:firstLine="640"/>
        <w:rPr>
          <w:rFonts w:hint="default" w:ascii="Times New Roman" w:hAnsi="Times New Roman" w:eastAsia="楷体_GB2312" w:cs="Times New Roman"/>
          <w:b/>
          <w:bCs w:val="0"/>
          <w:color w:val="auto"/>
          <w:sz w:val="32"/>
          <w:lang w:val="zh-CN"/>
        </w:rPr>
      </w:pPr>
      <w:r>
        <w:rPr>
          <w:rFonts w:hint="default" w:ascii="Times New Roman" w:hAnsi="Times New Roman" w:eastAsia="楷体_GB2312" w:cs="Times New Roman"/>
          <w:b/>
          <w:bCs w:val="0"/>
          <w:color w:val="auto"/>
          <w:sz w:val="32"/>
          <w:lang w:val="zh-CN"/>
        </w:rPr>
        <w:t>（</w:t>
      </w:r>
      <w:r>
        <w:rPr>
          <w:rFonts w:hint="default" w:ascii="Times New Roman" w:hAnsi="Times New Roman" w:eastAsia="楷体_GB2312" w:cs="Times New Roman"/>
          <w:b/>
          <w:bCs w:val="0"/>
          <w:color w:val="auto"/>
          <w:sz w:val="32"/>
        </w:rPr>
        <w:t>三</w:t>
      </w:r>
      <w:r>
        <w:rPr>
          <w:rFonts w:hint="default" w:ascii="Times New Roman" w:hAnsi="Times New Roman" w:eastAsia="楷体_GB2312" w:cs="Times New Roman"/>
          <w:b/>
          <w:bCs w:val="0"/>
          <w:color w:val="auto"/>
          <w:sz w:val="32"/>
          <w:lang w:val="zh-CN"/>
        </w:rPr>
        <w:t>）自评步骤及方法。</w:t>
      </w:r>
    </w:p>
    <w:p>
      <w:pPr>
        <w:pageBreakBefore w:val="0"/>
        <w:kinsoku/>
        <w:wordWrap/>
        <w:overflowPunct/>
        <w:topLinePunct w:val="0"/>
        <w:bidi w:val="0"/>
        <w:spacing w:line="560" w:lineRule="exact"/>
        <w:ind w:firstLine="640"/>
        <w:rPr>
          <w:rFonts w:hint="default" w:ascii="Times New Roman" w:hAnsi="Times New Roman" w:eastAsia="仿宋_GB2312" w:cs="Times New Roman"/>
          <w:color w:val="auto"/>
          <w:kern w:val="0"/>
          <w:sz w:val="32"/>
        </w:rPr>
      </w:pPr>
      <w:r>
        <w:rPr>
          <w:rFonts w:hint="default" w:ascii="Times New Roman" w:hAnsi="Times New Roman" w:eastAsia="仿宋_GB2312" w:cs="Times New Roman"/>
          <w:color w:val="auto"/>
          <w:sz w:val="32"/>
          <w:shd w:val="clear" w:color="auto" w:fill="FFFFFF"/>
        </w:rPr>
        <w:t>成立项目绩效自评工作组，</w:t>
      </w:r>
      <w:r>
        <w:rPr>
          <w:rFonts w:hint="default" w:ascii="Times New Roman" w:hAnsi="Times New Roman" w:eastAsia="仿宋_GB2312" w:cs="Times New Roman"/>
          <w:color w:val="auto"/>
          <w:kern w:val="0"/>
          <w:sz w:val="32"/>
        </w:rPr>
        <w:t>按照前期准备、实施评价、报告撰写三个阶段，会同行业主管部门、相关市（州）组织项目单位通过自查、实地查看、资料核查、</w:t>
      </w:r>
      <w:r>
        <w:rPr>
          <w:rFonts w:hint="default" w:ascii="Times New Roman" w:hAnsi="Times New Roman" w:eastAsia="仿宋_GB2312" w:cs="Times New Roman"/>
          <w:color w:val="auto"/>
          <w:sz w:val="32"/>
        </w:rPr>
        <w:t>座谈询问、</w:t>
      </w:r>
      <w:r>
        <w:rPr>
          <w:rFonts w:hint="default" w:ascii="Times New Roman" w:hAnsi="Times New Roman" w:eastAsia="仿宋_GB2312" w:cs="Times New Roman"/>
          <w:color w:val="auto"/>
          <w:kern w:val="0"/>
          <w:sz w:val="32"/>
        </w:rPr>
        <w:t>“项目一张网”在线监测等方式开展</w:t>
      </w:r>
      <w:r>
        <w:rPr>
          <w:rFonts w:hint="default" w:ascii="Times New Roman" w:hAnsi="Times New Roman" w:eastAsia="仿宋_GB2312" w:cs="Times New Roman"/>
          <w:color w:val="auto"/>
          <w:sz w:val="32"/>
          <w:szCs w:val="32"/>
        </w:rPr>
        <w:t>绩效自评工作。</w:t>
      </w:r>
      <w:r>
        <w:rPr>
          <w:rFonts w:hint="default" w:ascii="Times New Roman" w:hAnsi="Times New Roman" w:eastAsia="仿宋_GB2312" w:cs="Times New Roman"/>
          <w:color w:val="auto"/>
          <w:sz w:val="32"/>
          <w:shd w:val="clear" w:color="auto" w:fill="FFFFFF"/>
        </w:rPr>
        <w:t>对照绩效自评要求，</w:t>
      </w:r>
      <w:r>
        <w:rPr>
          <w:rFonts w:hint="default" w:ascii="Times New Roman" w:hAnsi="Times New Roman" w:eastAsia="仿宋_GB2312" w:cs="Times New Roman"/>
          <w:color w:val="auto"/>
          <w:kern w:val="0"/>
          <w:sz w:val="32"/>
        </w:rPr>
        <w:t>在收集项目文件资料、细化评价指标及评价标准的基础上，实地查看项目建设情况，</w:t>
      </w:r>
      <w:r>
        <w:rPr>
          <w:rFonts w:hint="default" w:ascii="Times New Roman" w:hAnsi="Times New Roman" w:eastAsia="仿宋_GB2312" w:cs="Times New Roman"/>
          <w:color w:val="auto"/>
          <w:sz w:val="32"/>
          <w:szCs w:val="32"/>
          <w:lang w:val="zh-CN"/>
        </w:rPr>
        <w:t>查看项目合同、项目管理资料、核实资金使用情况，</w:t>
      </w:r>
      <w:r>
        <w:rPr>
          <w:rFonts w:hint="default" w:ascii="Times New Roman" w:hAnsi="Times New Roman" w:eastAsia="仿宋_GB2312" w:cs="Times New Roman"/>
          <w:color w:val="auto"/>
          <w:kern w:val="0"/>
          <w:sz w:val="32"/>
        </w:rPr>
        <w:t>收集相关数据资料，</w:t>
      </w:r>
      <w:r>
        <w:rPr>
          <w:rFonts w:hint="default" w:ascii="Times New Roman" w:hAnsi="Times New Roman" w:eastAsia="仿宋_GB2312" w:cs="Times New Roman"/>
          <w:color w:val="auto"/>
          <w:sz w:val="32"/>
          <w:szCs w:val="32"/>
        </w:rPr>
        <w:t>现场核对实际进度情况，和资金</w:t>
      </w:r>
      <w:r>
        <w:rPr>
          <w:rFonts w:hint="default" w:ascii="Times New Roman" w:hAnsi="Times New Roman" w:eastAsia="仿宋_GB2312" w:cs="Times New Roman"/>
          <w:color w:val="auto"/>
          <w:sz w:val="32"/>
          <w:szCs w:val="32"/>
          <w:lang w:val="zh-CN"/>
        </w:rPr>
        <w:t>使用单位沟通交流</w:t>
      </w:r>
      <w:r>
        <w:rPr>
          <w:rFonts w:hint="default" w:ascii="Times New Roman" w:hAnsi="Times New Roman" w:eastAsia="仿宋_GB2312" w:cs="Times New Roman"/>
          <w:color w:val="auto"/>
          <w:kern w:val="0"/>
          <w:sz w:val="32"/>
        </w:rPr>
        <w:t>，定量与定性分析相结合形成自评结论。</w:t>
      </w:r>
    </w:p>
    <w:p>
      <w:pPr>
        <w:pageBreakBefore w:val="0"/>
        <w:kinsoku/>
        <w:wordWrap/>
        <w:overflowPunct/>
        <w:topLinePunct w:val="0"/>
        <w:bidi w:val="0"/>
        <w:adjustRightInd w:val="0"/>
        <w:snapToGrid w:val="0"/>
        <w:spacing w:line="560" w:lineRule="exact"/>
        <w:ind w:firstLine="720"/>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二、资金使用及项目管理情况</w:t>
      </w:r>
    </w:p>
    <w:p>
      <w:pPr>
        <w:pageBreakBefore w:val="0"/>
        <w:kinsoku/>
        <w:wordWrap/>
        <w:overflowPunct/>
        <w:topLinePunct w:val="0"/>
        <w:bidi w:val="0"/>
        <w:spacing w:line="560" w:lineRule="exact"/>
        <w:ind w:firstLine="640"/>
        <w:rPr>
          <w:rFonts w:hint="default" w:ascii="Times New Roman" w:hAnsi="Times New Roman" w:eastAsia="楷体_GB2312" w:cs="Times New Roman"/>
          <w:b/>
          <w:bCs w:val="0"/>
          <w:color w:val="auto"/>
          <w:sz w:val="32"/>
          <w:lang w:val="zh-CN"/>
        </w:rPr>
      </w:pPr>
      <w:r>
        <w:rPr>
          <w:rFonts w:hint="default" w:ascii="Times New Roman" w:hAnsi="Times New Roman" w:eastAsia="楷体_GB2312" w:cs="Times New Roman"/>
          <w:b/>
          <w:bCs w:val="0"/>
          <w:color w:val="auto"/>
          <w:sz w:val="32"/>
          <w:lang w:val="zh-CN"/>
        </w:rPr>
        <w:t>（一）资金安排原则。</w:t>
      </w:r>
    </w:p>
    <w:p>
      <w:pPr>
        <w:pageBreakBefore w:val="0"/>
        <w:kinsoku/>
        <w:wordWrap/>
        <w:overflowPunct/>
        <w:topLinePunct w:val="0"/>
        <w:bidi w:val="0"/>
        <w:spacing w:line="560" w:lineRule="exact"/>
        <w:ind w:firstLine="642" w:firstLineChars="20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b/>
          <w:bCs/>
          <w:color w:val="auto"/>
          <w:sz w:val="32"/>
          <w:szCs w:val="32"/>
          <w:lang w:val="zh-CN"/>
        </w:rPr>
        <w:t>一是进一步优化结构。</w:t>
      </w:r>
      <w:r>
        <w:rPr>
          <w:rFonts w:hint="default" w:ascii="Times New Roman" w:hAnsi="Times New Roman" w:eastAsia="仿宋_GB2312" w:cs="Times New Roman"/>
          <w:color w:val="auto"/>
          <w:sz w:val="32"/>
          <w:szCs w:val="32"/>
          <w:lang w:val="zh-CN"/>
        </w:rPr>
        <w:t>围绕重大基础设施、重大社会事业和民生工程、重点园区和创新平台建设、节能环保与生态建设、其他方面等五大领域，主要安排关乎社会民生福祉的，需政府投资建设的项目，适当支持创新平台建设等。</w:t>
      </w:r>
    </w:p>
    <w:p>
      <w:pPr>
        <w:pageBreakBefore w:val="0"/>
        <w:kinsoku/>
        <w:wordWrap/>
        <w:overflowPunct/>
        <w:topLinePunct w:val="0"/>
        <w:bidi w:val="0"/>
        <w:spacing w:line="560" w:lineRule="exact"/>
        <w:ind w:firstLine="642" w:firstLineChars="20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b/>
          <w:bCs/>
          <w:color w:val="auto"/>
          <w:sz w:val="32"/>
          <w:szCs w:val="32"/>
          <w:lang w:val="zh-CN"/>
        </w:rPr>
        <w:t>二是进一步突出重点。</w:t>
      </w:r>
      <w:r>
        <w:rPr>
          <w:rFonts w:hint="default" w:ascii="Times New Roman" w:hAnsi="Times New Roman" w:eastAsia="仿宋_GB2312" w:cs="Times New Roman"/>
          <w:color w:val="auto"/>
          <w:sz w:val="32"/>
          <w:szCs w:val="32"/>
          <w:lang w:val="zh-CN"/>
        </w:rPr>
        <w:t>省预算内投资集中力量办大事，重点安排省委、省政府确定支持的重大项目，以及中央预算内投资项目规定或承诺的配套。加强与部门沟通衔接，结合部门职能职责进行差异化支持。</w:t>
      </w:r>
    </w:p>
    <w:p>
      <w:pPr>
        <w:pageBreakBefore w:val="0"/>
        <w:kinsoku/>
        <w:wordWrap/>
        <w:overflowPunct/>
        <w:topLinePunct w:val="0"/>
        <w:bidi w:val="0"/>
        <w:spacing w:line="560" w:lineRule="exact"/>
        <w:ind w:firstLine="640"/>
        <w:rPr>
          <w:rFonts w:hint="default" w:ascii="Times New Roman" w:hAnsi="Times New Roman" w:eastAsia="楷体_GB2312" w:cs="Times New Roman"/>
          <w:b/>
          <w:bCs w:val="0"/>
          <w:color w:val="auto"/>
          <w:sz w:val="32"/>
          <w:lang w:val="zh-CN"/>
        </w:rPr>
      </w:pPr>
      <w:r>
        <w:rPr>
          <w:rFonts w:hint="default" w:ascii="Times New Roman" w:hAnsi="Times New Roman" w:eastAsia="楷体_GB2312" w:cs="Times New Roman"/>
          <w:b/>
          <w:bCs w:val="0"/>
          <w:color w:val="auto"/>
          <w:sz w:val="32"/>
          <w:lang w:val="zh-CN"/>
        </w:rPr>
        <w:t>（二）资金计划、到位及使用情况。</w:t>
      </w:r>
    </w:p>
    <w:p>
      <w:pPr>
        <w:pageBreakBefore w:val="0"/>
        <w:kinsoku/>
        <w:wordWrap/>
        <w:overflowPunct/>
        <w:topLinePunct w:val="0"/>
        <w:bidi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2021年省预算内投资总盘子70亿元</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主要安排五大领域，具体情况为：</w:t>
      </w:r>
    </w:p>
    <w:p>
      <w:pPr>
        <w:pageBreakBefore w:val="0"/>
        <w:numPr>
          <w:ilvl w:val="0"/>
          <w:numId w:val="0"/>
        </w:numPr>
        <w:kinsoku/>
        <w:wordWrap/>
        <w:overflowPunct/>
        <w:topLinePunct w:val="0"/>
        <w:bidi w:val="0"/>
        <w:spacing w:line="560" w:lineRule="exact"/>
        <w:ind w:firstLine="642" w:firstLineChars="200"/>
        <w:rPr>
          <w:rFonts w:hint="default" w:ascii="Times New Roman" w:hAnsi="Times New Roman" w:eastAsia="仿宋_GB2312" w:cs="Times New Roman"/>
          <w:b/>
          <w:bCs/>
          <w:color w:val="auto"/>
          <w:sz w:val="32"/>
          <w:szCs w:val="22"/>
        </w:rPr>
      </w:pPr>
      <w:r>
        <w:rPr>
          <w:rFonts w:hint="default" w:ascii="Times New Roman" w:hAnsi="Times New Roman" w:eastAsia="仿宋_GB2312" w:cs="Times New Roman"/>
          <w:b/>
          <w:bCs/>
          <w:color w:val="auto"/>
          <w:sz w:val="32"/>
          <w:szCs w:val="32"/>
          <w:lang w:val="en"/>
        </w:rPr>
        <w:t>1.</w:t>
      </w:r>
      <w:r>
        <w:rPr>
          <w:rFonts w:hint="default" w:ascii="Times New Roman" w:hAnsi="Times New Roman" w:eastAsia="仿宋_GB2312" w:cs="Times New Roman"/>
          <w:b/>
          <w:bCs/>
          <w:color w:val="auto"/>
          <w:sz w:val="32"/>
          <w:szCs w:val="32"/>
        </w:rPr>
        <w:t>重大基础设施29.2亿元，占总盘子的41.7%。</w:t>
      </w:r>
      <w:r>
        <w:rPr>
          <w:rFonts w:hint="default" w:ascii="Times New Roman" w:hAnsi="Times New Roman" w:eastAsia="仿宋_GB2312" w:cs="Times New Roman"/>
          <w:color w:val="auto"/>
          <w:sz w:val="32"/>
          <w:szCs w:val="32"/>
        </w:rPr>
        <w:t>安排铁路建设专项、镇巴（川陕界）至广安高速公路王坪至通江段、乐西高速公路马边至昭觉段、国道317线友谊隧道至映秀改建工程、川陕革命根据地红军烈士陵园交通专项、天府国际机场口岸检查检验及配套设施设备项目、岷江老木孔航电枢纽工程、天府农业博览园主展馆、省种质资源中心库、省气象灾害监测预警体系建设、森林航空消防基础设施建设、两项改革“后半篇”文章推动农村电网改造升级工程、</w:t>
      </w:r>
      <w:r>
        <w:rPr>
          <w:rFonts w:hint="default" w:ascii="Times New Roman" w:hAnsi="Times New Roman" w:eastAsia="仿宋_GB2312" w:cs="Times New Roman"/>
          <w:color w:val="auto"/>
          <w:sz w:val="32"/>
          <w:szCs w:val="22"/>
        </w:rPr>
        <w:t>重</w:t>
      </w:r>
      <w:r>
        <w:rPr>
          <w:rFonts w:hint="default" w:ascii="Times New Roman" w:hAnsi="Times New Roman" w:eastAsia="仿宋_GB2312" w:cs="Times New Roman"/>
          <w:color w:val="auto"/>
          <w:spacing w:val="-6"/>
          <w:sz w:val="32"/>
          <w:szCs w:val="32"/>
        </w:rPr>
        <w:t>大水利基础设施</w:t>
      </w:r>
      <w:r>
        <w:rPr>
          <w:rFonts w:hint="default" w:ascii="Times New Roman" w:hAnsi="Times New Roman" w:eastAsia="仿宋_GB2312" w:cs="Times New Roman"/>
          <w:color w:val="auto"/>
          <w:sz w:val="32"/>
          <w:szCs w:val="32"/>
        </w:rPr>
        <w:t>、中小河流水文监测系统等其他水利基础设施、煤矿安全改造、排水设施建设、</w:t>
      </w:r>
      <w:r>
        <w:rPr>
          <w:rFonts w:hint="default" w:ascii="Times New Roman" w:hAnsi="Times New Roman" w:eastAsia="仿宋_GB2312" w:cs="Times New Roman"/>
          <w:color w:val="auto"/>
          <w:sz w:val="32"/>
          <w:szCs w:val="22"/>
        </w:rPr>
        <w:t>县城新型城镇化建设示范县暨小县优城创建试点建设、充电基础设施建设、县域经济强县培育等。</w:t>
      </w:r>
    </w:p>
    <w:p>
      <w:pPr>
        <w:pageBreakBefore w:val="0"/>
        <w:kinsoku/>
        <w:wordWrap/>
        <w:overflowPunct/>
        <w:topLinePunct w:val="0"/>
        <w:bidi w:val="0"/>
        <w:spacing w:line="560" w:lineRule="exact"/>
        <w:ind w:firstLine="64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2.社会事业和民生工程27.5亿元，占总盘子的39.3%。</w:t>
      </w:r>
      <w:r>
        <w:rPr>
          <w:rFonts w:hint="default" w:ascii="Times New Roman" w:hAnsi="Times New Roman" w:eastAsia="仿宋_GB2312" w:cs="Times New Roman"/>
          <w:color w:val="auto"/>
          <w:sz w:val="32"/>
          <w:szCs w:val="32"/>
        </w:rPr>
        <w:t>安排四川省公共卫生综合临床中心、四川省老年医学中心二期、华西生物学研究与转化中心生物安全实验室、四川省中医药科学院国家中医药传承创新工程、成都中医药大学附属第二医院一期、</w:t>
      </w:r>
      <w:r>
        <w:rPr>
          <w:rFonts w:hint="default" w:ascii="Times New Roman" w:hAnsi="Times New Roman" w:eastAsia="仿宋_GB2312" w:cs="Times New Roman"/>
          <w:color w:val="auto"/>
          <w:sz w:val="32"/>
          <w:szCs w:val="32"/>
          <w:lang w:eastAsia="zh-CN"/>
        </w:rPr>
        <w:t>四川</w:t>
      </w:r>
      <w:r>
        <w:rPr>
          <w:rFonts w:hint="default" w:ascii="Times New Roman" w:hAnsi="Times New Roman" w:eastAsia="仿宋_GB2312" w:cs="Times New Roman"/>
          <w:color w:val="auto"/>
          <w:sz w:val="32"/>
          <w:szCs w:val="32"/>
        </w:rPr>
        <w:t>省第五人民医院医疗业务用房及配套设施改造、成都中医药大学附属医院防疫应急通道及环境改造建设、四川音乐学院音乐艺术大楼建设、四川体育职业学院太平寺校区教学综合楼建设、天府新区省级文化中心、</w:t>
      </w:r>
      <w:r>
        <w:rPr>
          <w:rFonts w:hint="default" w:ascii="Times New Roman" w:hAnsi="Times New Roman" w:eastAsia="仿宋_GB2312" w:cs="Times New Roman"/>
          <w:color w:val="auto"/>
          <w:sz w:val="32"/>
          <w:szCs w:val="32"/>
          <w:lang w:eastAsia="zh-CN"/>
        </w:rPr>
        <w:t>四川</w:t>
      </w:r>
      <w:r>
        <w:rPr>
          <w:rFonts w:hint="default" w:ascii="Times New Roman" w:hAnsi="Times New Roman" w:eastAsia="仿宋_GB2312" w:cs="Times New Roman"/>
          <w:color w:val="auto"/>
          <w:sz w:val="32"/>
          <w:szCs w:val="32"/>
        </w:rPr>
        <w:t>省妇女儿童中心、国家西南区域应急救援中心、四川省区域应急救援基地、四川省应急救援总队基地建设、</w:t>
      </w:r>
      <w:r>
        <w:rPr>
          <w:rFonts w:hint="default" w:ascii="Times New Roman" w:hAnsi="Times New Roman" w:eastAsia="仿宋_GB2312" w:cs="Times New Roman"/>
          <w:color w:val="auto"/>
          <w:sz w:val="32"/>
          <w:szCs w:val="32"/>
          <w:lang w:val="en-US" w:eastAsia="zh-CN"/>
        </w:rPr>
        <w:t>四川</w:t>
      </w:r>
      <w:r>
        <w:rPr>
          <w:rFonts w:hint="default" w:ascii="Times New Roman" w:hAnsi="Times New Roman" w:eastAsia="仿宋_GB2312" w:cs="Times New Roman"/>
          <w:color w:val="auto"/>
          <w:sz w:val="32"/>
          <w:szCs w:val="32"/>
        </w:rPr>
        <w:t>省自然资源基础信息平台、四川省应急管理信息化建设、四川省森林草原火情监测即报系统、暴雨洪涝灾害灾后恢复重建，公共实训基地、卫生健康领域、综合防灾减灾能力建设等专项中央预算内投资配套，以工代赈、妇女居家灵活就业示范基地等。</w:t>
      </w:r>
    </w:p>
    <w:p>
      <w:pPr>
        <w:pageBreakBefore w:val="0"/>
        <w:kinsoku/>
        <w:wordWrap/>
        <w:overflowPunct/>
        <w:topLinePunct w:val="0"/>
        <w:bidi w:val="0"/>
        <w:spacing w:line="560" w:lineRule="exact"/>
        <w:ind w:firstLine="64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3.重点园区和创新平台8.9亿元，占总盘子的12.7%。</w:t>
      </w:r>
      <w:r>
        <w:rPr>
          <w:rFonts w:hint="default" w:ascii="Times New Roman" w:hAnsi="Times New Roman" w:eastAsia="仿宋_GB2312" w:cs="Times New Roman"/>
          <w:color w:val="auto"/>
          <w:sz w:val="32"/>
          <w:szCs w:val="32"/>
        </w:rPr>
        <w:t>安排省级新区高质量发展、转化医学国家重大科技基础设施（四川）、多态耦合轨道交通动模试验平台、柔性基底微纳结构成像装置、省药品医疗器械检验检测能力提升项目、四川省1：1万无图区域测图工程、完善空间定位基准现代化建设、国家企业技术中心创新能力建设、国家地方联合工程研究中心（工程实验室）创新能力建设、省级工程实验室创新能力建设等。</w:t>
      </w:r>
    </w:p>
    <w:p>
      <w:pPr>
        <w:pageBreakBefore w:val="0"/>
        <w:kinsoku/>
        <w:wordWrap/>
        <w:overflowPunct/>
        <w:topLinePunct w:val="0"/>
        <w:bidi w:val="0"/>
        <w:spacing w:line="560" w:lineRule="exact"/>
        <w:ind w:firstLine="64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4.节能环保与生态建设2.3亿元，占总盘子的3.3%。</w:t>
      </w:r>
      <w:r>
        <w:rPr>
          <w:rFonts w:hint="default" w:ascii="Times New Roman" w:hAnsi="Times New Roman" w:eastAsia="仿宋_GB2312" w:cs="Times New Roman"/>
          <w:color w:val="auto"/>
          <w:sz w:val="32"/>
          <w:szCs w:val="32"/>
        </w:rPr>
        <w:t>安排农村生活污水治理“千村示范工程”、园区循环化改造、资源循环利用基地、碳达峰碳中和基础工作。</w:t>
      </w:r>
    </w:p>
    <w:p>
      <w:pPr>
        <w:pageBreakBefore w:val="0"/>
        <w:kinsoku/>
        <w:wordWrap/>
        <w:overflowPunct/>
        <w:topLinePunct w:val="0"/>
        <w:bidi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5.其他方面2.1亿元，占总盘子的3%。</w:t>
      </w:r>
      <w:r>
        <w:rPr>
          <w:rFonts w:hint="default" w:ascii="Times New Roman" w:hAnsi="Times New Roman" w:eastAsia="仿宋_GB2312" w:cs="Times New Roman"/>
          <w:color w:val="auto"/>
          <w:sz w:val="32"/>
          <w:szCs w:val="32"/>
        </w:rPr>
        <w:t>安排政府投资项目评审、企业投资项目事中事后监管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全省投资及重大项目监测管理和咨询评估支撑服务</w:t>
      </w:r>
      <w:r>
        <w:rPr>
          <w:rFonts w:hint="default"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rPr>
        <w:t>。</w:t>
      </w:r>
    </w:p>
    <w:p>
      <w:pPr>
        <w:pageBreakBefore w:val="0"/>
        <w:kinsoku/>
        <w:wordWrap/>
        <w:overflowPunct/>
        <w:topLinePunct w:val="0"/>
        <w:bidi w:val="0"/>
        <w:adjustRightInd w:val="0"/>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rPr>
        <w:t>省预算内基本建设投资均及时安排下达到位，资金总体使用情况良好，</w:t>
      </w:r>
      <w:r>
        <w:rPr>
          <w:rFonts w:hint="default" w:ascii="Times New Roman" w:hAnsi="Times New Roman" w:eastAsia="仿宋_GB2312" w:cs="Times New Roman"/>
          <w:color w:val="auto"/>
          <w:sz w:val="32"/>
          <w:szCs w:val="32"/>
        </w:rPr>
        <w:t>项目形象进度较好。</w:t>
      </w:r>
    </w:p>
    <w:p>
      <w:pPr>
        <w:pageBreakBefore w:val="0"/>
        <w:kinsoku/>
        <w:wordWrap/>
        <w:overflowPunct/>
        <w:topLinePunct w:val="0"/>
        <w:bidi w:val="0"/>
        <w:spacing w:line="560" w:lineRule="exact"/>
        <w:ind w:firstLine="640"/>
        <w:rPr>
          <w:rFonts w:hint="default" w:ascii="Times New Roman" w:hAnsi="Times New Roman" w:eastAsia="楷体_GB2312" w:cs="Times New Roman"/>
          <w:b/>
          <w:bCs w:val="0"/>
          <w:color w:val="auto"/>
          <w:sz w:val="32"/>
          <w:lang w:val="zh-CN"/>
        </w:rPr>
      </w:pPr>
      <w:r>
        <w:rPr>
          <w:rFonts w:hint="default" w:ascii="Times New Roman" w:hAnsi="Times New Roman" w:eastAsia="楷体_GB2312" w:cs="Times New Roman"/>
          <w:b/>
          <w:bCs w:val="0"/>
          <w:color w:val="auto"/>
          <w:sz w:val="32"/>
          <w:lang w:val="zh-CN"/>
        </w:rPr>
        <w:t>（三）项目财务管理情况。</w:t>
      </w:r>
    </w:p>
    <w:p>
      <w:pPr>
        <w:pageBreakBefore w:val="0"/>
        <w:kinsoku/>
        <w:wordWrap/>
        <w:overflowPunct/>
        <w:topLinePunct w:val="0"/>
        <w:bidi w:val="0"/>
        <w:adjustRightInd w:val="0"/>
        <w:snapToGrid w:val="0"/>
        <w:spacing w:line="560" w:lineRule="exact"/>
        <w:ind w:firstLine="64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32"/>
          <w:lang w:val="zh-CN"/>
        </w:rPr>
        <w:t>项目实施单位严格执行相关法律法规及项目管理制度，按照年度投资计划下达的建设任务组织实施，</w:t>
      </w:r>
      <w:r>
        <w:rPr>
          <w:rFonts w:hint="default" w:ascii="Times New Roman" w:hAnsi="Times New Roman" w:eastAsia="仿宋_GB2312" w:cs="Times New Roman"/>
          <w:color w:val="auto"/>
          <w:sz w:val="32"/>
          <w:szCs w:val="32"/>
        </w:rPr>
        <w:t>财务管理制度健全。</w:t>
      </w:r>
      <w:r>
        <w:rPr>
          <w:rFonts w:hint="default" w:ascii="Times New Roman" w:hAnsi="Times New Roman" w:eastAsia="仿宋_GB2312" w:cs="Times New Roman"/>
          <w:color w:val="auto"/>
          <w:sz w:val="32"/>
          <w:szCs w:val="32"/>
          <w:lang w:val="zh-CN"/>
        </w:rPr>
        <w:t>严格</w:t>
      </w:r>
      <w:r>
        <w:rPr>
          <w:rFonts w:hint="default" w:ascii="Times New Roman" w:hAnsi="Times New Roman" w:eastAsia="仿宋_GB2312" w:cs="Times New Roman"/>
          <w:color w:val="auto"/>
          <w:sz w:val="32"/>
          <w:szCs w:val="32"/>
        </w:rPr>
        <w:t>落实</w:t>
      </w:r>
      <w:r>
        <w:rPr>
          <w:rFonts w:hint="default" w:ascii="Times New Roman" w:hAnsi="Times New Roman" w:eastAsia="仿宋_GB2312" w:cs="Times New Roman"/>
          <w:color w:val="auto"/>
          <w:sz w:val="32"/>
          <w:szCs w:val="32"/>
          <w:lang w:val="zh-CN"/>
        </w:rPr>
        <w:t>财务管理制度，严格执行财务管理制度，</w:t>
      </w:r>
      <w:r>
        <w:rPr>
          <w:rFonts w:hint="default" w:ascii="Times New Roman" w:hAnsi="Times New Roman" w:eastAsia="仿宋_GB2312" w:cs="Times New Roman"/>
          <w:color w:val="auto"/>
          <w:sz w:val="32"/>
        </w:rPr>
        <w:t>报销手续规范齐全，</w:t>
      </w:r>
      <w:r>
        <w:rPr>
          <w:rFonts w:hint="default" w:ascii="Times New Roman" w:hAnsi="Times New Roman" w:eastAsia="仿宋_GB2312" w:cs="Times New Roman"/>
          <w:color w:val="auto"/>
          <w:sz w:val="32"/>
          <w:szCs w:val="32"/>
          <w:lang w:val="zh-CN"/>
        </w:rPr>
        <w:t>财务处理及时，</w:t>
      </w:r>
      <w:r>
        <w:rPr>
          <w:rFonts w:hint="default" w:ascii="Times New Roman" w:hAnsi="Times New Roman" w:eastAsia="仿宋_GB2312" w:cs="Times New Roman"/>
          <w:color w:val="auto"/>
          <w:sz w:val="32"/>
        </w:rPr>
        <w:t>严格按照《政府会计准则》《政府会计制度》进行会计核算，</w:t>
      </w:r>
      <w:r>
        <w:rPr>
          <w:rFonts w:hint="default" w:ascii="Times New Roman" w:hAnsi="Times New Roman" w:eastAsia="仿宋_GB2312" w:cs="Times New Roman"/>
          <w:color w:val="auto"/>
          <w:sz w:val="32"/>
          <w:szCs w:val="32"/>
        </w:rPr>
        <w:t>会计</w:t>
      </w:r>
      <w:r>
        <w:rPr>
          <w:rFonts w:hint="default" w:ascii="Times New Roman" w:hAnsi="Times New Roman" w:eastAsia="仿宋_GB2312" w:cs="Times New Roman"/>
          <w:color w:val="auto"/>
          <w:sz w:val="32"/>
          <w:szCs w:val="32"/>
          <w:lang w:val="zh-CN"/>
        </w:rPr>
        <w:t>核算规范。</w:t>
      </w:r>
      <w:r>
        <w:rPr>
          <w:rFonts w:hint="default" w:ascii="Times New Roman" w:hAnsi="Times New Roman" w:eastAsia="仿宋_GB2312" w:cs="Times New Roman"/>
          <w:color w:val="auto"/>
          <w:sz w:val="32"/>
          <w:szCs w:val="32"/>
        </w:rPr>
        <w:t>落实</w:t>
      </w:r>
      <w:r>
        <w:rPr>
          <w:rFonts w:hint="default" w:ascii="Times New Roman" w:hAnsi="Times New Roman" w:eastAsia="仿宋_GB2312" w:cs="Times New Roman"/>
          <w:color w:val="auto"/>
          <w:sz w:val="32"/>
          <w:szCs w:val="32"/>
          <w:lang w:val="zh-CN"/>
        </w:rPr>
        <w:t>专款专用</w:t>
      </w:r>
      <w:r>
        <w:rPr>
          <w:rFonts w:hint="default" w:ascii="Times New Roman" w:hAnsi="Times New Roman" w:eastAsia="仿宋_GB2312" w:cs="Times New Roman"/>
          <w:color w:val="auto"/>
          <w:sz w:val="32"/>
          <w:szCs w:val="32"/>
        </w:rPr>
        <w:t>要求</w:t>
      </w:r>
      <w:r>
        <w:rPr>
          <w:rFonts w:hint="default" w:ascii="Times New Roman" w:hAnsi="Times New Roman" w:eastAsia="仿宋_GB2312" w:cs="Times New Roman"/>
          <w:color w:val="auto"/>
          <w:sz w:val="32"/>
          <w:szCs w:val="32"/>
          <w:lang w:val="zh-CN"/>
        </w:rPr>
        <w:t>，资金发放复查由财务人员按照财务制度进行资金的审核、支付和核算，所有支出均以转账方式进行，在具体支付时，具备了资金发票、合同、验收清单等相关材料，手续完善，不存在虚假会计凭证的情况。</w:t>
      </w:r>
      <w:r>
        <w:rPr>
          <w:rFonts w:hint="default" w:ascii="Times New Roman" w:hAnsi="Times New Roman" w:eastAsia="仿宋_GB2312" w:cs="Times New Roman"/>
          <w:color w:val="auto"/>
          <w:sz w:val="32"/>
          <w:szCs w:val="32"/>
        </w:rPr>
        <w:t>未发现</w:t>
      </w:r>
      <w:r>
        <w:rPr>
          <w:rFonts w:hint="default" w:ascii="Times New Roman" w:hAnsi="Times New Roman" w:eastAsia="仿宋_GB2312" w:cs="Times New Roman"/>
          <w:color w:val="auto"/>
          <w:sz w:val="32"/>
          <w:szCs w:val="32"/>
          <w:lang w:val="zh-CN"/>
        </w:rPr>
        <w:t>项目实施单位</w:t>
      </w:r>
      <w:r>
        <w:rPr>
          <w:rFonts w:hint="default" w:ascii="Times New Roman" w:hAnsi="Times New Roman" w:eastAsia="仿宋_GB2312" w:cs="Times New Roman"/>
          <w:color w:val="auto"/>
          <w:sz w:val="32"/>
          <w:szCs w:val="32"/>
        </w:rPr>
        <w:t>挪用、截留、滞留、挤占或置换工程专项资金的情况。</w:t>
      </w:r>
    </w:p>
    <w:p>
      <w:pPr>
        <w:pageBreakBefore w:val="0"/>
        <w:kinsoku/>
        <w:wordWrap/>
        <w:overflowPunct/>
        <w:topLinePunct w:val="0"/>
        <w:bidi w:val="0"/>
        <w:spacing w:line="560" w:lineRule="exact"/>
        <w:ind w:firstLine="640"/>
        <w:rPr>
          <w:rFonts w:hint="default" w:ascii="Times New Roman" w:hAnsi="Times New Roman" w:eastAsia="楷体_GB2312" w:cs="Times New Roman"/>
          <w:b/>
          <w:bCs w:val="0"/>
          <w:color w:val="auto"/>
          <w:sz w:val="32"/>
        </w:rPr>
      </w:pPr>
      <w:r>
        <w:rPr>
          <w:rFonts w:hint="default" w:ascii="Times New Roman" w:hAnsi="Times New Roman" w:eastAsia="楷体_GB2312" w:cs="Times New Roman"/>
          <w:b/>
          <w:bCs w:val="0"/>
          <w:color w:val="auto"/>
          <w:sz w:val="32"/>
        </w:rPr>
        <w:t>（四）项目监管情况。</w:t>
      </w:r>
    </w:p>
    <w:p>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各地各部门</w:t>
      </w:r>
      <w:r>
        <w:rPr>
          <w:rFonts w:hint="default" w:ascii="Times New Roman" w:hAnsi="Times New Roman" w:eastAsia="仿宋_GB2312" w:cs="Times New Roman"/>
          <w:color w:val="auto"/>
          <w:sz w:val="32"/>
          <w:szCs w:val="32"/>
          <w:lang w:val="zh-CN"/>
        </w:rPr>
        <w:t>明确各自职能职责，严格落实投资计划执行和项目实施日常监管直接责任，全面压实项目业主单位主体责任，</w:t>
      </w:r>
      <w:r>
        <w:rPr>
          <w:rFonts w:hint="default" w:ascii="Times New Roman" w:hAnsi="Times New Roman" w:eastAsia="仿宋_GB2312" w:cs="Times New Roman"/>
          <w:color w:val="auto"/>
          <w:sz w:val="32"/>
        </w:rPr>
        <w:t>落细落实项目资金管理、档案管理、质量监管、安全施工、公开公示、信息化管理等日常工作，做到资金到项目、管理到项目、核算到项目、责任到项目。</w:t>
      </w:r>
      <w:r>
        <w:rPr>
          <w:rFonts w:hint="default" w:ascii="Times New Roman" w:hAnsi="Times New Roman" w:eastAsia="仿宋_GB2312" w:cs="Times New Roman"/>
          <w:color w:val="auto"/>
          <w:sz w:val="32"/>
          <w:szCs w:val="32"/>
          <w:lang w:val="zh-CN"/>
        </w:rPr>
        <w:t>各相关实施单位严格执行相关法律法规及项目管理制度，严格按照法律法规实施招投标、政府采购、项目公示制等相关规定</w:t>
      </w:r>
      <w:r>
        <w:rPr>
          <w:rFonts w:hint="default" w:ascii="Times New Roman" w:hAnsi="Times New Roman" w:eastAsia="仿宋_GB2312" w:cs="Times New Roman"/>
          <w:color w:val="auto"/>
          <w:sz w:val="32"/>
          <w:szCs w:val="32"/>
        </w:rPr>
        <w:t>实施。</w:t>
      </w:r>
    </w:p>
    <w:p>
      <w:pPr>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业主单位成立相应的项目管理机构，负责具体组织实施和管理项目建设，细化管理，确定质量、进度、安全生产责任人，确定质量目标、工期目标、安全目标，落实相关管理人员的岗位职责。认真做好年度项目建设工作的组织与实施，及时报告建设进度、安全生产、质量管理、工作建议以及存在问题等情况。各地</w:t>
      </w:r>
      <w:r>
        <w:rPr>
          <w:rFonts w:hint="default" w:ascii="Times New Roman" w:hAnsi="Times New Roman" w:eastAsia="仿宋_GB2312" w:cs="Times New Roman"/>
          <w:color w:val="auto"/>
          <w:sz w:val="32"/>
          <w:szCs w:val="32"/>
          <w:lang w:val="zh-CN"/>
        </w:rPr>
        <w:t>采取督促自查、实地调研抽查、联合有关部门不定期检查、专项督导、在线监测等多种方式对项目进行全过程监管，</w:t>
      </w:r>
      <w:r>
        <w:rPr>
          <w:rFonts w:hint="default" w:ascii="Times New Roman" w:hAnsi="Times New Roman" w:eastAsia="仿宋_GB2312" w:cs="Times New Roman"/>
          <w:color w:val="auto"/>
          <w:sz w:val="32"/>
          <w:szCs w:val="32"/>
        </w:rPr>
        <w:t>开展现场调研指导，协调解决问题，确保</w:t>
      </w:r>
      <w:r>
        <w:rPr>
          <w:rFonts w:hint="default" w:ascii="Times New Roman" w:hAnsi="Times New Roman" w:eastAsia="仿宋_GB2312" w:cs="Times New Roman"/>
          <w:color w:val="auto"/>
          <w:sz w:val="32"/>
          <w:szCs w:val="32"/>
          <w:lang w:val="zh-CN"/>
        </w:rPr>
        <w:t>项目资金合理使用和</w:t>
      </w:r>
      <w:r>
        <w:rPr>
          <w:rFonts w:hint="default" w:ascii="Times New Roman" w:hAnsi="Times New Roman" w:eastAsia="仿宋_GB2312" w:cs="Times New Roman"/>
          <w:color w:val="auto"/>
          <w:sz w:val="32"/>
          <w:szCs w:val="32"/>
        </w:rPr>
        <w:t>项目顺利实施。业主单位每月10日前通过四川省投资项目管理平台（即“项目一张网”）在线调度。</w:t>
      </w:r>
    </w:p>
    <w:p>
      <w:pPr>
        <w:pageBreakBefore w:val="0"/>
        <w:kinsoku/>
        <w:wordWrap/>
        <w:overflowPunct/>
        <w:topLinePunct w:val="0"/>
        <w:bidi w:val="0"/>
        <w:adjustRightInd w:val="0"/>
        <w:snapToGrid w:val="0"/>
        <w:spacing w:line="560" w:lineRule="exact"/>
        <w:ind w:firstLine="720"/>
        <w:rPr>
          <w:rFonts w:hint="default" w:ascii="Times New Roman" w:hAnsi="Times New Roman" w:eastAsia="仿宋_GB2312" w:cs="Times New Roman"/>
          <w:color w:val="auto"/>
          <w:sz w:val="32"/>
          <w:lang w:val="zh-CN"/>
        </w:rPr>
      </w:pPr>
      <w:r>
        <w:rPr>
          <w:rFonts w:hint="default" w:ascii="Times New Roman" w:hAnsi="Times New Roman" w:eastAsia="黑体" w:cs="Times New Roman"/>
          <w:color w:val="auto"/>
          <w:sz w:val="32"/>
        </w:rPr>
        <w:t>三、绩效自评情况</w:t>
      </w:r>
      <w:r>
        <w:rPr>
          <w:rFonts w:hint="default" w:ascii="Times New Roman" w:hAnsi="Times New Roman" w:eastAsia="仿宋_GB2312" w:cs="Times New Roman"/>
          <w:color w:val="auto"/>
          <w:sz w:val="32"/>
          <w:lang w:val="zh-CN"/>
        </w:rPr>
        <w:tab/>
      </w:r>
    </w:p>
    <w:p>
      <w:pPr>
        <w:pageBreakBefore w:val="0"/>
        <w:kinsoku/>
        <w:wordWrap/>
        <w:overflowPunct/>
        <w:topLinePunct w:val="0"/>
        <w:bidi w:val="0"/>
        <w:spacing w:line="560" w:lineRule="exact"/>
        <w:ind w:firstLine="640"/>
        <w:rPr>
          <w:rFonts w:hint="default" w:ascii="Times New Roman" w:hAnsi="Times New Roman" w:eastAsia="楷体_GB2312" w:cs="Times New Roman"/>
          <w:b/>
          <w:bCs w:val="0"/>
          <w:color w:val="auto"/>
          <w:sz w:val="32"/>
          <w:lang w:val="zh-CN"/>
        </w:rPr>
      </w:pPr>
      <w:r>
        <w:rPr>
          <w:rFonts w:hint="default" w:ascii="Times New Roman" w:hAnsi="Times New Roman" w:eastAsia="楷体_GB2312" w:cs="Times New Roman"/>
          <w:b/>
          <w:bCs w:val="0"/>
          <w:color w:val="auto"/>
          <w:sz w:val="32"/>
          <w:lang w:val="zh-CN"/>
        </w:rPr>
        <w:t>（一）项目实施顺利。</w:t>
      </w:r>
    </w:p>
    <w:p>
      <w:pPr>
        <w:pageBreakBefore w:val="0"/>
        <w:kinsoku/>
        <w:wordWrap/>
        <w:overflowPunct/>
        <w:topLinePunct w:val="0"/>
        <w:bidi w:val="0"/>
        <w:adjustRightInd w:val="0"/>
        <w:snapToGrid w:val="0"/>
        <w:spacing w:line="560" w:lineRule="exact"/>
        <w:ind w:firstLine="720"/>
        <w:rPr>
          <w:rFonts w:hint="default" w:ascii="Times New Roman" w:hAnsi="Times New Roman" w:eastAsia="楷体_GB2312" w:cs="Times New Roman"/>
          <w:b/>
          <w:color w:val="auto"/>
          <w:sz w:val="32"/>
          <w:lang w:val="zh-CN"/>
        </w:rPr>
      </w:pPr>
      <w:r>
        <w:rPr>
          <w:rFonts w:hint="default" w:ascii="Times New Roman" w:hAnsi="Times New Roman" w:eastAsia="仿宋_GB2312" w:cs="Times New Roman"/>
          <w:color w:val="auto"/>
          <w:sz w:val="32"/>
          <w:szCs w:val="32"/>
        </w:rPr>
        <w:t>总体看，2021年省预算内基本建设投资项目按规划计划顺利实施，完成预期建设任务，项目如期开工，在建项目正加快建设进度，实施进度良好，资金到位率100%。部分重大项目以及关系社会民生的项目基本完工并投入运行使用，如全省2021年度四川省公（专）用充电基础设施</w:t>
      </w:r>
      <w:r>
        <w:rPr>
          <w:rFonts w:hint="default" w:ascii="Times New Roman" w:hAnsi="Times New Roman" w:eastAsia="仿宋_GB2312" w:cs="Times New Roman"/>
          <w:color w:val="auto"/>
          <w:sz w:val="32"/>
          <w:szCs w:val="32"/>
          <w:lang w:val="zh-CN"/>
        </w:rPr>
        <w:t>项目共</w:t>
      </w:r>
      <w:r>
        <w:rPr>
          <w:rFonts w:hint="default" w:ascii="Times New Roman" w:hAnsi="Times New Roman" w:eastAsia="仿宋_GB2312" w:cs="Times New Roman"/>
          <w:color w:val="auto"/>
          <w:sz w:val="32"/>
          <w:szCs w:val="32"/>
        </w:rPr>
        <w:t>100</w:t>
      </w:r>
      <w:r>
        <w:rPr>
          <w:rFonts w:hint="default" w:ascii="Times New Roman" w:hAnsi="Times New Roman" w:eastAsia="仿宋_GB2312" w:cs="Times New Roman"/>
          <w:color w:val="auto"/>
          <w:sz w:val="32"/>
          <w:szCs w:val="32"/>
          <w:lang w:val="zh-CN"/>
        </w:rPr>
        <w:t>个，均</w:t>
      </w:r>
      <w:r>
        <w:rPr>
          <w:rFonts w:hint="default" w:ascii="Times New Roman" w:hAnsi="Times New Roman" w:eastAsia="仿宋_GB2312" w:cs="Times New Roman"/>
          <w:color w:val="auto"/>
          <w:sz w:val="32"/>
          <w:szCs w:val="32"/>
        </w:rPr>
        <w:t>已</w:t>
      </w:r>
      <w:r>
        <w:rPr>
          <w:rFonts w:hint="default" w:ascii="Times New Roman" w:hAnsi="Times New Roman" w:eastAsia="仿宋_GB2312" w:cs="Times New Roman"/>
          <w:color w:val="auto"/>
          <w:sz w:val="32"/>
          <w:szCs w:val="32"/>
          <w:lang w:val="zh-CN"/>
        </w:rPr>
        <w:t>完成目标任务建设、验收、通电、投运及联网，镇巴（川陕界）至广安高速公路王坪至通江段、王坪烈士陵园景区外环道路建成通车，</w:t>
      </w:r>
      <w:r>
        <w:rPr>
          <w:rFonts w:hint="default" w:ascii="Times New Roman" w:hAnsi="Times New Roman" w:eastAsia="仿宋_GB2312" w:cs="Times New Roman"/>
          <w:color w:val="auto"/>
          <w:sz w:val="32"/>
          <w:szCs w:val="32"/>
        </w:rPr>
        <w:t>两项改革“后半篇”文章中3个农村电网改造升级项目已全部完工，</w:t>
      </w:r>
      <w:r>
        <w:rPr>
          <w:rFonts w:hint="default" w:ascii="Times New Roman" w:hAnsi="Times New Roman" w:eastAsia="仿宋_GB2312" w:cs="Times New Roman"/>
          <w:color w:val="auto"/>
          <w:sz w:val="32"/>
        </w:rPr>
        <w:t>完成10千伏线路132.8千米、低压线路686.9千米</w:t>
      </w:r>
      <w:r>
        <w:rPr>
          <w:rFonts w:hint="default" w:ascii="Times New Roman" w:hAnsi="Times New Roman" w:eastAsia="仿宋_GB2312" w:cs="Times New Roman"/>
          <w:color w:val="auto"/>
          <w:sz w:val="33"/>
          <w:szCs w:val="33"/>
        </w:rPr>
        <w:t>，</w:t>
      </w:r>
      <w:r>
        <w:rPr>
          <w:rFonts w:hint="default" w:ascii="Times New Roman" w:hAnsi="Times New Roman" w:eastAsia="仿宋_GB2312" w:cs="Times New Roman"/>
          <w:color w:val="auto"/>
          <w:sz w:val="32"/>
          <w:szCs w:val="32"/>
        </w:rPr>
        <w:t>24个</w:t>
      </w:r>
      <w:r>
        <w:rPr>
          <w:rFonts w:hint="default" w:ascii="Times New Roman" w:hAnsi="Times New Roman" w:eastAsia="仿宋_GB2312" w:cs="Times New Roman"/>
          <w:color w:val="auto"/>
          <w:sz w:val="32"/>
          <w:lang w:val="zh-CN"/>
        </w:rPr>
        <w:t>煤矿安全改造项目</w:t>
      </w:r>
      <w:r>
        <w:rPr>
          <w:rFonts w:hint="default" w:ascii="Times New Roman" w:hAnsi="Times New Roman" w:eastAsia="仿宋_GB2312" w:cs="Times New Roman"/>
          <w:color w:val="auto"/>
          <w:sz w:val="32"/>
          <w:szCs w:val="32"/>
          <w:lang w:val="zh-CN"/>
        </w:rPr>
        <w:t>已全部完工，</w:t>
      </w:r>
      <w:r>
        <w:rPr>
          <w:rFonts w:hint="default" w:ascii="Times New Roman" w:hAnsi="Times New Roman" w:eastAsia="仿宋_GB2312" w:cs="Times New Roman"/>
          <w:color w:val="auto"/>
          <w:sz w:val="32"/>
          <w:szCs w:val="32"/>
        </w:rPr>
        <w:t>10个以工代赈项目</w:t>
      </w:r>
      <w:r>
        <w:rPr>
          <w:rFonts w:hint="default" w:ascii="Times New Roman" w:hAnsi="Times New Roman" w:eastAsia="仿宋_GB2312" w:cs="Times New Roman"/>
          <w:bCs/>
          <w:color w:val="auto"/>
          <w:sz w:val="32"/>
        </w:rPr>
        <w:t>已全部完工</w:t>
      </w: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val="zh-CN"/>
        </w:rPr>
        <w:t>部分项目超额完成预期目标，如宜宾三江新区2021年省级新区年度计划完成率</w:t>
      </w:r>
      <w:r>
        <w:rPr>
          <w:rFonts w:hint="default" w:ascii="Times New Roman" w:hAnsi="Times New Roman" w:eastAsia="仿宋_GB2312" w:cs="Times New Roman"/>
          <w:color w:val="auto"/>
          <w:sz w:val="32"/>
        </w:rPr>
        <w:t>137</w:t>
      </w:r>
      <w:r>
        <w:rPr>
          <w:rFonts w:hint="default" w:ascii="Times New Roman" w:hAnsi="Times New Roman" w:eastAsia="仿宋_GB2312" w:cs="Times New Roman"/>
          <w:color w:val="auto"/>
          <w:sz w:val="32"/>
          <w:lang w:val="zh-CN"/>
        </w:rPr>
        <w:t>%，南充临江新区2021年省级新区年度计划完成率1</w:t>
      </w:r>
      <w:r>
        <w:rPr>
          <w:rFonts w:hint="default" w:ascii="Times New Roman" w:hAnsi="Times New Roman" w:eastAsia="仿宋_GB2312" w:cs="Times New Roman"/>
          <w:color w:val="auto"/>
          <w:sz w:val="32"/>
        </w:rPr>
        <w:t>05.7</w:t>
      </w:r>
      <w:r>
        <w:rPr>
          <w:rFonts w:hint="default" w:ascii="Times New Roman" w:hAnsi="Times New Roman" w:eastAsia="仿宋_GB2312" w:cs="Times New Roman"/>
          <w:color w:val="auto"/>
          <w:sz w:val="32"/>
          <w:lang w:val="zh-CN"/>
        </w:rPr>
        <w:t>%，绵阳科技城新区2021年省级新区年度计划完成率</w:t>
      </w:r>
      <w:r>
        <w:rPr>
          <w:rFonts w:hint="default" w:ascii="Times New Roman" w:hAnsi="Times New Roman" w:eastAsia="仿宋_GB2312" w:cs="Times New Roman"/>
          <w:color w:val="auto"/>
          <w:sz w:val="32"/>
        </w:rPr>
        <w:t>101.5</w:t>
      </w:r>
      <w:r>
        <w:rPr>
          <w:rFonts w:hint="default" w:ascii="Times New Roman" w:hAnsi="Times New Roman" w:eastAsia="仿宋_GB2312" w:cs="Times New Roman"/>
          <w:color w:val="auto"/>
          <w:sz w:val="32"/>
          <w:lang w:val="zh-CN"/>
        </w:rPr>
        <w:t>%。</w:t>
      </w:r>
    </w:p>
    <w:p>
      <w:pPr>
        <w:pageBreakBefore w:val="0"/>
        <w:kinsoku/>
        <w:wordWrap/>
        <w:overflowPunct/>
        <w:topLinePunct w:val="0"/>
        <w:bidi w:val="0"/>
        <w:spacing w:line="560" w:lineRule="exact"/>
        <w:ind w:firstLine="640"/>
        <w:rPr>
          <w:rFonts w:hint="default" w:ascii="Times New Roman" w:hAnsi="Times New Roman" w:eastAsia="楷体_GB2312" w:cs="Times New Roman"/>
          <w:b/>
          <w:bCs w:val="0"/>
          <w:color w:val="auto"/>
          <w:sz w:val="32"/>
          <w:lang w:val="zh-CN"/>
        </w:rPr>
      </w:pPr>
      <w:r>
        <w:rPr>
          <w:rFonts w:hint="default" w:ascii="Times New Roman" w:hAnsi="Times New Roman" w:eastAsia="楷体_GB2312" w:cs="Times New Roman"/>
          <w:b/>
          <w:bCs w:val="0"/>
          <w:color w:val="auto"/>
          <w:sz w:val="32"/>
          <w:lang w:val="zh-CN"/>
        </w:rPr>
        <w:t>（二）效益充分发挥。</w:t>
      </w:r>
    </w:p>
    <w:p>
      <w:pPr>
        <w:pageBreakBefore w:val="0"/>
        <w:kinsoku/>
        <w:wordWrap/>
        <w:overflowPunct/>
        <w:topLinePunct w:val="0"/>
        <w:bidi w:val="0"/>
        <w:adjustRightInd w:val="0"/>
        <w:snapToGrid w:val="0"/>
        <w:spacing w:line="560" w:lineRule="exact"/>
        <w:ind w:firstLine="640" w:firstLineChars="20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省预算内基本建设投资</w:t>
      </w:r>
      <w:r>
        <w:rPr>
          <w:rFonts w:hint="default" w:ascii="Times New Roman" w:hAnsi="Times New Roman" w:eastAsia="仿宋_GB2312" w:cs="Times New Roman"/>
          <w:color w:val="auto"/>
          <w:sz w:val="32"/>
          <w:szCs w:val="32"/>
        </w:rPr>
        <w:t>主要安排省委、省政府确定支持的、关乎社会民生福祉的重大项目</w:t>
      </w:r>
      <w:r>
        <w:rPr>
          <w:rFonts w:hint="default" w:ascii="Times New Roman" w:hAnsi="Times New Roman" w:eastAsia="仿宋_GB2312" w:cs="Times New Roman"/>
          <w:color w:val="auto"/>
          <w:sz w:val="32"/>
          <w:szCs w:val="32"/>
          <w:lang w:val="zh-CN"/>
        </w:rPr>
        <w:t>，有力推动了全省重点项目建设，有效发挥了省预算内资金效益，为全省投资稳定增长、经济平稳发展、</w:t>
      </w:r>
      <w:r>
        <w:rPr>
          <w:rFonts w:hint="default" w:ascii="Times New Roman" w:hAnsi="Times New Roman" w:eastAsia="仿宋_GB2312" w:cs="Times New Roman"/>
          <w:color w:val="auto"/>
          <w:sz w:val="32"/>
          <w:szCs w:val="32"/>
        </w:rPr>
        <w:t>公共服务水平提升、科技成果转化</w:t>
      </w:r>
      <w:r>
        <w:rPr>
          <w:rFonts w:hint="default" w:ascii="Times New Roman" w:hAnsi="Times New Roman" w:eastAsia="仿宋_GB2312" w:cs="Times New Roman"/>
          <w:color w:val="auto"/>
          <w:sz w:val="32"/>
          <w:szCs w:val="32"/>
          <w:lang w:val="zh-CN"/>
        </w:rPr>
        <w:t>起到了积极作用。</w:t>
      </w:r>
    </w:p>
    <w:p>
      <w:pPr>
        <w:pageBreakBefore w:val="0"/>
        <w:kinsoku/>
        <w:wordWrap/>
        <w:overflowPunct/>
        <w:topLinePunct w:val="0"/>
        <w:bidi w:val="0"/>
        <w:spacing w:line="560" w:lineRule="exact"/>
        <w:ind w:firstLine="642" w:firstLineChars="200"/>
        <w:rPr>
          <w:rFonts w:hint="default" w:ascii="Times New Roman" w:hAnsi="Times New Roman" w:eastAsia="仿宋_GB2312" w:cs="Times New Roman"/>
          <w:color w:val="auto"/>
          <w:sz w:val="32"/>
          <w:lang w:val="zh-CN"/>
        </w:rPr>
      </w:pPr>
      <w:r>
        <w:rPr>
          <w:rFonts w:hint="default" w:ascii="Times New Roman" w:hAnsi="Times New Roman" w:eastAsia="仿宋_GB2312" w:cs="Times New Roman"/>
          <w:b/>
          <w:bCs/>
          <w:color w:val="auto"/>
          <w:kern w:val="0"/>
          <w:sz w:val="32"/>
          <w:lang w:val="zh-CN"/>
        </w:rPr>
        <w:t>——经济效益</w:t>
      </w:r>
      <w:r>
        <w:rPr>
          <w:rFonts w:hint="default" w:ascii="Times New Roman" w:hAnsi="Times New Roman" w:eastAsia="仿宋_GB2312" w:cs="Times New Roman"/>
          <w:b/>
          <w:bCs/>
          <w:color w:val="auto"/>
          <w:kern w:val="0"/>
          <w:sz w:val="32"/>
        </w:rPr>
        <w:t>方面</w:t>
      </w:r>
      <w:r>
        <w:rPr>
          <w:rFonts w:hint="default" w:ascii="Times New Roman" w:hAnsi="Times New Roman" w:eastAsia="仿宋_GB2312" w:cs="Times New Roman"/>
          <w:b/>
          <w:bCs/>
          <w:color w:val="auto"/>
          <w:kern w:val="0"/>
          <w:sz w:val="32"/>
          <w:lang w:val="zh-CN"/>
        </w:rPr>
        <w:t>。</w:t>
      </w:r>
      <w:r>
        <w:rPr>
          <w:rFonts w:hint="default" w:ascii="Times New Roman" w:hAnsi="Times New Roman" w:eastAsia="仿宋_GB2312" w:cs="Times New Roman"/>
          <w:color w:val="auto"/>
          <w:kern w:val="0"/>
          <w:sz w:val="32"/>
        </w:rPr>
        <w:t>通过省预算内基本建设投资引导，有效带动地方政府和社会资本投资，202</w:t>
      </w:r>
      <w:r>
        <w:rPr>
          <w:rFonts w:hint="default" w:ascii="Times New Roman" w:hAnsi="Times New Roman" w:cs="Times New Roman"/>
          <w:color w:val="auto"/>
          <w:kern w:val="0"/>
          <w:sz w:val="32"/>
        </w:rPr>
        <w:t>1</w:t>
      </w:r>
      <w:r>
        <w:rPr>
          <w:rFonts w:hint="default" w:ascii="Times New Roman" w:hAnsi="Times New Roman" w:eastAsia="仿宋_GB2312" w:cs="Times New Roman"/>
          <w:color w:val="auto"/>
          <w:kern w:val="0"/>
          <w:sz w:val="32"/>
        </w:rPr>
        <w:t>年省预算内投资安排资金</w:t>
      </w:r>
      <w:r>
        <w:rPr>
          <w:rFonts w:hint="default" w:ascii="Times New Roman" w:hAnsi="Times New Roman" w:cs="Times New Roman"/>
          <w:color w:val="auto"/>
          <w:kern w:val="0"/>
          <w:sz w:val="32"/>
        </w:rPr>
        <w:t>70</w:t>
      </w:r>
      <w:r>
        <w:rPr>
          <w:rFonts w:hint="default" w:ascii="Times New Roman" w:hAnsi="Times New Roman" w:eastAsia="仿宋_GB2312" w:cs="Times New Roman"/>
          <w:color w:val="auto"/>
          <w:kern w:val="0"/>
          <w:sz w:val="32"/>
        </w:rPr>
        <w:t>亿元，带动项目总投资超</w:t>
      </w:r>
      <w:r>
        <w:rPr>
          <w:rFonts w:hint="default" w:ascii="Times New Roman" w:hAnsi="Times New Roman" w:eastAsia="仿宋_GB2312" w:cs="Times New Roman"/>
          <w:color w:val="auto"/>
          <w:sz w:val="32"/>
          <w:szCs w:val="32"/>
        </w:rPr>
        <w:t>千亿</w:t>
      </w:r>
      <w:r>
        <w:rPr>
          <w:rFonts w:hint="default" w:ascii="Times New Roman" w:hAnsi="Times New Roman" w:eastAsia="仿宋_GB2312" w:cs="Times New Roman"/>
          <w:color w:val="auto"/>
          <w:kern w:val="0"/>
          <w:sz w:val="32"/>
        </w:rPr>
        <w:t>，促投资、稳增长成效明显。如成都至自贡至宜宾高速铁路、渝昆高铁、成都至西宁铁路等建成后将增加省境内约617公里铁路网络，进一步完善国家中长期铁路网规划的</w:t>
      </w:r>
      <w:r>
        <w:rPr>
          <w:rFonts w:hint="default" w:ascii="Times New Roman" w:hAnsi="Times New Roman" w:cs="Times New Roman"/>
          <w:color w:val="auto"/>
          <w:kern w:val="0"/>
          <w:sz w:val="32"/>
        </w:rPr>
        <w:t>“</w:t>
      </w:r>
      <w:r>
        <w:rPr>
          <w:rFonts w:hint="default" w:ascii="Times New Roman" w:hAnsi="Times New Roman" w:eastAsia="仿宋_GB2312" w:cs="Times New Roman"/>
          <w:color w:val="auto"/>
          <w:kern w:val="0"/>
          <w:sz w:val="32"/>
        </w:rPr>
        <w:t>四纵四横</w:t>
      </w:r>
      <w:r>
        <w:rPr>
          <w:rFonts w:hint="default" w:ascii="Times New Roman" w:hAnsi="Times New Roman" w:cs="Times New Roman"/>
          <w:color w:val="auto"/>
          <w:kern w:val="0"/>
          <w:sz w:val="32"/>
        </w:rPr>
        <w:t>”</w:t>
      </w:r>
      <w:r>
        <w:rPr>
          <w:rFonts w:hint="default" w:ascii="Times New Roman" w:hAnsi="Times New Roman" w:eastAsia="仿宋_GB2312" w:cs="Times New Roman"/>
          <w:color w:val="auto"/>
          <w:kern w:val="0"/>
          <w:sz w:val="32"/>
        </w:rPr>
        <w:t>客运铁路专线的布局结构，</w:t>
      </w:r>
      <w:r>
        <w:rPr>
          <w:rFonts w:hint="default" w:ascii="Times New Roman" w:hAnsi="Times New Roman" w:eastAsia="仿宋_GB2312" w:cs="Times New Roman"/>
          <w:color w:val="auto"/>
          <w:sz w:val="32"/>
          <w:szCs w:val="32"/>
        </w:rPr>
        <w:t>带动西部地区的经济社会发展</w:t>
      </w:r>
      <w:r>
        <w:rPr>
          <w:rFonts w:hint="default" w:ascii="Times New Roman" w:hAnsi="Times New Roman" w:eastAsia="仿宋_GB2312" w:cs="Times New Roman"/>
          <w:color w:val="auto"/>
          <w:kern w:val="0"/>
          <w:sz w:val="32"/>
        </w:rPr>
        <w:t>；</w:t>
      </w:r>
      <w:r>
        <w:rPr>
          <w:rFonts w:hint="default" w:ascii="Times New Roman" w:hAnsi="Times New Roman" w:eastAsia="仿宋_GB2312" w:cs="Times New Roman"/>
          <w:color w:val="auto"/>
          <w:sz w:val="32"/>
          <w:lang w:val="zh-CN"/>
        </w:rPr>
        <w:t>四川省1</w:t>
      </w:r>
      <w:r>
        <w:rPr>
          <w:rFonts w:hint="default" w:ascii="Times New Roman" w:hAnsi="Times New Roman" w:cs="Times New Roman"/>
          <w:color w:val="auto"/>
          <w:sz w:val="32"/>
          <w:lang w:val="zh-CN"/>
        </w:rPr>
        <w:t>∶</w:t>
      </w:r>
      <w:r>
        <w:rPr>
          <w:rFonts w:hint="default" w:ascii="Times New Roman" w:hAnsi="Times New Roman" w:eastAsia="仿宋_GB2312" w:cs="Times New Roman"/>
          <w:color w:val="auto"/>
          <w:sz w:val="32"/>
          <w:lang w:val="zh-CN"/>
        </w:rPr>
        <w:t>1万无图区域测图工程</w:t>
      </w:r>
      <w:r>
        <w:rPr>
          <w:rFonts w:hint="default" w:ascii="Times New Roman" w:hAnsi="Times New Roman" w:eastAsia="仿宋_GB2312" w:cs="Times New Roman"/>
          <w:color w:val="auto"/>
          <w:sz w:val="32"/>
        </w:rPr>
        <w:t>可降低地理信息应用成本，扩大地理信息应用范围，避免各个行业重复测绘造成的资金和资源浪费，促进我省测绘地理信息产业发展，带动相关产业的快速发展；</w:t>
      </w:r>
      <w:r>
        <w:rPr>
          <w:rFonts w:hint="default" w:ascii="Times New Roman" w:hAnsi="Times New Roman" w:eastAsia="仿宋_GB2312" w:cs="Times New Roman"/>
          <w:bCs/>
          <w:color w:val="auto"/>
          <w:sz w:val="32"/>
        </w:rPr>
        <w:t>公共就业项目建成后将为失业妇女、下岗妇女和农村留守妇女提供技能培训，提供就业岗位，带动妇女就业同时促进产业发展；</w:t>
      </w:r>
      <w:r>
        <w:rPr>
          <w:rFonts w:hint="default" w:ascii="Times New Roman" w:hAnsi="Times New Roman" w:eastAsia="仿宋_GB2312" w:cs="Times New Roman"/>
          <w:color w:val="auto"/>
          <w:sz w:val="32"/>
          <w:szCs w:val="32"/>
        </w:rPr>
        <w:t>四川省气象灾害监测预警体系建设项目</w:t>
      </w:r>
      <w:r>
        <w:rPr>
          <w:rFonts w:hint="default" w:ascii="Times New Roman" w:hAnsi="Times New Roman" w:eastAsia="仿宋_GB2312" w:cs="Times New Roman"/>
          <w:color w:val="auto"/>
          <w:sz w:val="32"/>
          <w:lang w:val="zh-CN"/>
        </w:rPr>
        <w:t>建成后，将进一步提升气象保障地方经济发展的能力，有效降低气象灾害造成的经济损失，增雨防雹的直接经济效益每年共计增加4～6亿元，其中，增雨直接经济效益约2～3亿元，防雹直接经济效益可增加2～3亿元；</w:t>
      </w:r>
      <w:r>
        <w:rPr>
          <w:rFonts w:hint="default" w:ascii="Times New Roman" w:hAnsi="Times New Roman" w:eastAsia="仿宋_GB2312" w:cs="Times New Roman"/>
          <w:color w:val="auto"/>
          <w:sz w:val="32"/>
          <w:szCs w:val="32"/>
        </w:rPr>
        <w:t>水文基础设施工程的建设可以更加准确及时地提供水文情报和数据，大幅度地减少灾害损失、减少资源浪费，拓宽水文服务领域，提升水文服务综合效益，加强水资源的规划与管理，合理配置和协调生活、生产、生态用水；</w:t>
      </w:r>
      <w:r>
        <w:rPr>
          <w:rFonts w:hint="default" w:ascii="Times New Roman" w:hAnsi="Times New Roman" w:eastAsia="仿宋_GB2312" w:cs="Times New Roman"/>
          <w:color w:val="auto"/>
          <w:sz w:val="32"/>
        </w:rPr>
        <w:t>转化医学国家重大科技基础设施（四川）、多态耦合轨道交通动模试验平台等重大科技基础设施，</w:t>
      </w:r>
      <w:r>
        <w:rPr>
          <w:rFonts w:hint="default" w:ascii="Times New Roman" w:hAnsi="Times New Roman" w:eastAsia="仿宋_GB2312" w:cs="Times New Roman"/>
          <w:color w:val="auto"/>
          <w:sz w:val="32"/>
          <w:lang w:val="zh-CN"/>
        </w:rPr>
        <w:t>云操作系统研发与应用国家地方联合工程研究中心</w:t>
      </w:r>
      <w:r>
        <w:rPr>
          <w:rFonts w:hint="default" w:ascii="Times New Roman" w:hAnsi="Times New Roman" w:eastAsia="仿宋_GB2312" w:cs="Times New Roman"/>
          <w:color w:val="auto"/>
          <w:sz w:val="32"/>
        </w:rPr>
        <w:t>等</w:t>
      </w:r>
      <w:r>
        <w:rPr>
          <w:rFonts w:hint="default" w:ascii="Times New Roman" w:hAnsi="Times New Roman" w:eastAsia="仿宋_GB2312" w:cs="Times New Roman"/>
          <w:color w:val="auto"/>
          <w:sz w:val="32"/>
          <w:lang w:val="zh-CN"/>
        </w:rPr>
        <w:t>创新能力建设</w:t>
      </w:r>
      <w:r>
        <w:rPr>
          <w:rFonts w:hint="default" w:ascii="Times New Roman" w:hAnsi="Times New Roman" w:eastAsia="仿宋_GB2312" w:cs="Times New Roman"/>
          <w:color w:val="auto"/>
          <w:sz w:val="32"/>
        </w:rPr>
        <w:t>项目，为当地提供了劳务就业岗位，产生10余个创新技术产品或方案转让企业，项目建成后，可有效促进生物医药、轨道交通、光电技术、新型材料、智能制造等相关产业发展；</w:t>
      </w:r>
      <w:r>
        <w:rPr>
          <w:rFonts w:hint="default" w:ascii="Times New Roman" w:hAnsi="Times New Roman" w:eastAsia="仿宋_GB2312" w:cs="Times New Roman"/>
          <w:color w:val="auto"/>
          <w:sz w:val="32"/>
          <w:szCs w:val="32"/>
        </w:rPr>
        <w:t>县域经济强县培育进一步提升了项目所在特色产业园区的承载能力和服务能力，有力促进园区招商引资和产业发展，有效增加当地就业人数和就业收入；</w:t>
      </w:r>
      <w:r>
        <w:rPr>
          <w:rFonts w:hint="default" w:ascii="Times New Roman" w:hAnsi="Times New Roman" w:eastAsia="仿宋_GB2312" w:cs="Times New Roman"/>
          <w:color w:val="auto"/>
          <w:kern w:val="2"/>
          <w:sz w:val="32"/>
          <w:szCs w:val="32"/>
          <w:lang w:val="en-US" w:eastAsia="zh-CN" w:bidi="ar-SA"/>
        </w:rPr>
        <w:t>以工代赈项目建设组织群众务工，发放劳务报酬，增加群众特别是脱贫群众工资性收入，实现了绩效目标中“发放劳务报酬占省预算内投资15%即450万元以上”的要求</w:t>
      </w:r>
      <w:r>
        <w:rPr>
          <w:rFonts w:hint="default" w:ascii="Times New Roman" w:hAnsi="Times New Roman" w:eastAsia="仿宋_GB2312" w:cs="Times New Roman"/>
          <w:color w:val="auto"/>
          <w:sz w:val="32"/>
        </w:rPr>
        <w:t>。</w:t>
      </w:r>
    </w:p>
    <w:p>
      <w:pPr>
        <w:pageBreakBefore w:val="0"/>
        <w:kinsoku/>
        <w:wordWrap/>
        <w:overflowPunct/>
        <w:topLinePunct w:val="0"/>
        <w:bidi w:val="0"/>
        <w:adjustRightInd w:val="0"/>
        <w:spacing w:line="560" w:lineRule="exact"/>
        <w:ind w:firstLine="642" w:firstLineChars="200"/>
        <w:rPr>
          <w:rFonts w:hint="default" w:ascii="Times New Roman" w:hAnsi="Times New Roman" w:eastAsia="仿宋_GB2312" w:cs="Times New Roman"/>
          <w:bCs/>
          <w:color w:val="auto"/>
          <w:kern w:val="0"/>
          <w:sz w:val="32"/>
        </w:rPr>
      </w:pPr>
      <w:r>
        <w:rPr>
          <w:rFonts w:hint="default" w:ascii="Times New Roman" w:hAnsi="Times New Roman" w:eastAsia="仿宋_GB2312" w:cs="Times New Roman"/>
          <w:b/>
          <w:bCs/>
          <w:color w:val="auto"/>
          <w:kern w:val="0"/>
          <w:sz w:val="32"/>
          <w:lang w:val="zh-CN"/>
        </w:rPr>
        <w:t>——社会效益</w:t>
      </w:r>
      <w:r>
        <w:rPr>
          <w:rFonts w:hint="default" w:ascii="Times New Roman" w:hAnsi="Times New Roman" w:eastAsia="仿宋_GB2312" w:cs="Times New Roman"/>
          <w:b/>
          <w:bCs/>
          <w:color w:val="auto"/>
          <w:kern w:val="0"/>
          <w:sz w:val="32"/>
        </w:rPr>
        <w:t>方面</w:t>
      </w:r>
      <w:r>
        <w:rPr>
          <w:rFonts w:hint="default" w:ascii="Times New Roman" w:hAnsi="Times New Roman" w:eastAsia="仿宋_GB2312" w:cs="Times New Roman"/>
          <w:b/>
          <w:bCs/>
          <w:color w:val="auto"/>
          <w:kern w:val="0"/>
          <w:sz w:val="32"/>
          <w:lang w:val="zh-CN"/>
        </w:rPr>
        <w:t>。</w:t>
      </w:r>
      <w:r>
        <w:rPr>
          <w:rFonts w:hint="default" w:ascii="Times New Roman" w:hAnsi="Times New Roman" w:eastAsia="仿宋_GB2312" w:cs="Times New Roman"/>
          <w:b/>
          <w:color w:val="auto"/>
          <w:kern w:val="0"/>
          <w:sz w:val="32"/>
        </w:rPr>
        <w:t>一方面，</w:t>
      </w:r>
      <w:r>
        <w:rPr>
          <w:rFonts w:hint="default" w:ascii="Times New Roman" w:hAnsi="Times New Roman" w:eastAsia="仿宋_GB2312" w:cs="Times New Roman"/>
          <w:bCs/>
          <w:color w:val="auto"/>
          <w:kern w:val="0"/>
          <w:sz w:val="32"/>
        </w:rPr>
        <w:t>重大基础设施加快实施，补齐发展短板。作为稳增长的重要保障，交通基础设施的大力投入更加完善了我省交通网络，大大缩短了人员出行和货物流通的时间成本。乐西高速公路马边至昭觉段全长约170公里，对于巩固脱贫攻坚成果、改善群众交通出行条件发挥积极作用；森林航空消防项目切实增强了灭火时效性，提高了航空灭火效率，提升了火灾预防和扑救综合能力；农村公路36.4公里，对于改善沿线区域的社会经济环境现状，巩固拓展脱贫攻坚成果、维护民族团结具有十分重要的意义。农林水利基础设施提升城乡安全供水保障、水旱灾害防御能力，助推现代农业快速发展，如固军水库</w:t>
      </w:r>
      <w:r>
        <w:rPr>
          <w:rFonts w:hint="default" w:ascii="Times New Roman" w:hAnsi="Times New Roman" w:eastAsia="仿宋_GB2312" w:cs="Times New Roman"/>
          <w:color w:val="auto"/>
          <w:sz w:val="32"/>
          <w:szCs w:val="32"/>
        </w:rPr>
        <w:t>增强地方防洪功能，</w:t>
      </w:r>
      <w:r>
        <w:rPr>
          <w:rFonts w:hint="default" w:ascii="Times New Roman" w:hAnsi="Times New Roman" w:eastAsia="仿宋_GB2312" w:cs="Times New Roman"/>
          <w:bCs/>
          <w:color w:val="auto"/>
          <w:kern w:val="0"/>
          <w:sz w:val="32"/>
          <w:szCs w:val="32"/>
        </w:rPr>
        <w:t>永丰水库兼具南充市主城区应急备用水源、灌溉及乡村供水等综合效益，水库建成后可供城区应急用水173万立方米，向管道沿线乡村提供生活用水487万立方米，向周边沿线5.3万亩农田补充灌溉用水373万立方米；四川省气象灾害监测预警体系建设</w:t>
      </w:r>
      <w:r>
        <w:rPr>
          <w:rFonts w:hint="default" w:ascii="Times New Roman" w:hAnsi="Times New Roman" w:eastAsia="仿宋_GB2312" w:cs="Times New Roman"/>
          <w:bCs/>
          <w:color w:val="auto"/>
          <w:kern w:val="0"/>
          <w:sz w:val="32"/>
        </w:rPr>
        <w:t>项目</w:t>
      </w:r>
      <w:r>
        <w:rPr>
          <w:rFonts w:hint="default" w:ascii="Times New Roman" w:hAnsi="Times New Roman" w:eastAsia="仿宋_GB2312" w:cs="Times New Roman"/>
          <w:bCs/>
          <w:color w:val="auto"/>
          <w:kern w:val="0"/>
          <w:sz w:val="32"/>
          <w:lang w:val="zh-CN"/>
        </w:rPr>
        <w:t>建成后，将有效</w:t>
      </w:r>
      <w:r>
        <w:rPr>
          <w:rFonts w:hint="eastAsia" w:eastAsia="仿宋_GB2312" w:cs="Times New Roman"/>
          <w:bCs/>
          <w:color w:val="auto"/>
          <w:kern w:val="0"/>
          <w:sz w:val="32"/>
          <w:lang w:val="zh-CN"/>
        </w:rPr>
        <w:t>地</w:t>
      </w:r>
      <w:r>
        <w:rPr>
          <w:rFonts w:hint="default" w:ascii="Times New Roman" w:hAnsi="Times New Roman" w:eastAsia="仿宋_GB2312" w:cs="Times New Roman"/>
          <w:bCs/>
          <w:color w:val="auto"/>
          <w:kern w:val="0"/>
          <w:sz w:val="32"/>
          <w:lang w:val="zh-CN"/>
        </w:rPr>
        <w:t>提升我省适应全球气候变化，应对极端天气所造成的气象灾害及其次生灾害的能力，推动防灾减灾工作跃上新的台阶，并有效缓解我省水资源供需矛盾，保障工农业生产用水以及人民群众生活用水，进一步促进社会稳定发展；</w:t>
      </w:r>
      <w:r>
        <w:rPr>
          <w:rFonts w:hint="default" w:ascii="Times New Roman" w:hAnsi="Times New Roman" w:eastAsia="仿宋_GB2312" w:cs="Times New Roman"/>
          <w:bCs/>
          <w:color w:val="auto"/>
          <w:kern w:val="0"/>
          <w:sz w:val="32"/>
        </w:rPr>
        <w:t>水文基础设施工程为水安全保障和水生态环境保护提供准确的基础数据。</w:t>
      </w:r>
      <w:r>
        <w:rPr>
          <w:rFonts w:hint="default" w:ascii="Times New Roman" w:hAnsi="Times New Roman" w:eastAsia="仿宋_GB2312" w:cs="Times New Roman"/>
          <w:bCs/>
          <w:color w:val="auto"/>
          <w:kern w:val="0"/>
          <w:sz w:val="32"/>
          <w:lang w:val="zh-CN"/>
        </w:rPr>
        <w:t>能源基础设施中，两项改革“后半篇”文章农村电网改造升级项目合理优化了农村电网结构，逐步消除了设备过重载、供电“卡脖子”、低电压、安全隐患等问题，进一步提高农村电网的供电可靠性，满足了农村的供电增长需求，改善了农村生产生活用电环境，为区域农村经济发展提供强有力的电力支持；</w:t>
      </w:r>
      <w:r>
        <w:rPr>
          <w:rFonts w:hint="default" w:ascii="Times New Roman" w:hAnsi="Times New Roman" w:eastAsia="仿宋_GB2312" w:cs="Times New Roman"/>
          <w:bCs/>
          <w:color w:val="auto"/>
          <w:kern w:val="0"/>
          <w:sz w:val="32"/>
        </w:rPr>
        <w:t>煤矿安全改造项目使全省煤矿安全基础进一步夯实，防灾抗灾能力进一步增强，</w:t>
      </w:r>
      <w:r>
        <w:rPr>
          <w:rFonts w:hint="default" w:ascii="Times New Roman" w:hAnsi="Times New Roman" w:eastAsia="仿宋_GB2312" w:cs="Times New Roman"/>
          <w:bCs/>
          <w:color w:val="auto"/>
          <w:kern w:val="0"/>
          <w:sz w:val="32"/>
          <w:lang w:val="zh-CN"/>
        </w:rPr>
        <w:t>煤矿安全生产保障能力进一步提升</w:t>
      </w:r>
      <w:r>
        <w:rPr>
          <w:rFonts w:hint="default" w:ascii="Times New Roman" w:hAnsi="Times New Roman" w:eastAsia="仿宋_GB2312" w:cs="Times New Roman"/>
          <w:bCs/>
          <w:color w:val="auto"/>
          <w:kern w:val="0"/>
          <w:sz w:val="32"/>
        </w:rPr>
        <w:t>，全省煤矿百万吨死亡率比上年下降51%</w:t>
      </w:r>
      <w:r>
        <w:rPr>
          <w:rFonts w:hint="default" w:ascii="Times New Roman" w:hAnsi="Times New Roman" w:eastAsia="仿宋_GB2312" w:cs="Times New Roman"/>
          <w:bCs/>
          <w:color w:val="auto"/>
          <w:kern w:val="0"/>
          <w:sz w:val="32"/>
          <w:lang w:val="zh-CN"/>
        </w:rPr>
        <w:t>，项目单位（重点煤矿）煤炭生产工效持续提高，增强对全省能源兜底保障</w:t>
      </w:r>
      <w:r>
        <w:rPr>
          <w:rFonts w:hint="default" w:ascii="Times New Roman" w:hAnsi="Times New Roman" w:eastAsia="仿宋_GB2312" w:cs="Times New Roman"/>
          <w:bCs/>
          <w:color w:val="auto"/>
          <w:kern w:val="0"/>
          <w:sz w:val="32"/>
        </w:rPr>
        <w:t>。</w:t>
      </w:r>
    </w:p>
    <w:p>
      <w:pPr>
        <w:pageBreakBefore w:val="0"/>
        <w:kinsoku/>
        <w:wordWrap/>
        <w:overflowPunct/>
        <w:topLinePunct w:val="0"/>
        <w:autoSpaceDE w:val="0"/>
        <w:autoSpaceDN w:val="0"/>
        <w:bidi w:val="0"/>
        <w:adjustRightInd w:val="0"/>
        <w:spacing w:line="560" w:lineRule="exact"/>
        <w:ind w:firstLine="642" w:firstLineChars="200"/>
        <w:jc w:val="left"/>
        <w:rPr>
          <w:rFonts w:hint="default" w:ascii="Times New Roman" w:hAnsi="Times New Roman" w:eastAsia="仿宋_GB2312" w:cs="Times New Roman"/>
          <w:bCs/>
          <w:color w:val="auto"/>
          <w:kern w:val="0"/>
          <w:sz w:val="32"/>
          <w:lang w:val="zh-CN"/>
        </w:rPr>
      </w:pPr>
      <w:r>
        <w:rPr>
          <w:rFonts w:hint="default" w:ascii="Times New Roman" w:hAnsi="Times New Roman" w:eastAsia="仿宋_GB2312" w:cs="Times New Roman"/>
          <w:b/>
          <w:color w:val="auto"/>
          <w:kern w:val="0"/>
          <w:sz w:val="32"/>
        </w:rPr>
        <w:t>另一方面，</w:t>
      </w:r>
      <w:r>
        <w:rPr>
          <w:rFonts w:hint="default" w:ascii="Times New Roman" w:hAnsi="Times New Roman" w:eastAsia="仿宋_GB2312" w:cs="Times New Roman"/>
          <w:bCs/>
          <w:color w:val="auto"/>
          <w:kern w:val="0"/>
          <w:sz w:val="32"/>
        </w:rPr>
        <w:t>聚焦社会事业和民生工程，持续改善民生保障，促进社会和谐稳定。省妇女儿童中心项目</w:t>
      </w:r>
      <w:r>
        <w:rPr>
          <w:rFonts w:hint="default" w:ascii="Times New Roman" w:hAnsi="Times New Roman" w:eastAsia="仿宋_GB2312" w:cs="Times New Roman"/>
          <w:bCs/>
          <w:color w:val="auto"/>
          <w:kern w:val="0"/>
          <w:sz w:val="32"/>
          <w:lang w:val="zh-CN"/>
        </w:rPr>
        <w:t>有效整合我省妇女儿童公共服务优势资源，提高妇女儿童公共服务水平，改善妇女儿童公共服务环境，发挥其区域性指导和辐射作用，促进地方经济社会全面协调发展。医疗卫生项目的建设满足了人民群众日益增长的卫生健康需求。教育项目改善办学条件，增加优质教育资源供给，不断增强教育供给服务的可及性、普惠性、获得感。体育文化项目</w:t>
      </w:r>
      <w:r>
        <w:rPr>
          <w:rFonts w:hint="default" w:ascii="Times New Roman" w:hAnsi="Times New Roman" w:eastAsia="仿宋_GB2312" w:cs="Times New Roman"/>
          <w:bCs/>
          <w:color w:val="auto"/>
          <w:kern w:val="0"/>
          <w:sz w:val="32"/>
        </w:rPr>
        <w:t>丰富群众精神生活、推动全民健身、体育强国、推进文化保护传承</w:t>
      </w:r>
      <w:r>
        <w:rPr>
          <w:rFonts w:hint="default" w:ascii="Times New Roman" w:hAnsi="Times New Roman" w:eastAsia="仿宋_GB2312" w:cs="Times New Roman"/>
          <w:bCs/>
          <w:color w:val="auto"/>
          <w:kern w:val="0"/>
          <w:sz w:val="32"/>
          <w:lang w:val="zh-CN"/>
        </w:rPr>
        <w:t>。</w:t>
      </w:r>
      <w:r>
        <w:rPr>
          <w:rFonts w:hint="default" w:ascii="Times New Roman" w:hAnsi="Times New Roman" w:eastAsia="仿宋_GB2312" w:cs="Times New Roman"/>
          <w:bCs/>
          <w:color w:val="auto"/>
          <w:kern w:val="0"/>
          <w:sz w:val="32"/>
        </w:rPr>
        <w:t>县城新型城镇化建设示范县（市）暨小县优城创建试点专项</w:t>
      </w:r>
      <w:r>
        <w:rPr>
          <w:rFonts w:hint="default" w:ascii="Times New Roman" w:hAnsi="Times New Roman" w:eastAsia="仿宋_GB2312" w:cs="Times New Roman"/>
          <w:bCs/>
          <w:color w:val="auto"/>
          <w:kern w:val="0"/>
          <w:sz w:val="32"/>
          <w:lang w:val="zh-CN"/>
        </w:rPr>
        <w:t>有效缓解县城教育供给总量不足问题和医院门诊拥堵、“住院难”问题。四川省1</w:t>
      </w:r>
      <w:r>
        <w:rPr>
          <w:rFonts w:hint="default" w:ascii="Times New Roman" w:hAnsi="Times New Roman" w:cs="Times New Roman"/>
          <w:bCs/>
          <w:color w:val="auto"/>
          <w:kern w:val="0"/>
          <w:sz w:val="32"/>
          <w:lang w:val="zh-CN"/>
        </w:rPr>
        <w:t>∶</w:t>
      </w:r>
      <w:r>
        <w:rPr>
          <w:rFonts w:hint="default" w:ascii="Times New Roman" w:hAnsi="Times New Roman" w:eastAsia="仿宋_GB2312" w:cs="Times New Roman"/>
          <w:bCs/>
          <w:color w:val="auto"/>
          <w:kern w:val="0"/>
          <w:sz w:val="32"/>
          <w:lang w:val="zh-CN"/>
        </w:rPr>
        <w:t>1万无图区域测图工程对于提升我省测绘地理信息公共服务能力、推动防灾减灾、重大工程规划建设以及保障国防战略安全具有重要意义。完善空间定位基准现代化建设项目建成86个兼容北斗的多星多模基准站，进一步扩大我省北斗实时、动态、高精度位置服务覆盖范围。</w:t>
      </w:r>
      <w:r>
        <w:rPr>
          <w:rFonts w:hint="default" w:ascii="Times New Roman" w:hAnsi="Times New Roman" w:eastAsia="仿宋_GB2312" w:cs="Times New Roman"/>
          <w:bCs/>
          <w:color w:val="auto"/>
          <w:kern w:val="0"/>
          <w:sz w:val="32"/>
        </w:rPr>
        <w:t>转化医学国家重大科技基础设施（四川）、多态耦合轨道交通动模试验平台等重大科技基础设施，</w:t>
      </w:r>
      <w:r>
        <w:rPr>
          <w:rFonts w:hint="default" w:ascii="Times New Roman" w:hAnsi="Times New Roman" w:eastAsia="仿宋_GB2312" w:cs="Times New Roman"/>
          <w:bCs/>
          <w:color w:val="auto"/>
          <w:kern w:val="0"/>
          <w:sz w:val="32"/>
          <w:lang w:val="zh-CN"/>
        </w:rPr>
        <w:t>云操作系统研发与应用国家地方联合工程研究中心</w:t>
      </w:r>
      <w:r>
        <w:rPr>
          <w:rFonts w:hint="default" w:ascii="Times New Roman" w:hAnsi="Times New Roman" w:eastAsia="仿宋_GB2312" w:cs="Times New Roman"/>
          <w:bCs/>
          <w:color w:val="auto"/>
          <w:kern w:val="0"/>
          <w:sz w:val="32"/>
        </w:rPr>
        <w:t>等</w:t>
      </w:r>
      <w:r>
        <w:rPr>
          <w:rFonts w:hint="default" w:ascii="Times New Roman" w:hAnsi="Times New Roman" w:eastAsia="仿宋_GB2312" w:cs="Times New Roman"/>
          <w:bCs/>
          <w:color w:val="auto"/>
          <w:kern w:val="0"/>
          <w:sz w:val="32"/>
          <w:lang w:val="zh-CN"/>
        </w:rPr>
        <w:t>创新能力建设</w:t>
      </w:r>
      <w:r>
        <w:rPr>
          <w:rFonts w:hint="default" w:ascii="Times New Roman" w:hAnsi="Times New Roman" w:eastAsia="仿宋_GB2312" w:cs="Times New Roman"/>
          <w:bCs/>
          <w:color w:val="auto"/>
          <w:kern w:val="0"/>
          <w:sz w:val="32"/>
        </w:rPr>
        <w:t>项目，已产出多项专利，开展相关技术交流、学术会议百余次，培养和引进高端人才近百人。</w:t>
      </w:r>
    </w:p>
    <w:p>
      <w:pPr>
        <w:pageBreakBefore w:val="0"/>
        <w:kinsoku/>
        <w:wordWrap/>
        <w:overflowPunct/>
        <w:topLinePunct w:val="0"/>
        <w:bidi w:val="0"/>
        <w:adjustRightInd w:val="0"/>
        <w:snapToGrid w:val="0"/>
        <w:spacing w:line="560" w:lineRule="exact"/>
        <w:ind w:firstLine="642" w:firstLineChars="200"/>
        <w:rPr>
          <w:rFonts w:hint="default" w:ascii="Times New Roman" w:hAnsi="Times New Roman" w:eastAsia="仿宋_GB2312" w:cs="Times New Roman"/>
          <w:color w:val="auto"/>
          <w:sz w:val="32"/>
          <w:lang w:val="zh-CN"/>
        </w:rPr>
      </w:pPr>
      <w:r>
        <w:rPr>
          <w:rFonts w:hint="default" w:ascii="Times New Roman" w:hAnsi="Times New Roman" w:eastAsia="仿宋_GB2312" w:cs="Times New Roman"/>
          <w:b/>
          <w:bCs/>
          <w:color w:val="auto"/>
          <w:kern w:val="0"/>
          <w:sz w:val="32"/>
          <w:lang w:val="zh-CN"/>
        </w:rPr>
        <w:t>——生态效益</w:t>
      </w:r>
      <w:r>
        <w:rPr>
          <w:rFonts w:hint="default" w:ascii="Times New Roman" w:hAnsi="Times New Roman" w:eastAsia="仿宋_GB2312" w:cs="Times New Roman"/>
          <w:b/>
          <w:bCs/>
          <w:color w:val="auto"/>
          <w:kern w:val="0"/>
          <w:sz w:val="32"/>
        </w:rPr>
        <w:t>方面</w:t>
      </w:r>
      <w:r>
        <w:rPr>
          <w:rFonts w:hint="default" w:ascii="Times New Roman" w:hAnsi="Times New Roman" w:eastAsia="仿宋_GB2312" w:cs="Times New Roman"/>
          <w:b/>
          <w:bCs/>
          <w:color w:val="auto"/>
          <w:kern w:val="0"/>
          <w:sz w:val="32"/>
          <w:lang w:val="zh-CN"/>
        </w:rPr>
        <w:t>。</w:t>
      </w:r>
      <w:r>
        <w:rPr>
          <w:rFonts w:hint="default" w:ascii="Times New Roman" w:hAnsi="Times New Roman" w:eastAsia="仿宋_GB2312" w:cs="Times New Roman"/>
          <w:color w:val="auto"/>
          <w:kern w:val="0"/>
          <w:sz w:val="32"/>
        </w:rPr>
        <w:t>节能环保与生态建设项目实施</w:t>
      </w:r>
      <w:r>
        <w:rPr>
          <w:rFonts w:hint="default" w:ascii="Times New Roman" w:hAnsi="Times New Roman" w:eastAsia="仿宋_GB2312" w:cs="Times New Roman"/>
          <w:color w:val="auto"/>
          <w:sz w:val="32"/>
          <w:shd w:val="clear" w:color="auto" w:fill="FFFFFF"/>
        </w:rPr>
        <w:t>，有效减少COD等污染物排放量，资源循环利用量达到计划值，进一步完善碳达峰碳中和基础工作，改善周边环境质量，提高人民群众生活质量，</w:t>
      </w:r>
      <w:r>
        <w:rPr>
          <w:rFonts w:hint="default" w:ascii="Times New Roman" w:hAnsi="Times New Roman" w:eastAsia="仿宋_GB2312" w:cs="Times New Roman"/>
          <w:color w:val="auto"/>
          <w:kern w:val="0"/>
          <w:sz w:val="32"/>
        </w:rPr>
        <w:t>对我省生态文明建设、绿色低碳循环发展具有明显作用</w:t>
      </w:r>
      <w:r>
        <w:rPr>
          <w:rFonts w:hint="default" w:ascii="Times New Roman" w:hAnsi="Times New Roman" w:eastAsia="仿宋_GB2312" w:cs="Times New Roman"/>
          <w:color w:val="auto"/>
          <w:sz w:val="32"/>
          <w:shd w:val="clear" w:color="auto" w:fill="FFFFFF"/>
        </w:rPr>
        <w:t>。</w:t>
      </w:r>
      <w:r>
        <w:rPr>
          <w:rFonts w:hint="default" w:ascii="Times New Roman" w:hAnsi="Times New Roman" w:eastAsia="仿宋_GB2312" w:cs="Times New Roman"/>
          <w:color w:val="auto"/>
          <w:kern w:val="0"/>
          <w:sz w:val="32"/>
          <w:lang w:val="zh-CN"/>
        </w:rPr>
        <w:t>绿色建设理念要求贯穿项目施工建设全过程，</w:t>
      </w:r>
      <w:r>
        <w:rPr>
          <w:rFonts w:hint="default" w:ascii="Times New Roman" w:hAnsi="Times New Roman" w:eastAsia="仿宋_GB2312" w:cs="Times New Roman"/>
          <w:color w:val="auto"/>
          <w:kern w:val="0"/>
          <w:sz w:val="32"/>
        </w:rPr>
        <w:t>按照国家、地方法规和行业要求，采取措施控制施工现场的粉尘、废水、废气、固体废弃物以及噪声等对环境的污染和危害</w:t>
      </w:r>
      <w:r>
        <w:rPr>
          <w:rFonts w:hint="default" w:ascii="Times New Roman" w:hAnsi="Times New Roman" w:eastAsia="仿宋_GB2312" w:cs="Times New Roman"/>
          <w:color w:val="auto"/>
          <w:kern w:val="0"/>
          <w:sz w:val="32"/>
          <w:lang w:val="zh-CN"/>
        </w:rPr>
        <w:t>。</w:t>
      </w:r>
      <w:r>
        <w:rPr>
          <w:rFonts w:hint="default" w:ascii="Times New Roman" w:hAnsi="Times New Roman" w:eastAsia="仿宋_GB2312" w:cs="Times New Roman"/>
          <w:color w:val="auto"/>
          <w:kern w:val="0"/>
          <w:sz w:val="32"/>
        </w:rPr>
        <w:t>防止水土流失，保护和改善施工环境，保证项目建设人员身体健康。如</w:t>
      </w:r>
      <w:r>
        <w:rPr>
          <w:rFonts w:hint="default" w:ascii="Times New Roman" w:hAnsi="Times New Roman" w:eastAsia="仿宋_GB2312" w:cs="Times New Roman"/>
          <w:color w:val="auto"/>
          <w:sz w:val="32"/>
          <w:szCs w:val="32"/>
        </w:rPr>
        <w:t>公（专）用充电基础设施项目</w:t>
      </w:r>
      <w:r>
        <w:rPr>
          <w:rFonts w:hint="default" w:ascii="Times New Roman" w:hAnsi="Times New Roman" w:eastAsia="仿宋_GB2312" w:cs="Times New Roman"/>
          <w:color w:val="auto"/>
          <w:sz w:val="32"/>
          <w:szCs w:val="32"/>
          <w:lang w:val="zh-CN"/>
        </w:rPr>
        <w:t>的建成投运，有利于减少全市燃油汽车成品油消耗，为新能源汽车发展提供了坚强基础保障，助力完成“双碳”工作目标</w:t>
      </w:r>
      <w:r>
        <w:rPr>
          <w:rFonts w:hint="default" w:ascii="Times New Roman" w:hAnsi="Times New Roman" w:eastAsia="仿宋_GB2312" w:cs="Times New Roman"/>
          <w:color w:val="auto"/>
          <w:sz w:val="32"/>
          <w:lang w:val="zh-CN"/>
        </w:rPr>
        <w:t>；</w:t>
      </w:r>
      <w:r>
        <w:rPr>
          <w:rFonts w:hint="default" w:ascii="Times New Roman" w:hAnsi="Times New Roman" w:eastAsia="仿宋_GB2312" w:cs="Times New Roman"/>
          <w:color w:val="auto"/>
          <w:sz w:val="32"/>
          <w:szCs w:val="32"/>
        </w:rPr>
        <w:t>四川省气象灾害监测预警体系建设项目</w:t>
      </w:r>
      <w:r>
        <w:rPr>
          <w:rFonts w:hint="default" w:ascii="Times New Roman" w:hAnsi="Times New Roman" w:eastAsia="仿宋_GB2312" w:cs="Times New Roman"/>
          <w:color w:val="auto"/>
          <w:sz w:val="32"/>
          <w:lang w:val="zh-CN"/>
        </w:rPr>
        <w:t>建成后，提高人工增雨作业和开发空中云水资源的能力，可以进一步促进绿地增长和森林生长、保护植被、减少森林火灾，为我省走生态优先、绿色发展之路提供有力的气象科技支撑。</w:t>
      </w:r>
    </w:p>
    <w:p>
      <w:pPr>
        <w:pageBreakBefore w:val="0"/>
        <w:kinsoku/>
        <w:wordWrap/>
        <w:overflowPunct/>
        <w:topLinePunct w:val="0"/>
        <w:bidi w:val="0"/>
        <w:spacing w:line="560" w:lineRule="exact"/>
        <w:ind w:firstLine="642" w:firstLineChars="200"/>
        <w:rPr>
          <w:rFonts w:hint="default" w:ascii="Times New Roman" w:hAnsi="Times New Roman" w:eastAsia="仿宋_GB2312" w:cs="Times New Roman"/>
          <w:color w:val="auto"/>
          <w:kern w:val="0"/>
          <w:sz w:val="32"/>
          <w:lang w:val="zh-CN"/>
        </w:rPr>
      </w:pPr>
      <w:r>
        <w:rPr>
          <w:rFonts w:hint="default" w:ascii="Times New Roman" w:hAnsi="Times New Roman" w:eastAsia="仿宋_GB2312" w:cs="Times New Roman"/>
          <w:b/>
          <w:bCs/>
          <w:color w:val="auto"/>
          <w:kern w:val="0"/>
          <w:sz w:val="32"/>
          <w:lang w:val="zh-CN"/>
        </w:rPr>
        <w:t>——可持续效益</w:t>
      </w:r>
      <w:r>
        <w:rPr>
          <w:rFonts w:hint="default" w:ascii="Times New Roman" w:hAnsi="Times New Roman" w:eastAsia="仿宋_GB2312" w:cs="Times New Roman"/>
          <w:b/>
          <w:bCs/>
          <w:color w:val="auto"/>
          <w:kern w:val="0"/>
          <w:sz w:val="32"/>
        </w:rPr>
        <w:t>方面</w:t>
      </w:r>
      <w:r>
        <w:rPr>
          <w:rFonts w:hint="default" w:ascii="Times New Roman" w:hAnsi="Times New Roman" w:eastAsia="仿宋_GB2312" w:cs="Times New Roman"/>
          <w:b/>
          <w:bCs/>
          <w:color w:val="auto"/>
          <w:kern w:val="0"/>
          <w:sz w:val="32"/>
          <w:lang w:val="zh-CN"/>
        </w:rPr>
        <w:t>。</w:t>
      </w:r>
      <w:r>
        <w:rPr>
          <w:rFonts w:hint="default" w:ascii="Times New Roman" w:hAnsi="Times New Roman" w:eastAsia="仿宋_GB2312" w:cs="Times New Roman"/>
          <w:color w:val="auto"/>
          <w:kern w:val="0"/>
          <w:sz w:val="32"/>
        </w:rPr>
        <w:t>省预算内基本建设投资项目所带来的经济效益、社会效益和生态效益都</w:t>
      </w:r>
      <w:r>
        <w:rPr>
          <w:rFonts w:hint="default" w:ascii="Times New Roman" w:hAnsi="Times New Roman" w:eastAsia="仿宋_GB2312" w:cs="Times New Roman"/>
          <w:color w:val="auto"/>
          <w:sz w:val="32"/>
          <w:szCs w:val="32"/>
        </w:rPr>
        <w:t>是长期的、可持续的，对经济社会发展的积极影响长久而深远的。</w:t>
      </w:r>
      <w:r>
        <w:rPr>
          <w:rFonts w:hint="default" w:ascii="Times New Roman" w:hAnsi="Times New Roman" w:eastAsia="仿宋_GB2312" w:cs="Times New Roman"/>
          <w:color w:val="auto"/>
          <w:sz w:val="32"/>
          <w:szCs w:val="32"/>
          <w:lang w:val="zh-CN"/>
        </w:rPr>
        <w:t>如</w:t>
      </w:r>
      <w:r>
        <w:rPr>
          <w:rFonts w:hint="default" w:ascii="Times New Roman" w:hAnsi="Times New Roman" w:eastAsia="仿宋_GB2312" w:cs="Times New Roman"/>
          <w:color w:val="auto"/>
          <w:sz w:val="32"/>
          <w:szCs w:val="32"/>
        </w:rPr>
        <w:t>种质资源中心库建设属于国家战略，是国家种质资源库的重要组成部分，对于收集保存四川及西南地区农业种质资源意义重大。</w:t>
      </w:r>
      <w:r>
        <w:rPr>
          <w:rFonts w:hint="default" w:ascii="Times New Roman" w:hAnsi="Times New Roman" w:eastAsia="仿宋_GB2312" w:cs="Times New Roman"/>
          <w:color w:val="auto"/>
          <w:kern w:val="0"/>
          <w:sz w:val="32"/>
          <w:lang w:val="zh-CN"/>
        </w:rPr>
        <w:t>天府农业博览园主展馆建设项目</w:t>
      </w:r>
      <w:r>
        <w:rPr>
          <w:rFonts w:hint="default" w:ascii="Times New Roman" w:hAnsi="Times New Roman" w:eastAsia="仿宋_GB2312" w:cs="Times New Roman"/>
          <w:color w:val="auto"/>
          <w:kern w:val="0"/>
          <w:sz w:val="32"/>
        </w:rPr>
        <w:t>引领乡村振兴的探索和实践，助</w:t>
      </w:r>
      <w:r>
        <w:rPr>
          <w:rFonts w:hint="default" w:ascii="Times New Roman" w:hAnsi="Times New Roman" w:eastAsia="仿宋_GB2312" w:cs="Times New Roman"/>
          <w:color w:val="auto"/>
          <w:sz w:val="32"/>
          <w:szCs w:val="32"/>
        </w:rPr>
        <w:t>推四川农业供给侧结构改革，保护传承和发展中华传统农耕文化。</w:t>
      </w:r>
      <w:r>
        <w:rPr>
          <w:rFonts w:hint="default" w:ascii="Times New Roman" w:hAnsi="Times New Roman" w:eastAsia="仿宋_GB2312" w:cs="Times New Roman"/>
          <w:color w:val="auto"/>
          <w:sz w:val="32"/>
          <w:szCs w:val="32"/>
          <w:lang w:val="zh-CN"/>
        </w:rPr>
        <w:t>省级新区的建设涉及</w:t>
      </w:r>
      <w:r>
        <w:rPr>
          <w:rFonts w:hint="default" w:ascii="Times New Roman" w:hAnsi="Times New Roman" w:eastAsia="仿宋_GB2312" w:cs="Times New Roman"/>
          <w:color w:val="auto"/>
          <w:sz w:val="32"/>
          <w:szCs w:val="32"/>
        </w:rPr>
        <w:t>基</w:t>
      </w:r>
      <w:r>
        <w:rPr>
          <w:rFonts w:hint="default" w:ascii="Times New Roman" w:hAnsi="Times New Roman" w:eastAsia="仿宋_GB2312" w:cs="Times New Roman"/>
          <w:color w:val="auto"/>
          <w:sz w:val="32"/>
          <w:szCs w:val="32"/>
          <w:lang w:val="zh-CN"/>
        </w:rPr>
        <w:t>础设施、公共服务、产业发展和科技创新平台、节能环保和生态建设等各个领域，建成后有利于省级新区集聚发展优势产业、提升科技创新能力、增强优质公共服务供给能力、保护和改善生态环境，有利于提升经济和人口承载能力，加快城镇化进程，实现高质量发展，加快形成新增长极和动力源。</w:t>
      </w:r>
      <w:r>
        <w:rPr>
          <w:rFonts w:hint="default" w:ascii="Times New Roman" w:hAnsi="Times New Roman" w:eastAsia="仿宋_GB2312" w:cs="Times New Roman"/>
          <w:color w:val="auto"/>
          <w:sz w:val="32"/>
          <w:szCs w:val="32"/>
        </w:rPr>
        <w:t>完善空间定位基准现代化建设项目可在较长时间周期（10年以上）持续为我省各部门、各行业与大众提供实时、高精度的空间定位基准服务，带动我省北斗产业及相关新兴产业持续发展，促进相关产业转型升级。</w:t>
      </w:r>
      <w:r>
        <w:rPr>
          <w:rFonts w:hint="default" w:ascii="Times New Roman" w:hAnsi="Times New Roman" w:eastAsia="仿宋_GB2312" w:cs="Times New Roman"/>
          <w:bCs/>
          <w:color w:val="auto"/>
          <w:kern w:val="0"/>
          <w:sz w:val="32"/>
        </w:rPr>
        <w:t>重大科技基础设施和创新能力建设项目</w:t>
      </w:r>
      <w:r>
        <w:rPr>
          <w:rFonts w:hint="default" w:ascii="Times New Roman" w:hAnsi="Times New Roman" w:eastAsia="仿宋_GB2312" w:cs="Times New Roman"/>
          <w:color w:val="auto"/>
          <w:kern w:val="0"/>
          <w:sz w:val="32"/>
          <w:lang w:val="zh-CN"/>
        </w:rPr>
        <w:t>可支撑国家新冠疫苗研发及病毒测序、超高速真空管道轨道交通基础科学问题、空间光学薄膜材料、航空航天材料等各项重点工作开展，有效促进生物医药等相关领域科学发展，提升我省在高新技术等领域的创新能力。</w:t>
      </w:r>
    </w:p>
    <w:p>
      <w:pPr>
        <w:pageBreakBefore w:val="0"/>
        <w:kinsoku/>
        <w:wordWrap/>
        <w:overflowPunct/>
        <w:topLinePunct w:val="0"/>
        <w:bidi w:val="0"/>
        <w:spacing w:line="560" w:lineRule="exact"/>
        <w:ind w:firstLine="642" w:firstLineChars="200"/>
        <w:rPr>
          <w:rFonts w:hint="default" w:ascii="Times New Roman" w:hAnsi="Times New Roman" w:eastAsia="仿宋_GB2312" w:cs="Times New Roman"/>
          <w:b/>
          <w:bCs/>
          <w:color w:val="auto"/>
          <w:kern w:val="0"/>
          <w:sz w:val="32"/>
          <w:lang w:val="zh-CN"/>
        </w:rPr>
      </w:pPr>
      <w:r>
        <w:rPr>
          <w:rFonts w:hint="default" w:ascii="Times New Roman" w:hAnsi="Times New Roman" w:eastAsia="仿宋_GB2312" w:cs="Times New Roman"/>
          <w:b/>
          <w:bCs/>
          <w:color w:val="auto"/>
          <w:kern w:val="0"/>
          <w:sz w:val="32"/>
          <w:lang w:val="zh-CN"/>
        </w:rPr>
        <w:t>——服务对象满意度。</w:t>
      </w:r>
      <w:r>
        <w:rPr>
          <w:rFonts w:hint="default" w:ascii="Times New Roman" w:hAnsi="Times New Roman" w:eastAsia="仿宋_GB2312" w:cs="Times New Roman"/>
          <w:color w:val="auto"/>
          <w:kern w:val="0"/>
          <w:sz w:val="32"/>
        </w:rPr>
        <w:t>省预算内基本建设投资项目安排依据充分、资金分配公正、过程管理规范、结果符合预期，充分发挥了政府投资效益，得到了广大服务对象的高度认可与评价。</w:t>
      </w:r>
      <w:r>
        <w:rPr>
          <w:rFonts w:hint="default" w:ascii="Times New Roman" w:hAnsi="Times New Roman" w:eastAsia="仿宋_GB2312" w:cs="Times New Roman"/>
          <w:bCs/>
          <w:color w:val="auto"/>
          <w:kern w:val="0"/>
          <w:sz w:val="32"/>
        </w:rPr>
        <w:t>如</w:t>
      </w:r>
      <w:r>
        <w:rPr>
          <w:rFonts w:hint="default" w:ascii="Times New Roman" w:hAnsi="Times New Roman" w:eastAsia="仿宋_GB2312" w:cs="Times New Roman"/>
          <w:bCs/>
          <w:color w:val="auto"/>
          <w:kern w:val="0"/>
          <w:sz w:val="32"/>
          <w:lang w:val="zh-CN"/>
        </w:rPr>
        <w:t>支持公共就业专项，提供技能培训和就业岗位，带动妇女就业同时有效缓解产业空村、空心家庭、留守儿童等社会问题，显著增强</w:t>
      </w:r>
      <w:r>
        <w:rPr>
          <w:rFonts w:hint="default" w:ascii="Times New Roman" w:hAnsi="Times New Roman" w:cs="Times New Roman"/>
          <w:bCs/>
          <w:color w:val="auto"/>
          <w:kern w:val="0"/>
          <w:sz w:val="32"/>
          <w:lang w:val="zh-CN"/>
        </w:rPr>
        <w:t>了</w:t>
      </w:r>
      <w:r>
        <w:rPr>
          <w:rFonts w:hint="default" w:ascii="Times New Roman" w:hAnsi="Times New Roman" w:eastAsia="仿宋_GB2312" w:cs="Times New Roman"/>
          <w:bCs/>
          <w:color w:val="auto"/>
          <w:kern w:val="0"/>
          <w:sz w:val="32"/>
          <w:lang w:val="zh-CN"/>
        </w:rPr>
        <w:t>群众的幸福感和满意度。</w:t>
      </w:r>
      <w:r>
        <w:rPr>
          <w:rFonts w:hint="default" w:ascii="Times New Roman" w:hAnsi="Times New Roman" w:eastAsia="仿宋_GB2312" w:cs="Times New Roman"/>
          <w:bCs/>
          <w:color w:val="auto"/>
          <w:kern w:val="0"/>
          <w:sz w:val="32"/>
        </w:rPr>
        <w:t>灾后恢复重建项目恢复灾区道路、供水、桥梁等基础设施以及学校、医院等公共服务设施，</w:t>
      </w:r>
      <w:r>
        <w:rPr>
          <w:rFonts w:hint="default" w:ascii="Times New Roman" w:hAnsi="Times New Roman" w:eastAsia="仿宋_GB2312" w:cs="Times New Roman"/>
          <w:color w:val="auto"/>
          <w:sz w:val="32"/>
          <w:szCs w:val="32"/>
        </w:rPr>
        <w:t>排除安全隐患，构筑起保护人民群众健康和生命安全的有力屏障，</w:t>
      </w:r>
      <w:r>
        <w:rPr>
          <w:rFonts w:hint="default" w:ascii="Times New Roman" w:hAnsi="Times New Roman" w:eastAsia="仿宋_GB2312" w:cs="Times New Roman"/>
          <w:bCs/>
          <w:color w:val="auto"/>
          <w:kern w:val="0"/>
          <w:sz w:val="32"/>
        </w:rPr>
        <w:t>保证了灾区正常生产生活秩序</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2"/>
          <w:sz w:val="32"/>
          <w:szCs w:val="32"/>
          <w:lang w:val="zh-CN" w:eastAsia="zh-CN" w:bidi="ar-SA"/>
        </w:rPr>
        <w:t>以工代赈项目解决了项目区行路难、饮水难等问题，疏通了与脱贫群众密切相关的生产生活设施“最后一公里”障碍，进一步改善了发展环境</w:t>
      </w:r>
      <w:r>
        <w:rPr>
          <w:rFonts w:hint="default" w:ascii="Times New Roman" w:hAnsi="Times New Roman" w:eastAsia="仿宋_GB2312" w:cs="Times New Roman"/>
          <w:bCs/>
          <w:color w:val="auto"/>
          <w:kern w:val="0"/>
          <w:sz w:val="32"/>
          <w:lang w:val="zh-CN"/>
        </w:rPr>
        <w:t>。</w:t>
      </w:r>
    </w:p>
    <w:p>
      <w:pPr>
        <w:pageBreakBefore w:val="0"/>
        <w:kinsoku/>
        <w:wordWrap/>
        <w:overflowPunct/>
        <w:topLinePunct w:val="0"/>
        <w:bidi w:val="0"/>
        <w:adjustRightInd w:val="0"/>
        <w:snapToGrid w:val="0"/>
        <w:spacing w:line="560" w:lineRule="exact"/>
        <w:ind w:firstLine="720"/>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四、评价结论</w:t>
      </w:r>
    </w:p>
    <w:p>
      <w:pPr>
        <w:pageBreakBefore w:val="0"/>
        <w:kinsoku/>
        <w:wordWrap/>
        <w:overflowPunct/>
        <w:topLinePunct w:val="0"/>
        <w:bidi w:val="0"/>
        <w:adjustRightInd w:val="0"/>
        <w:snapToGrid w:val="0"/>
        <w:spacing w:line="560" w:lineRule="exact"/>
        <w:ind w:firstLine="642"/>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lang w:eastAsia="zh-CN"/>
        </w:rPr>
        <w:t>（</w:t>
      </w:r>
      <w:r>
        <w:rPr>
          <w:rFonts w:hint="default" w:ascii="Times New Roman" w:hAnsi="Times New Roman" w:eastAsia="楷体_GB2312" w:cs="Times New Roman"/>
          <w:b/>
          <w:bCs/>
          <w:color w:val="auto"/>
          <w:sz w:val="32"/>
          <w:lang w:val="en-US" w:eastAsia="zh-CN"/>
        </w:rPr>
        <w:t>一</w:t>
      </w:r>
      <w:r>
        <w:rPr>
          <w:rFonts w:hint="default" w:ascii="Times New Roman" w:hAnsi="Times New Roman" w:eastAsia="楷体_GB2312" w:cs="Times New Roman"/>
          <w:b/>
          <w:bCs/>
          <w:color w:val="auto"/>
          <w:sz w:val="32"/>
          <w:lang w:eastAsia="zh-CN"/>
        </w:rPr>
        <w:t>）</w:t>
      </w:r>
      <w:r>
        <w:rPr>
          <w:rFonts w:hint="default" w:ascii="Times New Roman" w:hAnsi="Times New Roman" w:eastAsia="楷体_GB2312" w:cs="Times New Roman"/>
          <w:b/>
          <w:bCs/>
          <w:color w:val="auto"/>
          <w:sz w:val="32"/>
        </w:rPr>
        <w:t>程序规范严密。</w:t>
      </w:r>
      <w:r>
        <w:rPr>
          <w:rFonts w:hint="default" w:ascii="Times New Roman" w:hAnsi="Times New Roman" w:eastAsia="仿宋_GB2312" w:cs="Times New Roman"/>
          <w:color w:val="auto"/>
          <w:sz w:val="32"/>
        </w:rPr>
        <w:t>早启动早部署，</w:t>
      </w:r>
      <w:r>
        <w:rPr>
          <w:rFonts w:hint="default" w:ascii="Times New Roman" w:hAnsi="Times New Roman" w:eastAsia="仿宋_GB2312" w:cs="Times New Roman"/>
          <w:color w:val="auto"/>
          <w:sz w:val="32"/>
          <w:szCs w:val="32"/>
        </w:rPr>
        <w:t>为</w:t>
      </w:r>
      <w:r>
        <w:rPr>
          <w:rFonts w:hint="default" w:ascii="Times New Roman" w:hAnsi="Times New Roman" w:eastAsia="仿宋_GB2312" w:cs="Times New Roman"/>
          <w:color w:val="auto"/>
          <w:sz w:val="32"/>
        </w:rPr>
        <w:t>充分发挥</w:t>
      </w:r>
      <w:r>
        <w:rPr>
          <w:rFonts w:hint="default" w:ascii="Times New Roman" w:hAnsi="Times New Roman" w:eastAsia="仿宋_GB2312" w:cs="Times New Roman"/>
          <w:color w:val="auto"/>
          <w:sz w:val="32"/>
          <w:szCs w:val="32"/>
        </w:rPr>
        <w:t>省预算内基本建设投资</w:t>
      </w:r>
      <w:r>
        <w:rPr>
          <w:rFonts w:hint="default" w:ascii="Times New Roman" w:hAnsi="Times New Roman" w:eastAsia="仿宋_GB2312" w:cs="Times New Roman"/>
          <w:color w:val="auto"/>
          <w:sz w:val="32"/>
        </w:rPr>
        <w:t>对全省经济社会发展的引导带动作用，积极扩大有效投资，加快推动重大工程项目建设</w:t>
      </w:r>
      <w:r>
        <w:rPr>
          <w:rFonts w:hint="default" w:ascii="Times New Roman" w:hAnsi="Times New Roman" w:eastAsia="仿宋_GB2312" w:cs="Times New Roman"/>
          <w:color w:val="auto"/>
          <w:sz w:val="32"/>
          <w:szCs w:val="32"/>
        </w:rPr>
        <w:t>，我委2020年9月就启动了2021年省预算内基本建设投资安排研究工作，会同各地、各相关部门研究省预算内投资安排重点领域</w:t>
      </w:r>
      <w:r>
        <w:rPr>
          <w:rFonts w:hint="default" w:ascii="Times New Roman" w:hAnsi="Times New Roman" w:eastAsia="仿宋_GB2312" w:cs="Times New Roman"/>
          <w:color w:val="auto"/>
          <w:sz w:val="32"/>
        </w:rPr>
        <w:t>方向，</w:t>
      </w:r>
      <w:r>
        <w:rPr>
          <w:rFonts w:hint="default" w:ascii="Times New Roman" w:hAnsi="Times New Roman" w:eastAsia="仿宋_GB2312" w:cs="Times New Roman"/>
          <w:color w:val="auto"/>
          <w:sz w:val="32"/>
          <w:szCs w:val="32"/>
        </w:rPr>
        <w:t>形成安排建议方案。同时，严格遵照《四川省省级财政性资金管理决策程序规定（试行）》，认真履行集体决策程序，省预算内投资安排建议方案经委党组会研究后上报省政府，按照省政府常务会议审定同意的方案按程序抓紧下达投资计划，其中涉及二次分配的资金，具体安排建议经委党组会研究后再报省政府常务会议审议通过后及时下达。</w:t>
      </w:r>
    </w:p>
    <w:p>
      <w:pPr>
        <w:pageBreakBefore w:val="0"/>
        <w:kinsoku/>
        <w:wordWrap/>
        <w:overflowPunct/>
        <w:topLinePunct w:val="0"/>
        <w:bidi w:val="0"/>
        <w:adjustRightInd w:val="0"/>
        <w:snapToGrid w:val="0"/>
        <w:spacing w:line="560" w:lineRule="exact"/>
        <w:ind w:firstLine="642"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lang w:eastAsia="zh-CN"/>
        </w:rPr>
        <w:t>（</w:t>
      </w:r>
      <w:r>
        <w:rPr>
          <w:rFonts w:hint="default" w:ascii="Times New Roman" w:hAnsi="Times New Roman" w:eastAsia="楷体_GB2312" w:cs="Times New Roman"/>
          <w:b/>
          <w:bCs/>
          <w:color w:val="auto"/>
          <w:sz w:val="32"/>
          <w:lang w:val="en-US" w:eastAsia="zh-CN"/>
        </w:rPr>
        <w:t>二</w:t>
      </w:r>
      <w:r>
        <w:rPr>
          <w:rFonts w:hint="default" w:ascii="Times New Roman" w:hAnsi="Times New Roman" w:eastAsia="楷体_GB2312" w:cs="Times New Roman"/>
          <w:b/>
          <w:bCs/>
          <w:color w:val="auto"/>
          <w:sz w:val="32"/>
          <w:lang w:eastAsia="zh-CN"/>
        </w:rPr>
        <w:t>）</w:t>
      </w:r>
      <w:r>
        <w:rPr>
          <w:rFonts w:hint="default" w:ascii="Times New Roman" w:hAnsi="Times New Roman" w:eastAsia="楷体_GB2312" w:cs="Times New Roman"/>
          <w:b/>
          <w:bCs/>
          <w:color w:val="auto"/>
          <w:sz w:val="32"/>
        </w:rPr>
        <w:t>安排依据充分。</w:t>
      </w:r>
      <w:r>
        <w:rPr>
          <w:rFonts w:hint="default" w:ascii="Times New Roman" w:hAnsi="Times New Roman" w:eastAsia="仿宋_GB2312" w:cs="Times New Roman"/>
          <w:color w:val="auto"/>
          <w:sz w:val="32"/>
          <w:szCs w:val="32"/>
        </w:rPr>
        <w:t>省预算内基本建设投资紧紧围绕省委、省政府中心工作，根据中央和省上印发出台的相关规划、实施方案和政策文件，围绕重大基础设施、重大社会事业和民生工程、重点园区和创新平台、节能环保与生态建设、其他方面等五大领域，主要安排关乎社会民生福祉的，需政府投资建设的项目等，安排事项依据充分，包括</w:t>
      </w:r>
      <w:r>
        <w:rPr>
          <w:rFonts w:hint="default" w:ascii="Times New Roman" w:hAnsi="Times New Roman" w:eastAsia="仿宋_GB2312" w:cs="Times New Roman"/>
          <w:color w:val="auto"/>
          <w:sz w:val="32"/>
        </w:rPr>
        <w:t>《四川省高速公路网规划（2019-2035年）》《国家公路网规划（2013年—2030年）》</w:t>
      </w:r>
      <w:r>
        <w:rPr>
          <w:rFonts w:hint="default" w:ascii="Times New Roman" w:hAnsi="Times New Roman" w:eastAsia="仿宋_GB2312" w:cs="Times New Roman"/>
          <w:color w:val="auto"/>
          <w:sz w:val="32"/>
          <w:szCs w:val="32"/>
        </w:rPr>
        <w:t>《国家口岸发展“十三五”规划》</w:t>
      </w:r>
      <w:r>
        <w:rPr>
          <w:rFonts w:hint="default" w:ascii="Times New Roman" w:hAnsi="Times New Roman" w:eastAsia="仿宋_GB2312" w:cs="Times New Roman"/>
          <w:color w:val="auto"/>
          <w:sz w:val="32"/>
        </w:rPr>
        <w:t>《四川省人民政府办公厅关于印发四川省应急救援能力提升行动计划（2019—2021年）的通知》《四川省人民政府办公厅关于印发四川省森林草原防灭火标本兼治总体方案（2020—2025）的通知》《国家重大科技基础设施建设中长期规划（2012—2030年）》《“十四五”推动黄河流域生态保护和高质量发展规划》</w:t>
      </w:r>
      <w:r>
        <w:rPr>
          <w:rFonts w:hint="default"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rPr>
        <w:t>水利部 国家发展改革委关于印发全国水文基础设施建设“十四五”规划的通知》《四川省渠江流域防洪规划》</w:t>
      </w:r>
      <w:r>
        <w:rPr>
          <w:rFonts w:hint="default" w:ascii="Times New Roman" w:hAnsi="Times New Roman" w:eastAsia="仿宋_GB2312" w:cs="Times New Roman"/>
          <w:color w:val="auto"/>
          <w:kern w:val="0"/>
          <w:sz w:val="32"/>
        </w:rPr>
        <w:t>《四川省气象事业发展“十三五”规划》</w:t>
      </w:r>
      <w:r>
        <w:rPr>
          <w:rFonts w:hint="default" w:ascii="Times New Roman" w:hAnsi="Times New Roman" w:eastAsia="仿宋_GB2312" w:cs="Times New Roman"/>
          <w:color w:val="auto"/>
          <w:sz w:val="32"/>
        </w:rPr>
        <w:t>《推动农村电网改造升级工作方案》《四川省园区循环化改造</w:t>
      </w:r>
      <w:r>
        <w:rPr>
          <w:rFonts w:hint="default" w:ascii="Times New Roman" w:hAnsi="Times New Roman" w:eastAsia="仿宋_GB2312" w:cs="Times New Roman"/>
          <w:color w:val="auto"/>
          <w:sz w:val="32"/>
          <w:lang w:eastAsia="zh-CN"/>
        </w:rPr>
        <w:t>推进方案</w:t>
      </w: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val="zh-CN"/>
        </w:rPr>
        <w:t>《</w:t>
      </w:r>
      <w:r>
        <w:rPr>
          <w:rFonts w:hint="default" w:ascii="Times New Roman" w:hAnsi="Times New Roman" w:eastAsia="仿宋_GB2312" w:cs="Times New Roman"/>
          <w:color w:val="auto"/>
          <w:sz w:val="32"/>
        </w:rPr>
        <w:t>四川</w:t>
      </w:r>
      <w:r>
        <w:rPr>
          <w:rFonts w:hint="default" w:ascii="Times New Roman" w:hAnsi="Times New Roman" w:eastAsia="仿宋_GB2312" w:cs="Times New Roman"/>
          <w:color w:val="auto"/>
          <w:sz w:val="32"/>
          <w:lang w:val="zh-CN"/>
        </w:rPr>
        <w:t>省</w:t>
      </w:r>
      <w:r>
        <w:rPr>
          <w:rFonts w:hint="default" w:ascii="Times New Roman" w:hAnsi="Times New Roman" w:eastAsia="仿宋_GB2312" w:cs="Times New Roman"/>
          <w:color w:val="auto"/>
          <w:sz w:val="32"/>
        </w:rPr>
        <w:t>人民</w:t>
      </w:r>
      <w:r>
        <w:rPr>
          <w:rFonts w:hint="default" w:ascii="Times New Roman" w:hAnsi="Times New Roman" w:eastAsia="仿宋_GB2312" w:cs="Times New Roman"/>
          <w:color w:val="auto"/>
          <w:sz w:val="32"/>
          <w:lang w:val="zh-CN"/>
        </w:rPr>
        <w:t>政府办公厅关于印发支持省级新区发展政策措施的通知》</w:t>
      </w:r>
      <w:r>
        <w:rPr>
          <w:rFonts w:hint="default" w:ascii="Times New Roman" w:hAnsi="Times New Roman" w:eastAsia="仿宋_GB2312" w:cs="Times New Roman"/>
          <w:color w:val="auto"/>
          <w:sz w:val="32"/>
        </w:rPr>
        <w:t>《关于加快开展县城城镇</w:t>
      </w:r>
      <w:r>
        <w:rPr>
          <w:rFonts w:hint="default" w:ascii="Times New Roman" w:hAnsi="Times New Roman" w:eastAsia="仿宋_GB2312" w:cs="Times New Roman"/>
          <w:color w:val="auto"/>
          <w:sz w:val="32"/>
          <w:szCs w:val="32"/>
        </w:rPr>
        <w:t>化补短板强弱项工作的通知》《关于印发〈加强农村留守妇女关爱服务工作三十条措施〉的通知》《关于印发〈四川省争创全国百强县百强区百强镇支持奖励办法〉和〈全国百强县百强区百强镇培育工作方案〉的通知》《四川省“十四五”以工代赈实施方案》等。</w:t>
      </w:r>
    </w:p>
    <w:p>
      <w:pPr>
        <w:pageBreakBefore w:val="0"/>
        <w:kinsoku/>
        <w:wordWrap/>
        <w:overflowPunct/>
        <w:topLinePunct w:val="0"/>
        <w:bidi w:val="0"/>
        <w:spacing w:line="560" w:lineRule="exact"/>
        <w:ind w:firstLine="640"/>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b/>
          <w:bCs/>
          <w:color w:val="auto"/>
          <w:sz w:val="32"/>
          <w:szCs w:val="22"/>
          <w:lang w:eastAsia="zh-CN"/>
        </w:rPr>
        <w:t>（</w:t>
      </w:r>
      <w:r>
        <w:rPr>
          <w:rFonts w:hint="default" w:ascii="Times New Roman" w:hAnsi="Times New Roman" w:eastAsia="楷体_GB2312" w:cs="Times New Roman"/>
          <w:b/>
          <w:bCs/>
          <w:color w:val="auto"/>
          <w:sz w:val="32"/>
          <w:szCs w:val="22"/>
          <w:lang w:val="en-US" w:eastAsia="zh-CN"/>
        </w:rPr>
        <w:t>三</w:t>
      </w:r>
      <w:r>
        <w:rPr>
          <w:rFonts w:hint="default" w:ascii="Times New Roman" w:hAnsi="Times New Roman" w:eastAsia="楷体_GB2312" w:cs="Times New Roman"/>
          <w:b/>
          <w:bCs/>
          <w:color w:val="auto"/>
          <w:sz w:val="32"/>
          <w:szCs w:val="22"/>
          <w:lang w:eastAsia="zh-CN"/>
        </w:rPr>
        <w:t>）</w:t>
      </w:r>
      <w:r>
        <w:rPr>
          <w:rFonts w:hint="default" w:ascii="Times New Roman" w:hAnsi="Times New Roman" w:eastAsia="楷体_GB2312" w:cs="Times New Roman"/>
          <w:b/>
          <w:bCs/>
          <w:color w:val="auto"/>
          <w:sz w:val="32"/>
          <w:szCs w:val="22"/>
        </w:rPr>
        <w:t>安排重点突出。</w:t>
      </w:r>
      <w:r>
        <w:rPr>
          <w:rFonts w:hint="default" w:ascii="Times New Roman" w:hAnsi="Times New Roman" w:eastAsia="仿宋_GB2312" w:cs="Times New Roman"/>
          <w:color w:val="auto"/>
          <w:sz w:val="32"/>
          <w:szCs w:val="32"/>
        </w:rPr>
        <w:t>2021年省预算内投资安排进一步优化结构突出重点，集中力量办大事，重点安排省委、省政府确定支持的重大项目，以及中央预算内投资项目配套</w:t>
      </w:r>
      <w:r>
        <w:rPr>
          <w:rFonts w:hint="default" w:ascii="Times New Roman" w:hAnsi="Times New Roman" w:eastAsia="仿宋_GB2312" w:cs="Times New Roman"/>
          <w:color w:val="auto"/>
          <w:kern w:val="0"/>
          <w:sz w:val="32"/>
          <w:szCs w:val="32"/>
        </w:rPr>
        <w:t>。安排省委、省政府明确支持重大事项60亿元，占总盘子的85.7%；中央预算内投资项目配套6亿元，占总盘子的8.6%；围绕省委、省政府中心工作支持事项安排4亿元，占总盘子的5.7%。</w:t>
      </w:r>
    </w:p>
    <w:p>
      <w:pPr>
        <w:pageBreakBefore w:val="0"/>
        <w:kinsoku/>
        <w:wordWrap/>
        <w:overflowPunct/>
        <w:topLinePunct w:val="0"/>
        <w:bidi w:val="0"/>
        <w:spacing w:line="560" w:lineRule="exact"/>
        <w:ind w:firstLine="640"/>
        <w:rPr>
          <w:rFonts w:hint="default" w:ascii="Times New Roman" w:hAnsi="Times New Roman" w:eastAsia="黑体" w:cs="Times New Roman"/>
          <w:color w:val="auto"/>
          <w:sz w:val="32"/>
          <w:szCs w:val="32"/>
        </w:rPr>
      </w:pPr>
      <w:r>
        <w:rPr>
          <w:rFonts w:hint="default" w:ascii="Times New Roman" w:hAnsi="Times New Roman" w:eastAsia="楷体_GB2312" w:cs="Times New Roman"/>
          <w:b/>
          <w:bCs/>
          <w:color w:val="auto"/>
          <w:sz w:val="32"/>
          <w:lang w:eastAsia="zh-CN"/>
        </w:rPr>
        <w:t>（</w:t>
      </w:r>
      <w:r>
        <w:rPr>
          <w:rFonts w:hint="default" w:ascii="Times New Roman" w:hAnsi="Times New Roman" w:eastAsia="楷体_GB2312" w:cs="Times New Roman"/>
          <w:b/>
          <w:bCs/>
          <w:color w:val="auto"/>
          <w:sz w:val="32"/>
          <w:lang w:val="en-US" w:eastAsia="zh-CN"/>
        </w:rPr>
        <w:t>四</w:t>
      </w:r>
      <w:r>
        <w:rPr>
          <w:rFonts w:hint="default" w:ascii="Times New Roman" w:hAnsi="Times New Roman" w:eastAsia="楷体_GB2312" w:cs="Times New Roman"/>
          <w:b/>
          <w:bCs/>
          <w:color w:val="auto"/>
          <w:sz w:val="32"/>
          <w:lang w:eastAsia="zh-CN"/>
        </w:rPr>
        <w:t>）</w:t>
      </w:r>
      <w:r>
        <w:rPr>
          <w:rFonts w:hint="default" w:ascii="Times New Roman" w:hAnsi="Times New Roman" w:eastAsia="楷体_GB2312" w:cs="Times New Roman"/>
          <w:b/>
          <w:bCs/>
          <w:color w:val="auto"/>
          <w:sz w:val="32"/>
        </w:rPr>
        <w:t>结果符合预期。</w:t>
      </w:r>
      <w:r>
        <w:rPr>
          <w:rFonts w:hint="default" w:ascii="Times New Roman" w:hAnsi="Times New Roman" w:eastAsia="仿宋_GB2312" w:cs="Times New Roman"/>
          <w:color w:val="auto"/>
          <w:sz w:val="32"/>
          <w:szCs w:val="32"/>
        </w:rPr>
        <w:t>省预算内基本建设投资突出全省中心工作，集中力量支持一批对稳增长、调结构、惠民生、补短板有重要作用的重点工程。发挥了对全省经济社会发展“四两拨千斤”的导向作用。与中央预算内投资形成合力，有力保障了中央投资项目的顺利实施，对地方经济社会发展起到重要支撑。</w:t>
      </w:r>
    </w:p>
    <w:p>
      <w:pPr>
        <w:pageBreakBefore w:val="0"/>
        <w:kinsoku/>
        <w:wordWrap/>
        <w:overflowPunct/>
        <w:topLinePunct w:val="0"/>
        <w:bidi w:val="0"/>
        <w:spacing w:line="560" w:lineRule="exact"/>
        <w:jc w:val="left"/>
        <w:outlineLvl w:val="0"/>
        <w:rPr>
          <w:rFonts w:hint="default" w:ascii="Times New Roman" w:hAnsi="Times New Roman" w:eastAsia="黑体" w:cs="Times New Roman"/>
          <w:color w:val="auto"/>
          <w:sz w:val="32"/>
          <w:szCs w:val="32"/>
        </w:rPr>
      </w:pPr>
    </w:p>
    <w:p>
      <w:pPr>
        <w:pageBreakBefore w:val="0"/>
        <w:kinsoku/>
        <w:wordWrap/>
        <w:overflowPunct/>
        <w:topLinePunct w:val="0"/>
        <w:bidi w:val="0"/>
        <w:spacing w:line="560" w:lineRule="exact"/>
        <w:jc w:val="left"/>
        <w:outlineLvl w:val="0"/>
        <w:rPr>
          <w:rFonts w:hint="default" w:ascii="Times New Roman" w:hAnsi="Times New Roman" w:eastAsia="黑体" w:cs="Times New Roman"/>
          <w:color w:val="auto"/>
          <w:sz w:val="32"/>
          <w:szCs w:val="32"/>
        </w:rPr>
      </w:pPr>
    </w:p>
    <w:p>
      <w:pPr>
        <w:pageBreakBefore w:val="0"/>
        <w:kinsoku/>
        <w:wordWrap/>
        <w:overflowPunct/>
        <w:topLinePunct w:val="0"/>
        <w:bidi w:val="0"/>
        <w:spacing w:line="560" w:lineRule="exact"/>
        <w:jc w:val="left"/>
        <w:outlineLvl w:val="0"/>
        <w:rPr>
          <w:rFonts w:hint="default" w:ascii="Times New Roman" w:hAnsi="Times New Roman" w:eastAsia="黑体" w:cs="Times New Roman"/>
          <w:color w:val="auto"/>
          <w:sz w:val="32"/>
          <w:szCs w:val="32"/>
        </w:rPr>
      </w:pPr>
    </w:p>
    <w:p>
      <w:pPr>
        <w:pageBreakBefore w:val="0"/>
        <w:kinsoku/>
        <w:wordWrap/>
        <w:overflowPunct/>
        <w:topLinePunct w:val="0"/>
        <w:bidi w:val="0"/>
        <w:spacing w:line="560" w:lineRule="exact"/>
        <w:jc w:val="left"/>
        <w:outlineLvl w:val="0"/>
        <w:rPr>
          <w:rFonts w:hint="default" w:ascii="Times New Roman" w:hAnsi="Times New Roman" w:eastAsia="黑体" w:cs="Times New Roman"/>
          <w:color w:val="auto"/>
          <w:sz w:val="32"/>
          <w:szCs w:val="32"/>
        </w:rPr>
      </w:pPr>
    </w:p>
    <w:p>
      <w:pPr>
        <w:pageBreakBefore w:val="0"/>
        <w:kinsoku/>
        <w:wordWrap/>
        <w:overflowPunct/>
        <w:topLinePunct w:val="0"/>
        <w:bidi w:val="0"/>
        <w:spacing w:line="560" w:lineRule="exact"/>
        <w:jc w:val="left"/>
        <w:outlineLvl w:val="0"/>
        <w:rPr>
          <w:rFonts w:hint="default" w:ascii="Times New Roman" w:hAnsi="Times New Roman" w:eastAsia="黑体" w:cs="Times New Roman"/>
          <w:color w:val="auto"/>
          <w:sz w:val="32"/>
          <w:szCs w:val="32"/>
        </w:rPr>
      </w:pPr>
    </w:p>
    <w:p>
      <w:pPr>
        <w:pageBreakBefore w:val="0"/>
        <w:kinsoku/>
        <w:wordWrap/>
        <w:overflowPunct/>
        <w:topLinePunct w:val="0"/>
        <w:bidi w:val="0"/>
        <w:spacing w:line="560" w:lineRule="exact"/>
        <w:jc w:val="left"/>
        <w:outlineLvl w:val="0"/>
        <w:rPr>
          <w:rFonts w:hint="default" w:ascii="Times New Roman" w:hAnsi="Times New Roman" w:eastAsia="黑体" w:cs="Times New Roman"/>
          <w:color w:val="auto"/>
          <w:sz w:val="32"/>
          <w:szCs w:val="32"/>
        </w:rPr>
      </w:pPr>
    </w:p>
    <w:p>
      <w:pPr>
        <w:pageBreakBefore w:val="0"/>
        <w:kinsoku/>
        <w:wordWrap/>
        <w:overflowPunct/>
        <w:topLinePunct w:val="0"/>
        <w:bidi w:val="0"/>
        <w:spacing w:line="560" w:lineRule="exact"/>
        <w:jc w:val="left"/>
        <w:outlineLvl w:val="0"/>
        <w:rPr>
          <w:rFonts w:hint="default" w:ascii="Times New Roman" w:hAnsi="Times New Roman" w:eastAsia="黑体" w:cs="Times New Roman"/>
          <w:color w:val="auto"/>
          <w:sz w:val="32"/>
          <w:szCs w:val="32"/>
        </w:rPr>
      </w:pPr>
    </w:p>
    <w:p>
      <w:pPr>
        <w:pageBreakBefore w:val="0"/>
        <w:kinsoku/>
        <w:wordWrap/>
        <w:overflowPunct/>
        <w:topLinePunct w:val="0"/>
        <w:bidi w:val="0"/>
        <w:spacing w:line="560" w:lineRule="exact"/>
        <w:jc w:val="left"/>
        <w:outlineLvl w:val="0"/>
        <w:rPr>
          <w:rFonts w:hint="default" w:ascii="Times New Roman" w:hAnsi="Times New Roman" w:eastAsia="黑体" w:cs="Times New Roman"/>
          <w:color w:val="auto"/>
          <w:sz w:val="32"/>
          <w:szCs w:val="32"/>
        </w:rPr>
      </w:pPr>
    </w:p>
    <w:p>
      <w:pPr>
        <w:pageBreakBefore w:val="0"/>
        <w:kinsoku/>
        <w:wordWrap/>
        <w:overflowPunct/>
        <w:topLinePunct w:val="0"/>
        <w:bidi w:val="0"/>
        <w:spacing w:line="560" w:lineRule="exact"/>
        <w:jc w:val="left"/>
        <w:outlineLvl w:val="0"/>
        <w:rPr>
          <w:rFonts w:hint="default" w:ascii="Times New Roman" w:hAnsi="Times New Roman" w:eastAsia="黑体" w:cs="Times New Roman"/>
          <w:color w:val="auto"/>
          <w:sz w:val="32"/>
          <w:szCs w:val="32"/>
        </w:rPr>
      </w:pPr>
    </w:p>
    <w:p>
      <w:pPr>
        <w:pageBreakBefore w:val="0"/>
        <w:kinsoku/>
        <w:wordWrap/>
        <w:overflowPunct/>
        <w:topLinePunct w:val="0"/>
        <w:bidi w:val="0"/>
        <w:spacing w:line="560" w:lineRule="exact"/>
        <w:jc w:val="left"/>
        <w:outlineLvl w:val="0"/>
        <w:rPr>
          <w:rFonts w:hint="default" w:ascii="Times New Roman" w:hAnsi="Times New Roman" w:eastAsia="黑体" w:cs="Times New Roman"/>
          <w:color w:val="auto"/>
          <w:sz w:val="32"/>
          <w:szCs w:val="32"/>
        </w:rPr>
      </w:pPr>
    </w:p>
    <w:p>
      <w:pPr>
        <w:pageBreakBefore w:val="0"/>
        <w:kinsoku/>
        <w:wordWrap/>
        <w:overflowPunct/>
        <w:topLinePunct w:val="0"/>
        <w:bidi w:val="0"/>
        <w:spacing w:line="560" w:lineRule="exact"/>
        <w:jc w:val="left"/>
        <w:outlineLvl w:val="0"/>
        <w:rPr>
          <w:rFonts w:hint="default" w:ascii="Times New Roman" w:hAnsi="Times New Roman" w:eastAsia="黑体" w:cs="Times New Roman"/>
          <w:color w:val="auto"/>
          <w:sz w:val="44"/>
          <w:szCs w:val="44"/>
          <w:lang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3</w:t>
      </w:r>
    </w:p>
    <w:p>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方正小标宋简体" w:cs="Times New Roman"/>
          <w:b w:val="0"/>
          <w:bCs w:val="0"/>
          <w:color w:val="auto"/>
          <w:kern w:val="2"/>
          <w:sz w:val="44"/>
          <w:szCs w:val="44"/>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方正小标宋简体" w:cs="Times New Roman"/>
          <w:b w:val="0"/>
          <w:bCs w:val="0"/>
          <w:color w:val="auto"/>
          <w:sz w:val="44"/>
          <w:szCs w:val="44"/>
          <w:lang w:eastAsia="zh-CN"/>
        </w:rPr>
      </w:pPr>
      <w:r>
        <w:rPr>
          <w:rFonts w:hint="default" w:ascii="Times New Roman" w:hAnsi="Times New Roman" w:eastAsia="方正小标宋简体" w:cs="Times New Roman"/>
          <w:b w:val="0"/>
          <w:bCs w:val="0"/>
          <w:color w:val="auto"/>
          <w:kern w:val="2"/>
          <w:sz w:val="44"/>
          <w:szCs w:val="44"/>
          <w:lang w:val="en-US" w:eastAsia="zh-CN"/>
        </w:rPr>
        <w:t>2021年</w:t>
      </w:r>
      <w:r>
        <w:rPr>
          <w:rFonts w:hint="default" w:ascii="Times New Roman" w:hAnsi="Times New Roman" w:eastAsia="方正小标宋简体" w:cs="Times New Roman"/>
          <w:b w:val="0"/>
          <w:bCs w:val="0"/>
          <w:color w:val="auto"/>
          <w:sz w:val="44"/>
          <w:szCs w:val="44"/>
          <w:lang w:eastAsia="zh-CN"/>
        </w:rPr>
        <w:t>攀西战略资源创新开发专项资金</w:t>
      </w:r>
    </w:p>
    <w:p>
      <w:pPr>
        <w:pStyle w:val="42"/>
        <w:pageBreakBefore w:val="0"/>
        <w:kinsoku/>
        <w:wordWrap/>
        <w:overflowPunct/>
        <w:topLinePunct w:val="0"/>
        <w:bidi w:val="0"/>
        <w:spacing w:line="560" w:lineRule="exact"/>
        <w:jc w:val="center"/>
        <w:rPr>
          <w:rFonts w:hint="default" w:ascii="Times New Roman" w:hAnsi="Times New Roman" w:eastAsia="方正小标宋简体" w:cs="Times New Roman"/>
          <w:color w:val="auto"/>
          <w:kern w:val="2"/>
          <w:sz w:val="44"/>
          <w:szCs w:val="44"/>
          <w:lang w:val="en-US"/>
        </w:rPr>
      </w:pPr>
      <w:r>
        <w:rPr>
          <w:rFonts w:hint="default" w:ascii="Times New Roman" w:hAnsi="Times New Roman" w:eastAsia="方正小标宋简体" w:cs="Times New Roman"/>
          <w:b w:val="0"/>
          <w:bCs w:val="0"/>
          <w:color w:val="auto"/>
          <w:kern w:val="2"/>
          <w:sz w:val="44"/>
          <w:szCs w:val="44"/>
          <w:lang w:eastAsia="zh-CN"/>
        </w:rPr>
        <w:t>支出</w:t>
      </w:r>
      <w:r>
        <w:rPr>
          <w:rFonts w:hint="default" w:ascii="Times New Roman" w:hAnsi="Times New Roman" w:eastAsia="方正小标宋简体" w:cs="Times New Roman"/>
          <w:b w:val="0"/>
          <w:bCs w:val="0"/>
          <w:color w:val="auto"/>
          <w:kern w:val="2"/>
          <w:sz w:val="44"/>
          <w:szCs w:val="44"/>
        </w:rPr>
        <w:t>绩效</w:t>
      </w:r>
      <w:r>
        <w:rPr>
          <w:rFonts w:hint="default" w:ascii="Times New Roman" w:hAnsi="Times New Roman" w:eastAsia="方正小标宋简体" w:cs="Times New Roman"/>
          <w:color w:val="auto"/>
          <w:kern w:val="2"/>
          <w:sz w:val="44"/>
          <w:szCs w:val="44"/>
          <w:lang w:val="en-US"/>
        </w:rPr>
        <w:t>自评报告</w:t>
      </w:r>
    </w:p>
    <w:p>
      <w:pPr>
        <w:pStyle w:val="42"/>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cs="Times New Roman"/>
          <w:color w:val="auto"/>
          <w:kern w:val="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color w:val="auto"/>
          <w:sz w:val="32"/>
          <w:szCs w:val="32"/>
          <w:lang w:val="zh-CN"/>
        </w:rPr>
      </w:pPr>
      <w:r>
        <w:rPr>
          <w:rFonts w:hint="default" w:ascii="Times New Roman" w:hAnsi="Times New Roman" w:eastAsia="黑体" w:cs="Times New Roman"/>
          <w:color w:val="auto"/>
          <w:sz w:val="32"/>
          <w:szCs w:val="32"/>
        </w:rPr>
        <w:t>一、</w:t>
      </w:r>
      <w:r>
        <w:rPr>
          <w:rFonts w:hint="default" w:ascii="Times New Roman" w:hAnsi="Times New Roman" w:eastAsia="黑体" w:cs="Times New Roman"/>
          <w:color w:val="auto"/>
          <w:sz w:val="32"/>
          <w:szCs w:val="32"/>
          <w:lang w:val="zh-CN"/>
        </w:rPr>
        <w:t>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_GB2312" w:cs="Times New Roman"/>
          <w:b/>
          <w:bCs w:val="0"/>
          <w:color w:val="auto"/>
          <w:sz w:val="32"/>
          <w:szCs w:val="32"/>
          <w:lang w:val="zh-CN"/>
        </w:rPr>
      </w:pPr>
      <w:r>
        <w:rPr>
          <w:rFonts w:hint="default" w:ascii="Times New Roman" w:hAnsi="Times New Roman" w:eastAsia="楷体_GB2312" w:cs="Times New Roman"/>
          <w:b/>
          <w:bCs w:val="0"/>
          <w:color w:val="auto"/>
          <w:sz w:val="32"/>
          <w:szCs w:val="32"/>
          <w:lang w:val="zh-CN"/>
        </w:rPr>
        <w:t>（一）项目基本情况。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i w:val="0"/>
          <w:iCs w:val="0"/>
          <w:caps w:val="0"/>
          <w:color w:val="auto"/>
          <w:spacing w:val="0"/>
          <w:sz w:val="32"/>
          <w:szCs w:val="32"/>
          <w:lang w:val="en-US" w:eastAsia="zh-CN"/>
        </w:rPr>
        <w:t>1.</w:t>
      </w:r>
      <w:r>
        <w:rPr>
          <w:rFonts w:hint="default" w:ascii="Times New Roman" w:hAnsi="Times New Roman" w:eastAsia="仿宋_GB2312" w:cs="Times New Roman"/>
          <w:b/>
          <w:bCs/>
          <w:i w:val="0"/>
          <w:iCs w:val="0"/>
          <w:caps w:val="0"/>
          <w:color w:val="auto"/>
          <w:spacing w:val="0"/>
          <w:sz w:val="32"/>
          <w:szCs w:val="32"/>
          <w:lang w:val="zh-CN" w:eastAsia="zh-CN"/>
        </w:rPr>
        <w:t>主管部门职能。</w:t>
      </w:r>
      <w:r>
        <w:rPr>
          <w:rFonts w:hint="default" w:ascii="Times New Roman" w:hAnsi="Times New Roman" w:eastAsia="仿宋_GB2312" w:cs="Times New Roman"/>
          <w:color w:val="auto"/>
          <w:sz w:val="32"/>
          <w:szCs w:val="32"/>
          <w:lang w:val="zh-CN" w:eastAsia="zh-CN"/>
        </w:rPr>
        <w:t>攀西战略资源创新开发专项资金由省发展改革委、科技厅、财政厅共同管理。</w:t>
      </w:r>
      <w:r>
        <w:rPr>
          <w:rFonts w:hint="default" w:ascii="Times New Roman" w:hAnsi="Times New Roman" w:eastAsia="仿宋_GB2312" w:cs="Times New Roman"/>
          <w:color w:val="auto"/>
          <w:kern w:val="0"/>
          <w:sz w:val="32"/>
          <w:szCs w:val="32"/>
        </w:rPr>
        <w:t>省发展改革委</w:t>
      </w:r>
      <w:r>
        <w:rPr>
          <w:rFonts w:hint="default" w:ascii="Times New Roman" w:hAnsi="Times New Roman" w:eastAsia="仿宋_GB2312" w:cs="Times New Roman"/>
          <w:color w:val="auto"/>
          <w:kern w:val="0"/>
          <w:sz w:val="32"/>
          <w:szCs w:val="32"/>
          <w:lang w:eastAsia="zh-CN"/>
        </w:rPr>
        <w:t>牵头研究</w:t>
      </w:r>
      <w:r>
        <w:rPr>
          <w:rFonts w:hint="default" w:ascii="Times New Roman" w:hAnsi="Times New Roman" w:eastAsia="仿宋_GB2312" w:cs="Times New Roman"/>
          <w:color w:val="auto"/>
          <w:kern w:val="0"/>
          <w:sz w:val="32"/>
          <w:szCs w:val="32"/>
        </w:rPr>
        <w:t>提出专项资金重点投向</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组织申报项目的论证审查，提出年度专项资金安排建议，</w:t>
      </w:r>
      <w:r>
        <w:rPr>
          <w:rFonts w:hint="default" w:ascii="Times New Roman" w:hAnsi="Times New Roman" w:eastAsia="仿宋_GB2312" w:cs="Times New Roman"/>
          <w:color w:val="auto"/>
          <w:kern w:val="0"/>
          <w:sz w:val="32"/>
          <w:szCs w:val="32"/>
          <w:lang w:eastAsia="zh-CN"/>
        </w:rPr>
        <w:t>根据省政府审定意见下达专项资金投资计划</w:t>
      </w:r>
      <w:r>
        <w:rPr>
          <w:rFonts w:hint="default" w:ascii="Times New Roman" w:hAnsi="Times New Roman" w:eastAsia="仿宋_GB2312" w:cs="Times New Roman"/>
          <w:color w:val="auto"/>
          <w:kern w:val="0"/>
          <w:sz w:val="32"/>
          <w:szCs w:val="32"/>
        </w:rPr>
        <w:t>，做好项目的</w:t>
      </w:r>
      <w:r>
        <w:rPr>
          <w:rFonts w:hint="default" w:ascii="Times New Roman" w:hAnsi="Times New Roman" w:eastAsia="仿宋_GB2312" w:cs="Times New Roman"/>
          <w:color w:val="auto"/>
          <w:kern w:val="0"/>
          <w:sz w:val="32"/>
          <w:szCs w:val="32"/>
          <w:lang w:eastAsia="zh-CN"/>
        </w:rPr>
        <w:t>督导</w:t>
      </w:r>
      <w:r>
        <w:rPr>
          <w:rFonts w:hint="default" w:ascii="Times New Roman" w:hAnsi="Times New Roman" w:eastAsia="仿宋_GB2312" w:cs="Times New Roman"/>
          <w:color w:val="auto"/>
          <w:kern w:val="0"/>
          <w:sz w:val="32"/>
          <w:szCs w:val="32"/>
        </w:rPr>
        <w:t>、验收</w:t>
      </w:r>
      <w:r>
        <w:rPr>
          <w:rFonts w:hint="default" w:ascii="Times New Roman" w:hAnsi="Times New Roman" w:eastAsia="仿宋_GB2312" w:cs="Times New Roman"/>
          <w:color w:val="auto"/>
          <w:kern w:val="0"/>
          <w:sz w:val="32"/>
          <w:szCs w:val="32"/>
          <w:lang w:eastAsia="zh-CN"/>
        </w:rPr>
        <w:t>和组织项目绩效评价等工作；科技厅牵头组织科技攻关项目遴选、论证审查，提出年度科技攻关项目建议，做好项目督导、鉴定验收和绩效自评等工作；财政厅负责提出专项资金年度规模，按年度专项资金安排建议报省政府常务会议审定，根据专项资金投资计划审核拨付项目资金，监督管理专项资金使用。</w:t>
      </w:r>
      <w:r>
        <w:rPr>
          <w:rFonts w:hint="default" w:ascii="Times New Roman" w:hAnsi="Times New Roman" w:eastAsia="仿宋_GB2312" w:cs="Times New Roman"/>
          <w:color w:val="auto"/>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color w:val="auto"/>
          <w:kern w:val="0"/>
          <w:sz w:val="32"/>
          <w:szCs w:val="32"/>
          <w:lang w:val="en" w:eastAsia="zh-CN"/>
        </w:rPr>
      </w:pPr>
      <w:r>
        <w:rPr>
          <w:rFonts w:hint="default" w:ascii="Times New Roman" w:hAnsi="Times New Roman" w:eastAsia="仿宋_GB2312" w:cs="Times New Roman"/>
          <w:b/>
          <w:bCs/>
          <w:i w:val="0"/>
          <w:iCs w:val="0"/>
          <w:caps w:val="0"/>
          <w:color w:val="auto"/>
          <w:spacing w:val="0"/>
          <w:sz w:val="32"/>
          <w:szCs w:val="32"/>
          <w:lang w:val="en-US" w:eastAsia="zh-CN"/>
        </w:rPr>
        <w:t>2</w:t>
      </w:r>
      <w:r>
        <w:rPr>
          <w:rFonts w:hint="default" w:ascii="Times New Roman" w:hAnsi="Times New Roman" w:eastAsia="仿宋_GB2312" w:cs="Times New Roman"/>
          <w:b/>
          <w:bCs/>
          <w:i w:val="0"/>
          <w:iCs w:val="0"/>
          <w:caps w:val="0"/>
          <w:color w:val="auto"/>
          <w:spacing w:val="0"/>
          <w:sz w:val="32"/>
          <w:szCs w:val="32"/>
          <w:lang w:val="en" w:eastAsia="zh-CN"/>
        </w:rPr>
        <w:t>.项目立项、资金申报依据。</w:t>
      </w:r>
      <w:r>
        <w:rPr>
          <w:rFonts w:hint="default" w:ascii="Times New Roman" w:hAnsi="Times New Roman" w:eastAsia="仿宋_GB2312" w:cs="Times New Roman"/>
          <w:color w:val="auto"/>
          <w:kern w:val="0"/>
          <w:sz w:val="32"/>
          <w:szCs w:val="32"/>
          <w:lang w:val="en" w:eastAsia="zh-CN"/>
        </w:rPr>
        <w:t>按照省政府《关于支持攀西国家级战略资源创新开发试验区建设的</w:t>
      </w:r>
      <w:r>
        <w:rPr>
          <w:rFonts w:hint="default" w:ascii="Times New Roman" w:hAnsi="Times New Roman" w:eastAsia="仿宋_GB2312" w:cs="Times New Roman"/>
          <w:color w:val="auto"/>
          <w:kern w:val="0"/>
          <w:sz w:val="32"/>
          <w:szCs w:val="32"/>
          <w:lang w:val="en-US" w:eastAsia="zh-CN"/>
        </w:rPr>
        <w:t>政策意见</w:t>
      </w:r>
      <w:r>
        <w:rPr>
          <w:rFonts w:hint="default" w:ascii="Times New Roman" w:hAnsi="Times New Roman" w:eastAsia="仿宋_GB2312" w:cs="Times New Roman"/>
          <w:color w:val="auto"/>
          <w:kern w:val="0"/>
          <w:sz w:val="32"/>
          <w:szCs w:val="32"/>
          <w:lang w:val="en" w:eastAsia="zh-CN"/>
        </w:rPr>
        <w:t>》（</w:t>
      </w:r>
      <w:r>
        <w:rPr>
          <w:rFonts w:hint="default" w:ascii="Times New Roman" w:hAnsi="Times New Roman" w:eastAsia="仿宋_GB2312" w:cs="Times New Roman"/>
          <w:color w:val="auto"/>
          <w:kern w:val="0"/>
          <w:sz w:val="32"/>
          <w:szCs w:val="32"/>
          <w:lang w:val="en-US" w:eastAsia="zh-CN"/>
        </w:rPr>
        <w:t>川府发〔2013〕45号</w:t>
      </w:r>
      <w:r>
        <w:rPr>
          <w:rFonts w:hint="default" w:ascii="Times New Roman" w:hAnsi="Times New Roman" w:eastAsia="仿宋_GB2312" w:cs="Times New Roman"/>
          <w:color w:val="auto"/>
          <w:kern w:val="0"/>
          <w:sz w:val="32"/>
          <w:szCs w:val="32"/>
          <w:lang w:val="en" w:eastAsia="zh-CN"/>
        </w:rPr>
        <w:t>）</w:t>
      </w:r>
      <w:r>
        <w:rPr>
          <w:rFonts w:hint="default" w:ascii="Times New Roman" w:hAnsi="Times New Roman" w:eastAsia="仿宋_GB2312" w:cs="Times New Roman"/>
          <w:color w:val="auto"/>
          <w:kern w:val="0"/>
          <w:sz w:val="32"/>
          <w:szCs w:val="32"/>
          <w:lang w:val="en-US" w:eastAsia="zh-CN"/>
        </w:rPr>
        <w:t>，我委在2021年攀西战略资源创新开发专项资金中安排15000万元，用于支持攀西战略资源综合利用项目。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i w:val="0"/>
          <w:iCs w:val="0"/>
          <w:caps w:val="0"/>
          <w:color w:val="auto"/>
          <w:spacing w:val="0"/>
          <w:sz w:val="32"/>
          <w:szCs w:val="32"/>
          <w:lang w:val="zh-CN" w:eastAsia="zh-CN"/>
        </w:rPr>
        <w:t>资金管理办法制定情况，资金支持具体项目的条件、范围与支持方式概况。</w:t>
      </w:r>
      <w:r>
        <w:rPr>
          <w:rFonts w:hint="default" w:ascii="Times New Roman" w:hAnsi="Times New Roman" w:eastAsia="仿宋_GB2312" w:cs="Times New Roman"/>
          <w:color w:val="auto"/>
          <w:kern w:val="0"/>
          <w:sz w:val="32"/>
          <w:szCs w:val="32"/>
          <w:lang w:val="zh-CN" w:eastAsia="zh-CN"/>
        </w:rPr>
        <w:t>按照省政府十三届第</w:t>
      </w:r>
      <w:r>
        <w:rPr>
          <w:rFonts w:hint="default" w:ascii="Times New Roman" w:hAnsi="Times New Roman" w:eastAsia="仿宋_GB2312" w:cs="Times New Roman"/>
          <w:color w:val="auto"/>
          <w:kern w:val="0"/>
          <w:sz w:val="32"/>
          <w:szCs w:val="32"/>
          <w:lang w:val="en-US" w:eastAsia="zh-CN"/>
        </w:rPr>
        <w:t>88次</w:t>
      </w:r>
      <w:r>
        <w:rPr>
          <w:rFonts w:hint="default" w:ascii="Times New Roman" w:hAnsi="Times New Roman" w:eastAsia="仿宋_GB2312" w:cs="Times New Roman"/>
          <w:color w:val="auto"/>
          <w:kern w:val="0"/>
          <w:sz w:val="32"/>
          <w:szCs w:val="32"/>
          <w:lang w:val="zh-CN" w:eastAsia="zh-CN"/>
        </w:rPr>
        <w:t>常务会议审定要求，根据《</w:t>
      </w:r>
      <w:r>
        <w:rPr>
          <w:rFonts w:hint="default" w:ascii="Times New Roman" w:hAnsi="Times New Roman" w:eastAsia="仿宋_GB2312" w:cs="Times New Roman"/>
          <w:color w:val="auto"/>
          <w:kern w:val="0"/>
          <w:sz w:val="32"/>
          <w:szCs w:val="32"/>
          <w:lang w:val="en-US" w:eastAsia="zh-CN"/>
        </w:rPr>
        <w:t>攀西战略资源创新开发专项资金管理办法</w:t>
      </w:r>
      <w:r>
        <w:rPr>
          <w:rFonts w:hint="default" w:ascii="Times New Roman" w:hAnsi="Times New Roman" w:eastAsia="仿宋_GB2312" w:cs="Times New Roman"/>
          <w:color w:val="auto"/>
          <w:kern w:val="0"/>
          <w:sz w:val="32"/>
          <w:szCs w:val="32"/>
          <w:lang w:val="en" w:eastAsia="zh-CN"/>
        </w:rPr>
        <w:t>》（</w:t>
      </w:r>
      <w:r>
        <w:rPr>
          <w:rFonts w:hint="default" w:ascii="Times New Roman" w:hAnsi="Times New Roman" w:eastAsia="仿宋_GB2312" w:cs="Times New Roman"/>
          <w:color w:val="auto"/>
          <w:kern w:val="0"/>
          <w:sz w:val="32"/>
          <w:szCs w:val="32"/>
          <w:lang w:val="en-US" w:eastAsia="zh-CN"/>
        </w:rPr>
        <w:t>川发改产业〔2014〕773号</w:t>
      </w:r>
      <w:r>
        <w:rPr>
          <w:rFonts w:hint="default" w:ascii="Times New Roman" w:hAnsi="Times New Roman" w:eastAsia="仿宋_GB2312" w:cs="Times New Roman"/>
          <w:color w:val="auto"/>
          <w:kern w:val="0"/>
          <w:sz w:val="32"/>
          <w:szCs w:val="32"/>
          <w:lang w:val="en" w:eastAsia="zh-CN"/>
        </w:rPr>
        <w:t>）相关规定</w:t>
      </w:r>
      <w:r>
        <w:rPr>
          <w:rFonts w:hint="default" w:ascii="Times New Roman" w:hAnsi="Times New Roman" w:eastAsia="仿宋_GB2312" w:cs="Times New Roman"/>
          <w:color w:val="auto"/>
          <w:kern w:val="0"/>
          <w:sz w:val="32"/>
          <w:szCs w:val="32"/>
          <w:lang w:val="en-US" w:eastAsia="zh-CN"/>
        </w:rPr>
        <w:t>，2021年省发展改革委向攀枝花、凉山等6市（州）发展改革部门下达专项资金投资计划，涉及科技攻关、产业化、创新平台建设项目，采取投资补助方式安排。</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i w:val="0"/>
          <w:iCs w:val="0"/>
          <w:caps w:val="0"/>
          <w:color w:val="auto"/>
          <w:spacing w:val="0"/>
          <w:sz w:val="32"/>
          <w:szCs w:val="32"/>
          <w:lang w:val="zh-CN" w:eastAsia="zh-CN"/>
        </w:rPr>
        <w:t>资金分配的原则及考虑因素。</w:t>
      </w:r>
      <w:r>
        <w:rPr>
          <w:rFonts w:hint="default" w:ascii="Times New Roman" w:hAnsi="Times New Roman" w:eastAsia="仿宋_GB2312" w:cs="Times New Roman"/>
          <w:color w:val="auto"/>
          <w:kern w:val="0"/>
          <w:sz w:val="32"/>
          <w:szCs w:val="32"/>
          <w:lang w:val="zh-CN" w:eastAsia="zh-CN"/>
        </w:rPr>
        <w:t>按照《</w:t>
      </w:r>
      <w:r>
        <w:rPr>
          <w:rFonts w:hint="default" w:ascii="Times New Roman" w:hAnsi="Times New Roman" w:eastAsia="仿宋_GB2312" w:cs="Times New Roman"/>
          <w:color w:val="auto"/>
          <w:kern w:val="0"/>
          <w:sz w:val="32"/>
          <w:szCs w:val="32"/>
          <w:lang w:val="en-US" w:eastAsia="zh-CN"/>
        </w:rPr>
        <w:t>攀西战略资源创新开发专项资金管理办法</w:t>
      </w:r>
      <w:r>
        <w:rPr>
          <w:rFonts w:hint="default" w:ascii="Times New Roman" w:hAnsi="Times New Roman" w:eastAsia="仿宋_GB2312" w:cs="Times New Roman"/>
          <w:color w:val="auto"/>
          <w:kern w:val="0"/>
          <w:sz w:val="32"/>
          <w:szCs w:val="32"/>
          <w:lang w:val="en" w:eastAsia="zh-CN"/>
        </w:rPr>
        <w:t>》关于科技攻关及产业化项目专项资金分三次安排的规定</w:t>
      </w:r>
      <w:r>
        <w:rPr>
          <w:rFonts w:hint="default" w:ascii="Times New Roman" w:hAnsi="Times New Roman" w:eastAsia="仿宋_GB2312" w:cs="Times New Roman"/>
          <w:color w:val="auto"/>
          <w:sz w:val="32"/>
          <w:szCs w:val="32"/>
          <w:lang w:val="en-US" w:eastAsia="zh-CN"/>
        </w:rPr>
        <w:t>，根据年度完成鉴定验收项目情况，2021年续安排完成验收的产业化项目4048万元，新安排科技攻关项目3983万元、产业化项目6719万元、创新平台项目250万元。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_GB2312" w:cs="Times New Roman"/>
          <w:b/>
          <w:bCs w:val="0"/>
          <w:color w:val="auto"/>
          <w:sz w:val="32"/>
          <w:szCs w:val="32"/>
          <w:lang w:val="zh-CN"/>
        </w:rPr>
      </w:pPr>
      <w:r>
        <w:rPr>
          <w:rFonts w:hint="default" w:ascii="Times New Roman" w:hAnsi="Times New Roman" w:eastAsia="楷体_GB2312" w:cs="Times New Roman"/>
          <w:b/>
          <w:bCs w:val="0"/>
          <w:color w:val="auto"/>
          <w:sz w:val="32"/>
          <w:szCs w:val="32"/>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i w:val="0"/>
          <w:iCs w:val="0"/>
          <w:caps w:val="0"/>
          <w:color w:val="auto"/>
          <w:spacing w:val="0"/>
          <w:sz w:val="32"/>
          <w:szCs w:val="32"/>
          <w:lang w:val="zh-CN" w:eastAsia="zh-CN"/>
        </w:rPr>
        <w:t>1</w:t>
      </w:r>
      <w:r>
        <w:rPr>
          <w:rFonts w:hint="default" w:ascii="Times New Roman" w:hAnsi="Times New Roman" w:eastAsia="仿宋_GB2312" w:cs="Times New Roman"/>
          <w:b/>
          <w:bCs/>
          <w:i w:val="0"/>
          <w:iCs w:val="0"/>
          <w:caps w:val="0"/>
          <w:color w:val="auto"/>
          <w:spacing w:val="0"/>
          <w:sz w:val="32"/>
          <w:szCs w:val="32"/>
          <w:lang w:val="en" w:eastAsia="zh-CN"/>
        </w:rPr>
        <w:t>.</w:t>
      </w:r>
      <w:r>
        <w:rPr>
          <w:rFonts w:hint="default" w:ascii="Times New Roman" w:hAnsi="Times New Roman" w:eastAsia="仿宋_GB2312" w:cs="Times New Roman"/>
          <w:b/>
          <w:bCs/>
          <w:i w:val="0"/>
          <w:iCs w:val="0"/>
          <w:caps w:val="0"/>
          <w:color w:val="auto"/>
          <w:spacing w:val="0"/>
          <w:sz w:val="32"/>
          <w:szCs w:val="32"/>
          <w:lang w:val="zh-CN" w:eastAsia="zh-CN"/>
        </w:rPr>
        <w:t>项目主要内容。</w:t>
      </w:r>
      <w:r>
        <w:rPr>
          <w:rFonts w:hint="default" w:ascii="Times New Roman" w:hAnsi="Times New Roman" w:eastAsia="仿宋_GB2312" w:cs="Times New Roman"/>
          <w:color w:val="auto"/>
          <w:sz w:val="32"/>
          <w:szCs w:val="32"/>
          <w:lang w:val="en-US" w:eastAsia="zh-CN"/>
        </w:rPr>
        <w:t>2021年专项资金项目共24个。其中：科技攻关项目13个，包括钒钛领域大规格钛钢复合板技术、氯化钛白工艺技术、钒电池电堆产业化技术、共伴生钴镍铜资源高效分离提取技术等；稀土领域催化材料技术、磁性材料技术、硬质化数控刀具合金技术等；碲铋领域5N碲化镉低成本合成技术。产业化项目10个（含续安排项目4个），包括海绵钛结构优化技改、钛及钛合金材料产业化、稀土金属等。创新平台项目1个，为钒钛磁铁矿综合利用检验检测能力提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i w:val="0"/>
          <w:iCs w:val="0"/>
          <w:caps w:val="0"/>
          <w:color w:val="auto"/>
          <w:spacing w:val="0"/>
          <w:sz w:val="32"/>
          <w:szCs w:val="32"/>
          <w:lang w:val="en-US" w:eastAsia="zh-CN"/>
        </w:rPr>
        <w:t>2.</w:t>
      </w:r>
      <w:r>
        <w:rPr>
          <w:rFonts w:hint="default" w:ascii="Times New Roman" w:hAnsi="Times New Roman" w:eastAsia="仿宋_GB2312" w:cs="Times New Roman"/>
          <w:b/>
          <w:bCs/>
          <w:i w:val="0"/>
          <w:iCs w:val="0"/>
          <w:caps w:val="0"/>
          <w:color w:val="auto"/>
          <w:spacing w:val="0"/>
          <w:sz w:val="32"/>
          <w:szCs w:val="32"/>
          <w:lang w:val="zh-CN" w:eastAsia="zh-CN"/>
        </w:rPr>
        <w:t>项目应实现的具体绩效目标。</w:t>
      </w:r>
      <w:r>
        <w:rPr>
          <w:rFonts w:hint="default" w:ascii="Times New Roman" w:hAnsi="Times New Roman" w:eastAsia="仿宋_GB2312" w:cs="Times New Roman"/>
          <w:b w:val="0"/>
          <w:bCs w:val="0"/>
          <w:color w:val="auto"/>
          <w:sz w:val="32"/>
          <w:szCs w:val="32"/>
          <w:lang w:val="zh-CN"/>
        </w:rPr>
        <w:t>专项资金补助项目的开工率达到</w:t>
      </w:r>
      <w:r>
        <w:rPr>
          <w:rFonts w:hint="default" w:ascii="Times New Roman" w:hAnsi="Times New Roman" w:eastAsia="仿宋_GB2312" w:cs="Times New Roman"/>
          <w:b w:val="0"/>
          <w:bCs w:val="0"/>
          <w:color w:val="auto"/>
          <w:sz w:val="32"/>
          <w:szCs w:val="32"/>
          <w:lang w:val="en-US" w:eastAsia="zh-CN"/>
        </w:rPr>
        <w:t>100%，完成年度建设目标任务（其中，续安排项目完成鉴定验收），通过项目实施促进攀西战略资源关键技术取得重大突破、资源综合利用产业转型升级，相关企业产值利税提升、社会和生态效益良好，推动攀西试验区可持续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b/>
          <w:bCs/>
          <w:color w:val="auto"/>
          <w:sz w:val="32"/>
          <w:szCs w:val="32"/>
          <w:lang w:val="zh-CN"/>
        </w:rPr>
      </w:pPr>
      <w:r>
        <w:rPr>
          <w:rFonts w:hint="default" w:ascii="Times New Roman" w:hAnsi="Times New Roman" w:eastAsia="仿宋_GB2312" w:cs="Times New Roman"/>
          <w:b/>
          <w:bCs/>
          <w:color w:val="auto"/>
          <w:sz w:val="32"/>
          <w:szCs w:val="32"/>
          <w:lang w:val="zh-CN"/>
        </w:rPr>
        <w:t>3</w:t>
      </w:r>
      <w:r>
        <w:rPr>
          <w:rFonts w:hint="default" w:ascii="Times New Roman" w:hAnsi="Times New Roman" w:eastAsia="仿宋_GB2312" w:cs="Times New Roman"/>
          <w:b/>
          <w:bCs/>
          <w:color w:val="auto"/>
          <w:sz w:val="32"/>
          <w:szCs w:val="32"/>
          <w:lang w:val="en"/>
        </w:rPr>
        <w:t>.</w:t>
      </w:r>
      <w:r>
        <w:rPr>
          <w:rFonts w:hint="default" w:ascii="Times New Roman" w:hAnsi="Times New Roman" w:eastAsia="仿宋_GB2312" w:cs="Times New Roman"/>
          <w:b/>
          <w:bCs/>
          <w:color w:val="auto"/>
          <w:sz w:val="32"/>
          <w:szCs w:val="32"/>
          <w:lang w:val="zh-CN"/>
        </w:rPr>
        <w:t>申报内容与实际相符，申报目标合理可行。</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_GB2312" w:cs="Times New Roman"/>
          <w:b/>
          <w:bCs w:val="0"/>
          <w:color w:val="auto"/>
          <w:sz w:val="32"/>
          <w:szCs w:val="32"/>
          <w:lang w:val="zh-CN"/>
        </w:rPr>
      </w:pPr>
      <w:r>
        <w:rPr>
          <w:rFonts w:hint="default" w:ascii="Times New Roman" w:hAnsi="Times New Roman" w:eastAsia="楷体_GB2312" w:cs="Times New Roman"/>
          <w:b/>
          <w:bCs w:val="0"/>
          <w:color w:val="auto"/>
          <w:sz w:val="32"/>
          <w:szCs w:val="32"/>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en-US" w:eastAsia="zh-CN"/>
        </w:rPr>
        <w:t>根据</w:t>
      </w:r>
      <w:r>
        <w:rPr>
          <w:rFonts w:hint="default" w:ascii="Times New Roman" w:hAnsi="Times New Roman" w:eastAsia="仿宋_GB2312" w:cs="Times New Roman"/>
          <w:bCs/>
          <w:color w:val="auto"/>
          <w:sz w:val="32"/>
          <w:szCs w:val="32"/>
          <w:lang w:val="en-US" w:eastAsia="zh-CN"/>
        </w:rPr>
        <w:t>2022年省预算内投资项目绩效自评工作内容</w:t>
      </w:r>
      <w:r>
        <w:rPr>
          <w:rFonts w:hint="default" w:ascii="Times New Roman" w:hAnsi="Times New Roman" w:eastAsia="仿宋_GB2312" w:cs="Times New Roman"/>
          <w:color w:val="auto"/>
          <w:sz w:val="32"/>
          <w:szCs w:val="32"/>
          <w:lang w:val="zh-CN"/>
        </w:rPr>
        <w:t>，及时通知相关市（州）发展改革部门牵头梳理</w:t>
      </w:r>
      <w:r>
        <w:rPr>
          <w:rFonts w:hint="default" w:ascii="Times New Roman" w:hAnsi="Times New Roman" w:eastAsia="仿宋_GB2312" w:cs="Times New Roman"/>
          <w:bCs/>
          <w:color w:val="auto"/>
          <w:sz w:val="32"/>
          <w:szCs w:val="32"/>
          <w:lang w:val="en-US" w:eastAsia="zh-CN"/>
        </w:rPr>
        <w:t>2021年专项资金补助项目实施情况，并采取电话交流、网上调度等方式开展指导培训</w:t>
      </w:r>
      <w:r>
        <w:rPr>
          <w:rFonts w:hint="default" w:ascii="Times New Roman" w:hAnsi="Times New Roman" w:eastAsia="仿宋_GB2312" w:cs="Times New Roman"/>
          <w:bCs/>
          <w:color w:val="auto"/>
          <w:sz w:val="32"/>
          <w:szCs w:val="32"/>
          <w:lang w:eastAsia="zh-CN"/>
        </w:rPr>
        <w:t>。经商科技厅，拟据疫情形势适时开展实地项目督导核查工作。</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_GB2312" w:cs="Times New Roman"/>
          <w:b/>
          <w:bCs w:val="0"/>
          <w:color w:val="auto"/>
          <w:sz w:val="32"/>
          <w:szCs w:val="32"/>
          <w:lang w:val="zh-CN"/>
        </w:rPr>
      </w:pPr>
      <w:r>
        <w:rPr>
          <w:rFonts w:hint="default" w:ascii="Times New Roman" w:hAnsi="Times New Roman" w:eastAsia="楷体_GB2312" w:cs="Times New Roman"/>
          <w:b/>
          <w:bCs w:val="0"/>
          <w:color w:val="auto"/>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zh-CN"/>
        </w:rPr>
        <w:t>省发展改革委会同科技厅、财政厅研究明确</w:t>
      </w:r>
      <w:r>
        <w:rPr>
          <w:rFonts w:hint="default" w:ascii="Times New Roman" w:hAnsi="Times New Roman" w:eastAsia="仿宋_GB2312" w:cs="Times New Roman"/>
          <w:color w:val="auto"/>
          <w:sz w:val="32"/>
          <w:szCs w:val="32"/>
          <w:lang w:val="en-US" w:eastAsia="zh-CN"/>
        </w:rPr>
        <w:t>2021年攀西战略资源创新开发专项资金重点投向后，通知各市（州）发展改革部门牵头组织项目申报，委托第三方机构组织项目咨询评估，形成专项资金安排建议方案，经委党组会议审定后报省政府第88次常务会议审议通过，分项目正式下达投资计划。</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_GB2312" w:cs="Times New Roman"/>
          <w:b/>
          <w:bCs w:val="0"/>
          <w:color w:val="auto"/>
          <w:sz w:val="32"/>
          <w:szCs w:val="32"/>
          <w:lang w:val="zh-CN"/>
        </w:rPr>
      </w:pPr>
      <w:r>
        <w:rPr>
          <w:rFonts w:hint="default" w:ascii="Times New Roman" w:hAnsi="Times New Roman" w:eastAsia="楷体_GB2312" w:cs="Times New Roman"/>
          <w:b/>
          <w:bCs w:val="0"/>
          <w:color w:val="auto"/>
          <w:sz w:val="32"/>
          <w:szCs w:val="32"/>
          <w:lang w:val="zh-CN"/>
        </w:rPr>
        <w:t>（二）资金计划、到位及使用情况。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b/>
          <w:bCs/>
          <w:i w:val="0"/>
          <w:iCs w:val="0"/>
          <w:caps w:val="0"/>
          <w:color w:val="auto"/>
          <w:spacing w:val="0"/>
          <w:sz w:val="32"/>
          <w:szCs w:val="32"/>
          <w:lang w:val="en-US" w:eastAsia="zh-CN"/>
        </w:rPr>
        <w:t>1.</w:t>
      </w:r>
      <w:r>
        <w:rPr>
          <w:rFonts w:hint="default" w:ascii="Times New Roman" w:hAnsi="Times New Roman" w:eastAsia="仿宋_GB2312" w:cs="Times New Roman"/>
          <w:b/>
          <w:bCs/>
          <w:i w:val="0"/>
          <w:iCs w:val="0"/>
          <w:caps w:val="0"/>
          <w:color w:val="auto"/>
          <w:spacing w:val="0"/>
          <w:sz w:val="32"/>
          <w:szCs w:val="32"/>
          <w:lang w:val="zh-CN" w:eastAsia="zh-CN"/>
        </w:rPr>
        <w:t>资金计划。</w:t>
      </w:r>
      <w:r>
        <w:rPr>
          <w:rFonts w:hint="default" w:ascii="Times New Roman" w:hAnsi="Times New Roman" w:eastAsia="仿宋_GB2312" w:cs="Times New Roman"/>
          <w:color w:val="auto"/>
          <w:sz w:val="32"/>
          <w:szCs w:val="32"/>
          <w:lang w:val="en-US" w:eastAsia="zh-CN"/>
        </w:rPr>
        <w:t>2021年专项资金项目24个，总投资531924.57万元，其中，专项资金36652.3万元、企业自筹资金495272.27万元。年度实际安排专项资金15000万元，其中，成都市1305万元、自贡市90万元、攀枝花市9959万元、绵阳市157万元、乐山市727万元、凉山州2762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b/>
          <w:bCs/>
          <w:i w:val="0"/>
          <w:iCs w:val="0"/>
          <w:caps w:val="0"/>
          <w:color w:val="auto"/>
          <w:spacing w:val="0"/>
          <w:sz w:val="32"/>
          <w:szCs w:val="32"/>
          <w:lang w:val="zh-CN" w:eastAsia="zh-CN"/>
        </w:rPr>
        <w:t>2</w:t>
      </w:r>
      <w:r>
        <w:rPr>
          <w:rFonts w:hint="default" w:ascii="Times New Roman" w:hAnsi="Times New Roman" w:eastAsia="仿宋_GB2312" w:cs="Times New Roman"/>
          <w:b/>
          <w:bCs/>
          <w:i w:val="0"/>
          <w:iCs w:val="0"/>
          <w:caps w:val="0"/>
          <w:color w:val="auto"/>
          <w:spacing w:val="0"/>
          <w:sz w:val="32"/>
          <w:szCs w:val="32"/>
          <w:lang w:val="en-US" w:eastAsia="zh-CN"/>
        </w:rPr>
        <w:t>.</w:t>
      </w:r>
      <w:r>
        <w:rPr>
          <w:rFonts w:hint="default" w:ascii="Times New Roman" w:hAnsi="Times New Roman" w:eastAsia="仿宋_GB2312" w:cs="Times New Roman"/>
          <w:b/>
          <w:bCs/>
          <w:i w:val="0"/>
          <w:iCs w:val="0"/>
          <w:caps w:val="0"/>
          <w:color w:val="auto"/>
          <w:spacing w:val="0"/>
          <w:sz w:val="32"/>
          <w:szCs w:val="32"/>
          <w:lang w:val="zh-CN" w:eastAsia="zh-CN"/>
        </w:rPr>
        <w:t>资金到位及使用情况。</w:t>
      </w:r>
      <w:r>
        <w:rPr>
          <w:rFonts w:hint="default" w:ascii="Times New Roman" w:hAnsi="Times New Roman" w:eastAsia="仿宋_GB2312" w:cs="Times New Roman"/>
          <w:color w:val="auto"/>
          <w:sz w:val="32"/>
          <w:szCs w:val="32"/>
          <w:lang w:val="zh-CN"/>
        </w:rPr>
        <w:t>截至目前，全部项目均实现开工建设，专项资金</w:t>
      </w:r>
      <w:r>
        <w:rPr>
          <w:rFonts w:hint="default" w:ascii="Times New Roman" w:hAnsi="Times New Roman" w:eastAsia="仿宋_GB2312" w:cs="Times New Roman"/>
          <w:color w:val="auto"/>
          <w:sz w:val="32"/>
          <w:szCs w:val="32"/>
          <w:lang w:val="en-US" w:eastAsia="zh-CN"/>
        </w:rPr>
        <w:t>15000万元到位，企业自筹资金落实，到位率100%。相关市（州）对专项资金实行专户管理，根据项目进度拨付使用。</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三、项目实施及管理情况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_GB2312" w:cs="Times New Roman"/>
          <w:b/>
          <w:bCs w:val="0"/>
          <w:color w:val="auto"/>
          <w:sz w:val="32"/>
          <w:szCs w:val="32"/>
          <w:lang w:val="zh-CN"/>
        </w:rPr>
      </w:pPr>
      <w:r>
        <w:rPr>
          <w:rFonts w:hint="default" w:ascii="Times New Roman" w:hAnsi="Times New Roman" w:eastAsia="楷体_GB2312" w:cs="Times New Roman"/>
          <w:b/>
          <w:bCs w:val="0"/>
          <w:color w:val="auto"/>
          <w:sz w:val="32"/>
          <w:szCs w:val="32"/>
          <w:lang w:val="zh-CN"/>
        </w:rPr>
        <w:t>（一）项目组织架构及实施流程。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省发展改革委分项目向市（州）发展改革部门下达投资计划。市（州）发展改革部门分解下达至项目单位，会同相关部门开展项目实施情况督导检查。项目单位负责项目实施。</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_GB2312" w:cs="Times New Roman"/>
          <w:b/>
          <w:bCs w:val="0"/>
          <w:color w:val="auto"/>
          <w:sz w:val="32"/>
          <w:szCs w:val="32"/>
          <w:lang w:val="zh-CN"/>
        </w:rPr>
      </w:pPr>
      <w:r>
        <w:rPr>
          <w:rFonts w:hint="default" w:ascii="Times New Roman" w:hAnsi="Times New Roman" w:eastAsia="楷体_GB2312" w:cs="Times New Roman"/>
          <w:b/>
          <w:bCs w:val="0"/>
          <w:color w:val="auto"/>
          <w:sz w:val="32"/>
          <w:szCs w:val="32"/>
          <w:lang w:val="zh-CN"/>
        </w:rPr>
        <w:t>（二）项目管理情况。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各项目实施单位依据相关法律法规及项目管理制度，按照年度投资计划下达的建设任务组织实施，并在省投资项目管理服务平台录入项目信息、填报项目进度数据，按照财政部门有关财务管理规定开展财务管理工作。</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_GB2312" w:cs="Times New Roman"/>
          <w:b/>
          <w:bCs w:val="0"/>
          <w:color w:val="auto"/>
          <w:sz w:val="32"/>
          <w:szCs w:val="32"/>
          <w:lang w:val="zh-CN"/>
        </w:rPr>
      </w:pPr>
      <w:r>
        <w:rPr>
          <w:rFonts w:hint="default" w:ascii="Times New Roman" w:hAnsi="Times New Roman" w:eastAsia="楷体_GB2312" w:cs="Times New Roman"/>
          <w:b/>
          <w:bCs w:val="0"/>
          <w:color w:val="auto"/>
          <w:sz w:val="32"/>
          <w:szCs w:val="32"/>
          <w:lang w:val="zh-CN"/>
        </w:rPr>
        <w:t>（三）项目监管情况。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zh-CN"/>
        </w:rPr>
        <w:t>省、市（州）发展改革部门会同科技、财政部门按照《攀西战略资源创新开发专项资金管理办法》规定执行项目监管职责。</w:t>
      </w:r>
      <w:r>
        <w:rPr>
          <w:rFonts w:hint="default" w:ascii="Times New Roman" w:hAnsi="Times New Roman" w:eastAsia="仿宋_GB2312" w:cs="Times New Roman"/>
          <w:color w:val="auto"/>
          <w:sz w:val="32"/>
          <w:szCs w:val="32"/>
          <w:lang w:val="en-US" w:eastAsia="zh-CN"/>
        </w:rPr>
        <w:t>6市（州）发展改革部门已牵头组织</w:t>
      </w:r>
      <w:r>
        <w:rPr>
          <w:rFonts w:hint="default" w:ascii="Times New Roman" w:hAnsi="Times New Roman" w:eastAsia="仿宋_GB2312" w:cs="Times New Roman"/>
          <w:color w:val="auto"/>
          <w:sz w:val="32"/>
          <w:szCs w:val="32"/>
          <w:lang w:val="zh-CN"/>
        </w:rPr>
        <w:t>项目单位自查，实地查看项目实施情况。省发展改革委</w:t>
      </w:r>
      <w:r>
        <w:rPr>
          <w:rFonts w:hint="default" w:ascii="Times New Roman" w:hAnsi="Times New Roman" w:eastAsia="仿宋_GB2312" w:cs="Times New Roman"/>
          <w:bCs/>
          <w:color w:val="auto"/>
          <w:sz w:val="32"/>
          <w:szCs w:val="32"/>
          <w:lang w:eastAsia="zh-CN"/>
        </w:rPr>
        <w:t>商科技厅，将视疫情形势适时开展实地督导核查</w:t>
      </w:r>
      <w:r>
        <w:rPr>
          <w:rFonts w:hint="default" w:ascii="Times New Roman" w:hAnsi="Times New Roman" w:eastAsia="仿宋_GB2312" w:cs="Times New Roman"/>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color w:val="auto"/>
          <w:sz w:val="32"/>
          <w:szCs w:val="32"/>
          <w:lang w:val="zh-CN"/>
        </w:rPr>
      </w:pPr>
      <w:r>
        <w:rPr>
          <w:rFonts w:hint="default" w:ascii="Times New Roman" w:hAnsi="Times New Roman" w:eastAsia="黑体" w:cs="Times New Roman"/>
          <w:color w:val="auto"/>
          <w:sz w:val="32"/>
          <w:szCs w:val="32"/>
        </w:rPr>
        <w:t>四、项目绩效情况</w:t>
      </w:r>
      <w:r>
        <w:rPr>
          <w:rFonts w:hint="default" w:ascii="Times New Roman" w:hAnsi="Times New Roman" w:eastAsia="黑体" w:cs="Times New Roman"/>
          <w:color w:val="auto"/>
          <w:sz w:val="32"/>
          <w:szCs w:val="32"/>
          <w:lang w:val="zh-CN"/>
        </w:rPr>
        <w:tab/>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_GB2312" w:cs="Times New Roman"/>
          <w:b/>
          <w:bCs w:val="0"/>
          <w:color w:val="auto"/>
          <w:sz w:val="32"/>
          <w:szCs w:val="32"/>
          <w:lang w:val="zh-CN"/>
        </w:rPr>
      </w:pPr>
      <w:r>
        <w:rPr>
          <w:rFonts w:hint="default" w:ascii="Times New Roman" w:hAnsi="Times New Roman" w:eastAsia="楷体_GB2312" w:cs="Times New Roman"/>
          <w:b/>
          <w:bCs w:val="0"/>
          <w:color w:val="auto"/>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在项目效果方面，此次投资计划项目实施范围、标准、程序公平合理。在产出指标方面，</w:t>
      </w:r>
      <w:r>
        <w:rPr>
          <w:rFonts w:hint="default" w:ascii="Times New Roman" w:hAnsi="Times New Roman" w:eastAsia="仿宋_GB2312" w:cs="Times New Roman"/>
          <w:color w:val="auto"/>
          <w:sz w:val="32"/>
          <w:szCs w:val="32"/>
          <w:lang w:val="en-US" w:eastAsia="zh-CN"/>
        </w:rPr>
        <w:t>24个</w:t>
      </w:r>
      <w:r>
        <w:rPr>
          <w:rFonts w:hint="default" w:ascii="Times New Roman" w:hAnsi="Times New Roman" w:eastAsia="仿宋_GB2312" w:cs="Times New Roman"/>
          <w:color w:val="auto"/>
          <w:sz w:val="32"/>
          <w:szCs w:val="32"/>
          <w:lang w:val="zh-CN"/>
        </w:rPr>
        <w:t>项目全部开工建设（其中，</w:t>
      </w:r>
      <w:r>
        <w:rPr>
          <w:rFonts w:hint="default" w:ascii="Times New Roman" w:hAnsi="Times New Roman" w:eastAsia="仿宋_GB2312" w:cs="Times New Roman"/>
          <w:color w:val="auto"/>
          <w:sz w:val="32"/>
          <w:szCs w:val="32"/>
          <w:lang w:val="en-US" w:eastAsia="zh-CN"/>
        </w:rPr>
        <w:t>4个续安排项目完成验收</w:t>
      </w:r>
      <w:r>
        <w:rPr>
          <w:rFonts w:hint="default" w:ascii="Times New Roman" w:hAnsi="Times New Roman" w:eastAsia="仿宋_GB2312" w:cs="Times New Roman"/>
          <w:color w:val="auto"/>
          <w:sz w:val="32"/>
          <w:szCs w:val="32"/>
          <w:lang w:val="zh-CN"/>
        </w:rPr>
        <w:t>），科技攻关及产业化项目、创新平台建设项目正在建设，其中</w:t>
      </w:r>
      <w:r>
        <w:rPr>
          <w:rFonts w:hint="default" w:ascii="Times New Roman" w:hAnsi="Times New Roman" w:eastAsia="仿宋_GB2312" w:cs="Times New Roman"/>
          <w:color w:val="auto"/>
          <w:sz w:val="32"/>
          <w:szCs w:val="32"/>
          <w:lang w:val="en-US" w:eastAsia="zh-CN"/>
        </w:rPr>
        <w:t>3个项目已进入竣工收尾阶段</w:t>
      </w:r>
      <w:r>
        <w:rPr>
          <w:rFonts w:hint="default" w:ascii="Times New Roman" w:hAnsi="Times New Roman" w:eastAsia="仿宋_GB2312" w:cs="Times New Roman"/>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楷体_GB2312" w:cs="Times New Roman"/>
          <w:b/>
          <w:bCs w:val="0"/>
          <w:color w:val="auto"/>
          <w:sz w:val="32"/>
          <w:szCs w:val="32"/>
          <w:lang w:val="zh-CN"/>
        </w:rPr>
      </w:pPr>
      <w:r>
        <w:rPr>
          <w:rFonts w:hint="default" w:ascii="Times New Roman" w:hAnsi="Times New Roman" w:eastAsia="楷体_GB2312" w:cs="Times New Roman"/>
          <w:b/>
          <w:bCs w:val="0"/>
          <w:color w:val="auto"/>
          <w:sz w:val="32"/>
          <w:szCs w:val="32"/>
          <w:lang w:val="zh-CN"/>
        </w:rPr>
        <w:t>（二）项目效益情况。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项目涉及科技攻关、创新能力提升、产业发展等方面，建成后将有利于战略资源关键核心技术尽快突破、检验检测等创新服务能力提升、应用产业集聚发展，有利于促进区域经济社会发展提速，为重点领域产业链供应安全稳定提供支撑。</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五、评价结论及建议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项目符合相关制度要求，按期完成</w:t>
      </w:r>
      <w:r>
        <w:rPr>
          <w:rFonts w:hint="default" w:ascii="Times New Roman" w:hAnsi="Times New Roman" w:eastAsia="仿宋_GB2312" w:cs="Times New Roman"/>
          <w:color w:val="auto"/>
          <w:sz w:val="32"/>
          <w:szCs w:val="32"/>
          <w:lang w:eastAsia="zh-CN"/>
        </w:rPr>
        <w:t>年度</w:t>
      </w:r>
      <w:r>
        <w:rPr>
          <w:rFonts w:hint="default" w:ascii="Times New Roman" w:hAnsi="Times New Roman" w:eastAsia="仿宋_GB2312" w:cs="Times New Roman"/>
          <w:color w:val="auto"/>
          <w:sz w:val="32"/>
          <w:szCs w:val="32"/>
        </w:rPr>
        <w:t>建设</w:t>
      </w:r>
      <w:r>
        <w:rPr>
          <w:rFonts w:hint="default" w:ascii="Times New Roman" w:hAnsi="Times New Roman" w:eastAsia="仿宋_GB2312" w:cs="Times New Roman"/>
          <w:color w:val="auto"/>
          <w:sz w:val="32"/>
          <w:szCs w:val="32"/>
          <w:lang w:eastAsia="zh-CN"/>
        </w:rPr>
        <w:t>任务</w:t>
      </w:r>
      <w:r>
        <w:rPr>
          <w:rFonts w:hint="default" w:ascii="Times New Roman" w:hAnsi="Times New Roman" w:eastAsia="仿宋_GB2312" w:cs="Times New Roman"/>
          <w:color w:val="auto"/>
          <w:sz w:val="32"/>
          <w:szCs w:val="32"/>
        </w:rPr>
        <w:t>，项目支出控制合理，可持续影响指标和满意度指标向好发展，申报内容与实施内容均符合有关规定，项目绩效基本达到设定目标。</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color w:val="auto"/>
          <w:kern w:val="0"/>
          <w:sz w:val="32"/>
          <w:szCs w:val="32"/>
          <w:shd w:val="clear" w:color="auto" w:fill="FFFFFF"/>
          <w:lang w:val="zh-CN"/>
        </w:rPr>
      </w:pPr>
    </w:p>
    <w:p>
      <w:pPr>
        <w:pStyle w:val="2"/>
        <w:rPr>
          <w:rFonts w:hint="default" w:ascii="Times New Roman" w:hAnsi="Times New Roman" w:cs="Times New Roman"/>
          <w:color w:val="auto"/>
          <w:lang w:val="zh-CN"/>
        </w:rPr>
      </w:pPr>
    </w:p>
    <w:p>
      <w:pPr>
        <w:pStyle w:val="2"/>
        <w:rPr>
          <w:rFonts w:hint="default" w:ascii="Times New Roman" w:hAnsi="Times New Roman" w:cs="Times New Roman"/>
          <w:color w:val="auto"/>
          <w:lang w:val="zh-CN"/>
        </w:rPr>
      </w:pPr>
    </w:p>
    <w:p>
      <w:pPr>
        <w:pStyle w:val="2"/>
        <w:rPr>
          <w:rFonts w:hint="default" w:ascii="Times New Roman" w:hAnsi="Times New Roman" w:cs="Times New Roman"/>
          <w:color w:val="auto"/>
          <w:lang w:val="zh-CN"/>
        </w:rPr>
      </w:pPr>
    </w:p>
    <w:p>
      <w:pPr>
        <w:pStyle w:val="2"/>
        <w:rPr>
          <w:rFonts w:hint="default" w:ascii="Times New Roman" w:hAnsi="Times New Roman" w:cs="Times New Roman"/>
          <w:color w:val="auto"/>
          <w:lang w:val="zh-CN"/>
        </w:rPr>
      </w:pPr>
    </w:p>
    <w:p>
      <w:pPr>
        <w:pStyle w:val="2"/>
        <w:rPr>
          <w:rFonts w:hint="default" w:ascii="Times New Roman" w:hAnsi="Times New Roman" w:cs="Times New Roman"/>
          <w:color w:val="auto"/>
          <w:lang w:val="zh-CN"/>
        </w:rPr>
      </w:pPr>
    </w:p>
    <w:p>
      <w:pPr>
        <w:pStyle w:val="2"/>
        <w:rPr>
          <w:rFonts w:hint="default" w:ascii="Times New Roman" w:hAnsi="Times New Roman" w:eastAsia="仿宋_GB2312" w:cs="Times New Roman"/>
          <w:color w:val="auto"/>
          <w:kern w:val="0"/>
          <w:sz w:val="32"/>
          <w:szCs w:val="32"/>
          <w:shd w:val="clear" w:color="auto" w:fill="FFFFFF"/>
          <w:lang w:val="zh-CN"/>
        </w:rPr>
      </w:pPr>
    </w:p>
    <w:p>
      <w:pPr>
        <w:pStyle w:val="2"/>
        <w:rPr>
          <w:rFonts w:hint="default" w:ascii="Times New Roman" w:hAnsi="Times New Roman" w:eastAsia="仿宋_GB2312" w:cs="Times New Roman"/>
          <w:color w:val="auto"/>
          <w:kern w:val="0"/>
          <w:sz w:val="32"/>
          <w:szCs w:val="32"/>
          <w:shd w:val="clear" w:color="auto" w:fill="FFFFFF"/>
          <w:lang w:val="zh-CN"/>
        </w:rPr>
      </w:pPr>
    </w:p>
    <w:p>
      <w:pPr>
        <w:pStyle w:val="2"/>
        <w:rPr>
          <w:rFonts w:hint="default" w:ascii="Times New Roman" w:hAnsi="Times New Roman" w:eastAsia="仿宋_GB2312" w:cs="Times New Roman"/>
          <w:color w:val="auto"/>
          <w:kern w:val="0"/>
          <w:sz w:val="32"/>
          <w:szCs w:val="32"/>
          <w:shd w:val="clear" w:color="auto" w:fill="FFFFFF"/>
          <w:lang w:val="zh-CN"/>
        </w:rPr>
      </w:pPr>
    </w:p>
    <w:p>
      <w:pPr>
        <w:pStyle w:val="2"/>
        <w:rPr>
          <w:rFonts w:hint="default" w:ascii="Times New Roman" w:hAnsi="Times New Roman" w:eastAsia="仿宋_GB2312" w:cs="Times New Roman"/>
          <w:color w:val="auto"/>
          <w:kern w:val="0"/>
          <w:sz w:val="32"/>
          <w:szCs w:val="32"/>
          <w:shd w:val="clear" w:color="auto" w:fill="FFFFFF"/>
          <w:lang w:val="zh-CN"/>
        </w:rPr>
      </w:pPr>
    </w:p>
    <w:p>
      <w:pPr>
        <w:pStyle w:val="2"/>
        <w:rPr>
          <w:rFonts w:hint="default" w:ascii="Times New Roman" w:hAnsi="Times New Roman" w:eastAsia="仿宋_GB2312" w:cs="Times New Roman"/>
          <w:color w:val="auto"/>
          <w:kern w:val="0"/>
          <w:sz w:val="32"/>
          <w:szCs w:val="32"/>
          <w:shd w:val="clear" w:color="auto" w:fill="FFFFFF"/>
          <w:lang w:val="zh-CN"/>
        </w:rPr>
      </w:pPr>
    </w:p>
    <w:p>
      <w:pPr>
        <w:pageBreakBefore w:val="0"/>
        <w:widowControl/>
        <w:kinsoku/>
        <w:wordWrap/>
        <w:overflowPunct/>
        <w:topLinePunct w:val="0"/>
        <w:bidi w:val="0"/>
        <w:adjustRightInd w:val="0"/>
        <w:snapToGrid w:val="0"/>
        <w:spacing w:line="560" w:lineRule="exact"/>
        <w:ind w:firstLine="640" w:firstLineChars="200"/>
        <w:contextualSpacing/>
        <w:jc w:val="left"/>
        <w:rPr>
          <w:rFonts w:hint="default" w:ascii="Times New Roman" w:hAnsi="Times New Roman" w:eastAsia="黑体" w:cs="Times New Roman"/>
          <w:color w:val="auto"/>
          <w:kern w:val="0"/>
          <w:sz w:val="32"/>
          <w:szCs w:val="32"/>
          <w:shd w:val="clear" w:color="auto" w:fill="FFFFFF"/>
          <w:lang w:val="zh-CN"/>
        </w:rPr>
      </w:pPr>
      <w:r>
        <w:rPr>
          <w:rFonts w:hint="default" w:ascii="Times New Roman" w:hAnsi="Times New Roman" w:eastAsia="黑体" w:cs="Times New Roman"/>
          <w:color w:val="auto"/>
          <w:kern w:val="0"/>
          <w:sz w:val="32"/>
          <w:szCs w:val="32"/>
          <w:shd w:val="clear" w:color="auto" w:fill="FFFFFF"/>
          <w:lang w:val="zh-CN"/>
        </w:rPr>
        <w:t>附表：</w:t>
      </w:r>
    </w:p>
    <w:tbl>
      <w:tblPr>
        <w:tblStyle w:val="21"/>
        <w:tblpPr w:leftFromText="180" w:rightFromText="180" w:vertAnchor="text" w:horzAnchor="page" w:tblpXSpec="center" w:tblpY="221"/>
        <w:tblOverlap w:val="never"/>
        <w:tblW w:w="5000" w:type="pct"/>
        <w:jc w:val="center"/>
        <w:tblLayout w:type="fixed"/>
        <w:tblCellMar>
          <w:top w:w="0" w:type="dxa"/>
          <w:left w:w="108" w:type="dxa"/>
          <w:bottom w:w="0" w:type="dxa"/>
          <w:right w:w="108" w:type="dxa"/>
        </w:tblCellMar>
      </w:tblPr>
      <w:tblGrid>
        <w:gridCol w:w="639"/>
        <w:gridCol w:w="960"/>
        <w:gridCol w:w="1200"/>
        <w:gridCol w:w="2120"/>
        <w:gridCol w:w="1540"/>
        <w:gridCol w:w="2602"/>
      </w:tblGrid>
      <w:tr>
        <w:tblPrEx>
          <w:tblCellMar>
            <w:top w:w="0" w:type="dxa"/>
            <w:left w:w="108" w:type="dxa"/>
            <w:bottom w:w="0" w:type="dxa"/>
            <w:right w:w="108" w:type="dxa"/>
          </w:tblCellMar>
        </w:tblPrEx>
        <w:trPr>
          <w:trHeight w:val="675" w:hRule="atLeast"/>
          <w:jc w:val="center"/>
        </w:trPr>
        <w:tc>
          <w:tcPr>
            <w:tcW w:w="5000" w:type="pct"/>
            <w:gridSpan w:val="6"/>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小标宋简体" w:cs="Times New Roman"/>
                <w:bCs/>
                <w:color w:val="auto"/>
                <w:sz w:val="28"/>
                <w:szCs w:val="28"/>
              </w:rPr>
            </w:pPr>
            <w:r>
              <w:rPr>
                <w:rFonts w:hint="default" w:ascii="Times New Roman" w:hAnsi="Times New Roman" w:eastAsia="方正小标宋简体" w:cs="Times New Roman"/>
                <w:bCs/>
                <w:color w:val="auto"/>
                <w:sz w:val="28"/>
                <w:szCs w:val="28"/>
              </w:rPr>
              <w:t>2021年100万以上（含）特定目标类部门预算项目绩效目标自评</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b/>
                <w:color w:val="auto"/>
              </w:rPr>
            </w:pPr>
            <w:r>
              <w:rPr>
                <w:rFonts w:hint="default" w:ascii="Times New Roman" w:hAnsi="Times New Roman" w:eastAsia="方正小标宋简体" w:cs="Times New Roman"/>
                <w:bCs/>
                <w:color w:val="auto"/>
                <w:sz w:val="28"/>
                <w:szCs w:val="28"/>
              </w:rPr>
              <w:t>（推动成渝地区双城经济圈建设办公室工作经费项目）</w:t>
            </w:r>
          </w:p>
        </w:tc>
      </w:tr>
      <w:tr>
        <w:tblPrEx>
          <w:tblCellMar>
            <w:top w:w="0" w:type="dxa"/>
            <w:left w:w="108" w:type="dxa"/>
            <w:bottom w:w="0" w:type="dxa"/>
            <w:right w:w="108" w:type="dxa"/>
          </w:tblCellMar>
        </w:tblPrEx>
        <w:trPr>
          <w:trHeight w:val="254" w:hRule="atLeast"/>
          <w:jc w:val="center"/>
        </w:trPr>
        <w:tc>
          <w:tcPr>
            <w:tcW w:w="882" w:type="pct"/>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主管部门及代码</w:t>
            </w:r>
          </w:p>
        </w:tc>
        <w:tc>
          <w:tcPr>
            <w:tcW w:w="1832" w:type="pct"/>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303-四川省发展和改革委员会</w:t>
            </w:r>
          </w:p>
        </w:tc>
        <w:tc>
          <w:tcPr>
            <w:tcW w:w="84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实施单位</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四川省发展和改革委员会机关</w:t>
            </w:r>
          </w:p>
        </w:tc>
      </w:tr>
      <w:tr>
        <w:tblPrEx>
          <w:tblCellMar>
            <w:top w:w="0" w:type="dxa"/>
            <w:left w:w="108" w:type="dxa"/>
            <w:bottom w:w="0" w:type="dxa"/>
            <w:right w:w="108" w:type="dxa"/>
          </w:tblCellMar>
        </w:tblPrEx>
        <w:trPr>
          <w:trHeight w:val="341" w:hRule="atLeast"/>
          <w:jc w:val="center"/>
        </w:trPr>
        <w:tc>
          <w:tcPr>
            <w:tcW w:w="882" w:type="pct"/>
            <w:gridSpan w:val="2"/>
            <w:vMerge w:val="restar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项目预算</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执行情况</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（万元）</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预算数：</w:t>
            </w:r>
          </w:p>
        </w:tc>
        <w:tc>
          <w:tcPr>
            <w:tcW w:w="116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303.8</w:t>
            </w:r>
          </w:p>
        </w:tc>
        <w:tc>
          <w:tcPr>
            <w:tcW w:w="84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执行数：</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199.28</w:t>
            </w:r>
          </w:p>
        </w:tc>
      </w:tr>
      <w:tr>
        <w:tblPrEx>
          <w:tblCellMar>
            <w:top w:w="0" w:type="dxa"/>
            <w:left w:w="108" w:type="dxa"/>
            <w:bottom w:w="0" w:type="dxa"/>
            <w:right w:w="108" w:type="dxa"/>
          </w:tblCellMar>
        </w:tblPrEx>
        <w:trPr>
          <w:trHeight w:val="577" w:hRule="atLeast"/>
          <w:jc w:val="center"/>
        </w:trPr>
        <w:tc>
          <w:tcPr>
            <w:tcW w:w="882"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62"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其中：</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财政拨款</w:t>
            </w:r>
          </w:p>
        </w:tc>
        <w:tc>
          <w:tcPr>
            <w:tcW w:w="116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303.8</w:t>
            </w:r>
          </w:p>
        </w:tc>
        <w:tc>
          <w:tcPr>
            <w:tcW w:w="84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其中：</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财政拨款</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199.28</w:t>
            </w:r>
          </w:p>
        </w:tc>
      </w:tr>
      <w:tr>
        <w:tblPrEx>
          <w:tblCellMar>
            <w:top w:w="0" w:type="dxa"/>
            <w:left w:w="108" w:type="dxa"/>
            <w:bottom w:w="0" w:type="dxa"/>
            <w:right w:w="108" w:type="dxa"/>
          </w:tblCellMar>
        </w:tblPrEx>
        <w:trPr>
          <w:trHeight w:val="341" w:hRule="atLeast"/>
          <w:jc w:val="center"/>
        </w:trPr>
        <w:tc>
          <w:tcPr>
            <w:tcW w:w="882"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62"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其他资金</w:t>
            </w:r>
          </w:p>
        </w:tc>
        <w:tc>
          <w:tcPr>
            <w:tcW w:w="116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p>
        </w:tc>
        <w:tc>
          <w:tcPr>
            <w:tcW w:w="84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其他资金</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p>
        </w:tc>
      </w:tr>
      <w:tr>
        <w:tblPrEx>
          <w:tblCellMar>
            <w:top w:w="0" w:type="dxa"/>
            <w:left w:w="108" w:type="dxa"/>
            <w:bottom w:w="0" w:type="dxa"/>
            <w:right w:w="108" w:type="dxa"/>
          </w:tblCellMar>
        </w:tblPrEx>
        <w:trPr>
          <w:trHeight w:val="482" w:hRule="atLeast"/>
          <w:jc w:val="center"/>
        </w:trPr>
        <w:tc>
          <w:tcPr>
            <w:tcW w:w="352" w:type="pct"/>
            <w:vMerge w:val="restar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年度总体目标完成情况</w:t>
            </w:r>
          </w:p>
        </w:tc>
        <w:tc>
          <w:tcPr>
            <w:tcW w:w="2361" w:type="pct"/>
            <w:gridSpan w:val="3"/>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预期目标</w:t>
            </w:r>
          </w:p>
        </w:tc>
        <w:tc>
          <w:tcPr>
            <w:tcW w:w="2285" w:type="pct"/>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目标实际完成情况</w:t>
            </w:r>
          </w:p>
        </w:tc>
      </w:tr>
      <w:tr>
        <w:tblPrEx>
          <w:tblCellMar>
            <w:top w:w="0" w:type="dxa"/>
            <w:left w:w="108" w:type="dxa"/>
            <w:bottom w:w="0" w:type="dxa"/>
            <w:right w:w="108" w:type="dxa"/>
          </w:tblCellMar>
        </w:tblPrEx>
        <w:trPr>
          <w:trHeight w:val="2224" w:hRule="atLeast"/>
          <w:jc w:val="center"/>
        </w:trPr>
        <w:tc>
          <w:tcPr>
            <w:tcW w:w="352" w:type="pct"/>
            <w:vMerge w:val="continue"/>
            <w:tcBorders>
              <w:top w:val="single" w:color="000000" w:sz="4" w:space="0"/>
              <w:left w:val="single" w:color="000000" w:sz="4" w:space="0"/>
              <w:bottom w:val="single" w:color="auto" w:sz="4" w:space="0"/>
              <w:right w:val="single" w:color="000000"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2361" w:type="pct"/>
            <w:gridSpan w:val="3"/>
            <w:tcBorders>
              <w:top w:val="single" w:color="000000" w:sz="4" w:space="0"/>
              <w:left w:val="single" w:color="000000" w:sz="4" w:space="0"/>
              <w:bottom w:val="single" w:color="auto" w:sz="4" w:space="0"/>
              <w:right w:val="single" w:color="000000" w:sz="4" w:space="0"/>
            </w:tcBorders>
            <w:noWrap/>
            <w:vAlign w:val="center"/>
          </w:tcPr>
          <w:p>
            <w:pPr>
              <w:pageBreakBefore w:val="0"/>
              <w:widowControl/>
              <w:kinsoku/>
              <w:wordWrap/>
              <w:overflowPunct/>
              <w:topLinePunct w:val="0"/>
              <w:bidi w:val="0"/>
              <w:spacing w:line="240" w:lineRule="auto"/>
              <w:ind w:firstLine="420" w:firstLineChars="200"/>
              <w:jc w:val="left"/>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贯彻落实习近平总书记在中央财经委员会第六次会议上重要讲话精神和党中央、国务院决策部署，认真落实省委十一届七次全会决定要求，深化四川重庆合作，大力推动成渝地区双城经济圈建设，把战略共识转化为机制、规划、政策、项目、事项，促进两地产业、人口及各类要素合理流动和高效聚集。</w:t>
            </w:r>
          </w:p>
        </w:tc>
        <w:tc>
          <w:tcPr>
            <w:tcW w:w="2285" w:type="pct"/>
            <w:gridSpan w:val="2"/>
            <w:tcBorders>
              <w:top w:val="single" w:color="000000" w:sz="4" w:space="0"/>
              <w:left w:val="single" w:color="000000" w:sz="4" w:space="0"/>
              <w:bottom w:val="single" w:color="auto" w:sz="4" w:space="0"/>
              <w:right w:val="single" w:color="000000" w:sz="4" w:space="0"/>
            </w:tcBorders>
            <w:noWrap/>
            <w:vAlign w:val="center"/>
          </w:tcPr>
          <w:p>
            <w:pPr>
              <w:pageBreakBefore w:val="0"/>
              <w:widowControl/>
              <w:kinsoku/>
              <w:wordWrap/>
              <w:overflowPunct/>
              <w:topLinePunct w:val="0"/>
              <w:bidi w:val="0"/>
              <w:spacing w:line="240" w:lineRule="auto"/>
              <w:ind w:firstLine="420" w:firstLineChars="200"/>
              <w:jc w:val="left"/>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落实推动成渝地区双城经济圈建设重庆四川党政联席会议、常务副省市长协调会议、联合办公室主任调度会三级工作机制，推动设立泸永江融合发展示范区等毗邻地区合作平台，实施成渝中线高铁等67个合作共建重大项目，制定出台双城经济圈便捷生活行动方案、支持川渝高竹新区改革创新发展的若干政策措施。</w:t>
            </w:r>
          </w:p>
        </w:tc>
      </w:tr>
      <w:tr>
        <w:tblPrEx>
          <w:tblCellMar>
            <w:top w:w="0" w:type="dxa"/>
            <w:left w:w="108" w:type="dxa"/>
            <w:bottom w:w="0" w:type="dxa"/>
            <w:right w:w="108" w:type="dxa"/>
          </w:tblCellMar>
        </w:tblPrEx>
        <w:trPr>
          <w:trHeight w:val="645" w:hRule="atLeast"/>
          <w:jc w:val="center"/>
        </w:trPr>
        <w:tc>
          <w:tcPr>
            <w:tcW w:w="352" w:type="pct"/>
            <w:vMerge w:val="restar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年度绩效指标完成情况</w:t>
            </w:r>
          </w:p>
        </w:tc>
        <w:tc>
          <w:tcPr>
            <w:tcW w:w="52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一级</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662"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二级</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116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三级</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84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预期指</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标值</w:t>
            </w:r>
          </w:p>
        </w:tc>
        <w:tc>
          <w:tcPr>
            <w:tcW w:w="1435"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实际完成指标值</w:t>
            </w:r>
          </w:p>
        </w:tc>
      </w:tr>
      <w:tr>
        <w:tblPrEx>
          <w:tblCellMar>
            <w:top w:w="0" w:type="dxa"/>
            <w:left w:w="108" w:type="dxa"/>
            <w:bottom w:w="0" w:type="dxa"/>
            <w:right w:w="108" w:type="dxa"/>
          </w:tblCellMar>
        </w:tblPrEx>
        <w:trPr>
          <w:trHeight w:val="570" w:hRule="atLeast"/>
          <w:jc w:val="center"/>
        </w:trPr>
        <w:tc>
          <w:tcPr>
            <w:tcW w:w="352"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529" w:type="pct"/>
            <w:vMerge w:val="restar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完成</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662" w:type="pct"/>
            <w:vMerge w:val="restar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数量指标</w:t>
            </w:r>
          </w:p>
        </w:tc>
        <w:tc>
          <w:tcPr>
            <w:tcW w:w="116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召开党政联席会议次数</w:t>
            </w:r>
          </w:p>
        </w:tc>
        <w:tc>
          <w:tcPr>
            <w:tcW w:w="84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1次</w:t>
            </w:r>
          </w:p>
        </w:tc>
        <w:tc>
          <w:tcPr>
            <w:tcW w:w="1435"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1次</w:t>
            </w:r>
          </w:p>
        </w:tc>
      </w:tr>
      <w:tr>
        <w:tblPrEx>
          <w:tblCellMar>
            <w:top w:w="0" w:type="dxa"/>
            <w:left w:w="108" w:type="dxa"/>
            <w:bottom w:w="0" w:type="dxa"/>
            <w:right w:w="108" w:type="dxa"/>
          </w:tblCellMar>
        </w:tblPrEx>
        <w:trPr>
          <w:trHeight w:val="585" w:hRule="atLeast"/>
          <w:jc w:val="center"/>
        </w:trPr>
        <w:tc>
          <w:tcPr>
            <w:tcW w:w="352"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529"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62"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p>
        </w:tc>
        <w:tc>
          <w:tcPr>
            <w:tcW w:w="116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召开联合办公室主任调度会次数</w:t>
            </w:r>
          </w:p>
        </w:tc>
        <w:tc>
          <w:tcPr>
            <w:tcW w:w="84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3次</w:t>
            </w:r>
          </w:p>
        </w:tc>
        <w:tc>
          <w:tcPr>
            <w:tcW w:w="1435"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3次</w:t>
            </w:r>
          </w:p>
        </w:tc>
      </w:tr>
      <w:tr>
        <w:tblPrEx>
          <w:tblCellMar>
            <w:top w:w="0" w:type="dxa"/>
            <w:left w:w="108" w:type="dxa"/>
            <w:bottom w:w="0" w:type="dxa"/>
            <w:right w:w="108" w:type="dxa"/>
          </w:tblCellMar>
        </w:tblPrEx>
        <w:trPr>
          <w:trHeight w:val="480" w:hRule="atLeast"/>
          <w:jc w:val="center"/>
        </w:trPr>
        <w:tc>
          <w:tcPr>
            <w:tcW w:w="352"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529"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62"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p>
        </w:tc>
        <w:tc>
          <w:tcPr>
            <w:tcW w:w="116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完成重大课题数量</w:t>
            </w:r>
          </w:p>
        </w:tc>
        <w:tc>
          <w:tcPr>
            <w:tcW w:w="84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4个</w:t>
            </w:r>
          </w:p>
        </w:tc>
        <w:tc>
          <w:tcPr>
            <w:tcW w:w="1435"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4个</w:t>
            </w:r>
          </w:p>
        </w:tc>
      </w:tr>
      <w:tr>
        <w:tblPrEx>
          <w:tblCellMar>
            <w:top w:w="0" w:type="dxa"/>
            <w:left w:w="108" w:type="dxa"/>
            <w:bottom w:w="0" w:type="dxa"/>
            <w:right w:w="108" w:type="dxa"/>
          </w:tblCellMar>
        </w:tblPrEx>
        <w:trPr>
          <w:trHeight w:val="541" w:hRule="atLeast"/>
          <w:jc w:val="center"/>
        </w:trPr>
        <w:tc>
          <w:tcPr>
            <w:tcW w:w="352"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529"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62"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p>
        </w:tc>
        <w:tc>
          <w:tcPr>
            <w:tcW w:w="116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重大政策文件汇编白皮书印刷数量</w:t>
            </w:r>
          </w:p>
        </w:tc>
        <w:tc>
          <w:tcPr>
            <w:tcW w:w="84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5000册</w:t>
            </w:r>
          </w:p>
        </w:tc>
        <w:tc>
          <w:tcPr>
            <w:tcW w:w="1435"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5000册</w:t>
            </w:r>
          </w:p>
        </w:tc>
      </w:tr>
      <w:tr>
        <w:tblPrEx>
          <w:tblCellMar>
            <w:top w:w="0" w:type="dxa"/>
            <w:left w:w="108" w:type="dxa"/>
            <w:bottom w:w="0" w:type="dxa"/>
            <w:right w:w="108" w:type="dxa"/>
          </w:tblCellMar>
        </w:tblPrEx>
        <w:trPr>
          <w:trHeight w:val="646" w:hRule="atLeast"/>
          <w:jc w:val="center"/>
        </w:trPr>
        <w:tc>
          <w:tcPr>
            <w:tcW w:w="352"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529"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62"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质量指标</w:t>
            </w:r>
          </w:p>
        </w:tc>
        <w:tc>
          <w:tcPr>
            <w:tcW w:w="116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重大课题评审合格率</w:t>
            </w:r>
          </w:p>
        </w:tc>
        <w:tc>
          <w:tcPr>
            <w:tcW w:w="84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100%</w:t>
            </w:r>
          </w:p>
        </w:tc>
        <w:tc>
          <w:tcPr>
            <w:tcW w:w="1435"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100%</w:t>
            </w:r>
          </w:p>
        </w:tc>
      </w:tr>
      <w:tr>
        <w:tblPrEx>
          <w:tblCellMar>
            <w:top w:w="0" w:type="dxa"/>
            <w:left w:w="108" w:type="dxa"/>
            <w:bottom w:w="0" w:type="dxa"/>
            <w:right w:w="108" w:type="dxa"/>
          </w:tblCellMar>
        </w:tblPrEx>
        <w:trPr>
          <w:trHeight w:val="585" w:hRule="atLeast"/>
          <w:jc w:val="center"/>
        </w:trPr>
        <w:tc>
          <w:tcPr>
            <w:tcW w:w="352"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529"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62"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时效指标</w:t>
            </w:r>
          </w:p>
        </w:tc>
        <w:tc>
          <w:tcPr>
            <w:tcW w:w="116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rPr>
              <w:t>重大课题完成时限</w:t>
            </w:r>
          </w:p>
        </w:tc>
        <w:tc>
          <w:tcPr>
            <w:tcW w:w="84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rPr>
              <w:t>2021年底完成</w:t>
            </w:r>
          </w:p>
        </w:tc>
        <w:tc>
          <w:tcPr>
            <w:tcW w:w="1435"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rPr>
              <w:t>按时完成</w:t>
            </w:r>
          </w:p>
        </w:tc>
      </w:tr>
      <w:tr>
        <w:tblPrEx>
          <w:tblCellMar>
            <w:top w:w="0" w:type="dxa"/>
            <w:left w:w="108" w:type="dxa"/>
            <w:bottom w:w="0" w:type="dxa"/>
            <w:right w:w="108" w:type="dxa"/>
          </w:tblCellMar>
        </w:tblPrEx>
        <w:trPr>
          <w:trHeight w:val="480" w:hRule="atLeast"/>
          <w:jc w:val="center"/>
        </w:trPr>
        <w:tc>
          <w:tcPr>
            <w:tcW w:w="352"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529"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62" w:type="pct"/>
            <w:vMerge w:val="restar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成本指标</w:t>
            </w:r>
          </w:p>
        </w:tc>
        <w:tc>
          <w:tcPr>
            <w:tcW w:w="116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会议成本</w:t>
            </w:r>
          </w:p>
        </w:tc>
        <w:tc>
          <w:tcPr>
            <w:tcW w:w="84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不超过预算</w:t>
            </w:r>
          </w:p>
        </w:tc>
        <w:tc>
          <w:tcPr>
            <w:tcW w:w="1435"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未超过预算</w:t>
            </w:r>
          </w:p>
        </w:tc>
      </w:tr>
      <w:tr>
        <w:tblPrEx>
          <w:tblCellMar>
            <w:top w:w="0" w:type="dxa"/>
            <w:left w:w="108" w:type="dxa"/>
            <w:bottom w:w="0" w:type="dxa"/>
            <w:right w:w="108" w:type="dxa"/>
          </w:tblCellMar>
        </w:tblPrEx>
        <w:trPr>
          <w:trHeight w:val="437" w:hRule="atLeast"/>
          <w:jc w:val="center"/>
        </w:trPr>
        <w:tc>
          <w:tcPr>
            <w:tcW w:w="352"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529"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62"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p>
        </w:tc>
        <w:tc>
          <w:tcPr>
            <w:tcW w:w="116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印刷成本</w:t>
            </w:r>
          </w:p>
        </w:tc>
        <w:tc>
          <w:tcPr>
            <w:tcW w:w="84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不超过预算</w:t>
            </w:r>
          </w:p>
        </w:tc>
        <w:tc>
          <w:tcPr>
            <w:tcW w:w="1435"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未超过预算</w:t>
            </w:r>
          </w:p>
        </w:tc>
      </w:tr>
      <w:tr>
        <w:tblPrEx>
          <w:tblCellMar>
            <w:top w:w="0" w:type="dxa"/>
            <w:left w:w="108" w:type="dxa"/>
            <w:bottom w:w="0" w:type="dxa"/>
            <w:right w:w="108" w:type="dxa"/>
          </w:tblCellMar>
        </w:tblPrEx>
        <w:trPr>
          <w:trHeight w:val="480" w:hRule="atLeast"/>
          <w:jc w:val="center"/>
        </w:trPr>
        <w:tc>
          <w:tcPr>
            <w:tcW w:w="352"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52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效益</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662"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社会效</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益指标</w:t>
            </w:r>
          </w:p>
        </w:tc>
        <w:tc>
          <w:tcPr>
            <w:tcW w:w="116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left"/>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对成渝地区双城经济圈建设工作的促进作用</w:t>
            </w:r>
          </w:p>
        </w:tc>
        <w:tc>
          <w:tcPr>
            <w:tcW w:w="84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left"/>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促进成渝地区经济社会加快发展，提升两地群众获得感、幸福感</w:t>
            </w:r>
          </w:p>
        </w:tc>
        <w:tc>
          <w:tcPr>
            <w:tcW w:w="1435"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left"/>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成渝地区经济社会加快发展，两地群众获得感、幸福感不断提升。</w:t>
            </w:r>
          </w:p>
        </w:tc>
      </w:tr>
      <w:tr>
        <w:tblPrEx>
          <w:tblCellMar>
            <w:top w:w="0" w:type="dxa"/>
            <w:left w:w="108" w:type="dxa"/>
            <w:bottom w:w="0" w:type="dxa"/>
            <w:right w:w="108" w:type="dxa"/>
          </w:tblCellMar>
        </w:tblPrEx>
        <w:trPr>
          <w:trHeight w:val="590" w:hRule="atLeast"/>
          <w:jc w:val="center"/>
        </w:trPr>
        <w:tc>
          <w:tcPr>
            <w:tcW w:w="352"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52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满意度</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662"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满意度</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116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服务对象</w:t>
            </w:r>
          </w:p>
        </w:tc>
        <w:tc>
          <w:tcPr>
            <w:tcW w:w="84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≥90%</w:t>
            </w:r>
          </w:p>
        </w:tc>
        <w:tc>
          <w:tcPr>
            <w:tcW w:w="1435"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≥90%</w:t>
            </w:r>
          </w:p>
        </w:tc>
      </w:tr>
    </w:tbl>
    <w:p>
      <w:pPr>
        <w:pageBreakBefore w:val="0"/>
        <w:kinsoku/>
        <w:wordWrap/>
        <w:overflowPunct/>
        <w:topLinePunct w:val="0"/>
        <w:bidi w:val="0"/>
        <w:spacing w:line="560" w:lineRule="exact"/>
        <w:rPr>
          <w:rFonts w:hint="default" w:ascii="Times New Roman" w:hAnsi="Times New Roman" w:cs="Times New Roman"/>
          <w:color w:val="auto"/>
        </w:rPr>
      </w:pPr>
    </w:p>
    <w:tbl>
      <w:tblPr>
        <w:tblStyle w:val="21"/>
        <w:tblpPr w:leftFromText="180" w:rightFromText="180" w:vertAnchor="text" w:horzAnchor="page" w:tblpXSpec="center" w:tblpY="221"/>
        <w:tblOverlap w:val="never"/>
        <w:tblW w:w="5000" w:type="pct"/>
        <w:jc w:val="center"/>
        <w:tblLayout w:type="fixed"/>
        <w:tblCellMar>
          <w:top w:w="0" w:type="dxa"/>
          <w:left w:w="108" w:type="dxa"/>
          <w:bottom w:w="0" w:type="dxa"/>
          <w:right w:w="108" w:type="dxa"/>
        </w:tblCellMar>
      </w:tblPr>
      <w:tblGrid>
        <w:gridCol w:w="789"/>
        <w:gridCol w:w="1193"/>
        <w:gridCol w:w="1158"/>
        <w:gridCol w:w="2552"/>
        <w:gridCol w:w="1270"/>
        <w:gridCol w:w="2099"/>
      </w:tblGrid>
      <w:tr>
        <w:tblPrEx>
          <w:tblCellMar>
            <w:top w:w="0" w:type="dxa"/>
            <w:left w:w="108" w:type="dxa"/>
            <w:bottom w:w="0" w:type="dxa"/>
            <w:right w:w="108" w:type="dxa"/>
          </w:tblCellMar>
        </w:tblPrEx>
        <w:trPr>
          <w:trHeight w:val="800" w:hRule="atLeast"/>
          <w:jc w:val="center"/>
        </w:trPr>
        <w:tc>
          <w:tcPr>
            <w:tcW w:w="5000" w:type="pct"/>
            <w:gridSpan w:val="6"/>
            <w:tcBorders>
              <w:top w:val="nil"/>
              <w:left w:val="nil"/>
              <w:bottom w:val="nil"/>
              <w:right w:val="nil"/>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方正小标宋简体" w:cs="Times New Roman"/>
                <w:bCs/>
                <w:color w:val="auto"/>
                <w:sz w:val="28"/>
                <w:szCs w:val="28"/>
              </w:rPr>
            </w:pPr>
            <w:r>
              <w:rPr>
                <w:rFonts w:hint="default" w:ascii="Times New Roman" w:hAnsi="Times New Roman" w:eastAsia="方正小标宋简体" w:cs="Times New Roman"/>
                <w:bCs/>
                <w:color w:val="auto"/>
                <w:sz w:val="28"/>
                <w:szCs w:val="28"/>
              </w:rPr>
              <w:t>2021年100万以上（含）特定目标类部门预算项目绩效目标自评</w:t>
            </w:r>
          </w:p>
          <w:p>
            <w:pPr>
              <w:pageBreakBefore w:val="0"/>
              <w:widowControl/>
              <w:kinsoku/>
              <w:wordWrap/>
              <w:overflowPunct/>
              <w:topLinePunct w:val="0"/>
              <w:bidi w:val="0"/>
              <w:spacing w:line="240" w:lineRule="auto"/>
              <w:jc w:val="center"/>
              <w:textAlignment w:val="center"/>
              <w:rPr>
                <w:rFonts w:hint="default" w:ascii="Times New Roman" w:hAnsi="Times New Roman" w:cs="Times New Roman"/>
                <w:b/>
                <w:color w:val="auto"/>
              </w:rPr>
            </w:pPr>
            <w:r>
              <w:rPr>
                <w:rFonts w:hint="default" w:ascii="Times New Roman" w:hAnsi="Times New Roman" w:eastAsia="方正小标宋简体" w:cs="Times New Roman"/>
                <w:bCs/>
                <w:color w:val="auto"/>
                <w:sz w:val="28"/>
                <w:szCs w:val="28"/>
              </w:rPr>
              <w:t>（易地扶贫搬迁购买服务费项目）</w:t>
            </w:r>
          </w:p>
        </w:tc>
      </w:tr>
      <w:tr>
        <w:tblPrEx>
          <w:tblCellMar>
            <w:top w:w="0" w:type="dxa"/>
            <w:left w:w="108" w:type="dxa"/>
            <w:bottom w:w="0" w:type="dxa"/>
            <w:right w:w="108" w:type="dxa"/>
          </w:tblCellMar>
        </w:tblPrEx>
        <w:trPr>
          <w:trHeight w:val="254" w:hRule="atLeast"/>
          <w:jc w:val="center"/>
        </w:trPr>
        <w:tc>
          <w:tcPr>
            <w:tcW w:w="1093" w:type="pct"/>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主管部门及代码</w:t>
            </w:r>
          </w:p>
        </w:tc>
        <w:tc>
          <w:tcPr>
            <w:tcW w:w="2047" w:type="pct"/>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303-四川省发展和改革委员会</w:t>
            </w:r>
          </w:p>
        </w:tc>
        <w:tc>
          <w:tcPr>
            <w:tcW w:w="70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实施单位</w:t>
            </w:r>
          </w:p>
        </w:tc>
        <w:tc>
          <w:tcPr>
            <w:tcW w:w="1158"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四川省发展和改革委员会机关</w:t>
            </w:r>
          </w:p>
        </w:tc>
      </w:tr>
      <w:tr>
        <w:tblPrEx>
          <w:tblCellMar>
            <w:top w:w="0" w:type="dxa"/>
            <w:left w:w="108" w:type="dxa"/>
            <w:bottom w:w="0" w:type="dxa"/>
            <w:right w:w="108" w:type="dxa"/>
          </w:tblCellMar>
        </w:tblPrEx>
        <w:trPr>
          <w:trHeight w:val="341" w:hRule="atLeast"/>
          <w:jc w:val="center"/>
        </w:trPr>
        <w:tc>
          <w:tcPr>
            <w:tcW w:w="1093" w:type="pct"/>
            <w:gridSpan w:val="2"/>
            <w:vMerge w:val="restar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项目预算</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执行情况</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（万元）</w:t>
            </w:r>
          </w:p>
        </w:tc>
        <w:tc>
          <w:tcPr>
            <w:tcW w:w="63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预算数：</w:t>
            </w:r>
          </w:p>
        </w:tc>
        <w:tc>
          <w:tcPr>
            <w:tcW w:w="1408"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496</w:t>
            </w:r>
          </w:p>
        </w:tc>
        <w:tc>
          <w:tcPr>
            <w:tcW w:w="70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执行数：</w:t>
            </w:r>
          </w:p>
        </w:tc>
        <w:tc>
          <w:tcPr>
            <w:tcW w:w="1158"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496</w:t>
            </w:r>
          </w:p>
        </w:tc>
      </w:tr>
      <w:tr>
        <w:tblPrEx>
          <w:tblCellMar>
            <w:top w:w="0" w:type="dxa"/>
            <w:left w:w="108" w:type="dxa"/>
            <w:bottom w:w="0" w:type="dxa"/>
            <w:right w:w="108" w:type="dxa"/>
          </w:tblCellMar>
        </w:tblPrEx>
        <w:trPr>
          <w:trHeight w:val="577" w:hRule="atLeast"/>
          <w:jc w:val="center"/>
        </w:trPr>
        <w:tc>
          <w:tcPr>
            <w:tcW w:w="1093"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3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其中：</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财政拨款</w:t>
            </w:r>
          </w:p>
        </w:tc>
        <w:tc>
          <w:tcPr>
            <w:tcW w:w="1408"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496</w:t>
            </w:r>
          </w:p>
        </w:tc>
        <w:tc>
          <w:tcPr>
            <w:tcW w:w="70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其中：</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财政拨款</w:t>
            </w:r>
          </w:p>
        </w:tc>
        <w:tc>
          <w:tcPr>
            <w:tcW w:w="1158"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496</w:t>
            </w:r>
          </w:p>
        </w:tc>
      </w:tr>
      <w:tr>
        <w:tblPrEx>
          <w:tblCellMar>
            <w:top w:w="0" w:type="dxa"/>
            <w:left w:w="108" w:type="dxa"/>
            <w:bottom w:w="0" w:type="dxa"/>
            <w:right w:w="108" w:type="dxa"/>
          </w:tblCellMar>
        </w:tblPrEx>
        <w:trPr>
          <w:trHeight w:val="341" w:hRule="atLeast"/>
          <w:jc w:val="center"/>
        </w:trPr>
        <w:tc>
          <w:tcPr>
            <w:tcW w:w="1093"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3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其他资金</w:t>
            </w:r>
          </w:p>
        </w:tc>
        <w:tc>
          <w:tcPr>
            <w:tcW w:w="1408"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p>
        </w:tc>
        <w:tc>
          <w:tcPr>
            <w:tcW w:w="70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其他资金</w:t>
            </w:r>
          </w:p>
        </w:tc>
        <w:tc>
          <w:tcPr>
            <w:tcW w:w="1158"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p>
        </w:tc>
      </w:tr>
      <w:tr>
        <w:tblPrEx>
          <w:tblCellMar>
            <w:top w:w="0" w:type="dxa"/>
            <w:left w:w="108" w:type="dxa"/>
            <w:bottom w:w="0" w:type="dxa"/>
            <w:right w:w="108" w:type="dxa"/>
          </w:tblCellMar>
        </w:tblPrEx>
        <w:trPr>
          <w:trHeight w:val="441" w:hRule="atLeast"/>
          <w:jc w:val="center"/>
        </w:trPr>
        <w:tc>
          <w:tcPr>
            <w:tcW w:w="435" w:type="pct"/>
            <w:vMerge w:val="restar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年度总体目标完成情况</w:t>
            </w:r>
          </w:p>
        </w:tc>
        <w:tc>
          <w:tcPr>
            <w:tcW w:w="2705" w:type="pct"/>
            <w:gridSpan w:val="3"/>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预期目标</w:t>
            </w:r>
          </w:p>
        </w:tc>
        <w:tc>
          <w:tcPr>
            <w:tcW w:w="1859" w:type="pct"/>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目标实际完成情况</w:t>
            </w:r>
          </w:p>
        </w:tc>
      </w:tr>
      <w:tr>
        <w:tblPrEx>
          <w:tblCellMar>
            <w:top w:w="0" w:type="dxa"/>
            <w:left w:w="108" w:type="dxa"/>
            <w:bottom w:w="0" w:type="dxa"/>
            <w:right w:w="108" w:type="dxa"/>
          </w:tblCellMar>
        </w:tblPrEx>
        <w:trPr>
          <w:trHeight w:val="1158" w:hRule="atLeast"/>
          <w:jc w:val="center"/>
        </w:trPr>
        <w:tc>
          <w:tcPr>
            <w:tcW w:w="435" w:type="pct"/>
            <w:vMerge w:val="continue"/>
            <w:tcBorders>
              <w:top w:val="single" w:color="000000" w:sz="4" w:space="0"/>
              <w:left w:val="single" w:color="000000" w:sz="4" w:space="0"/>
              <w:bottom w:val="single" w:color="auto" w:sz="4" w:space="0"/>
              <w:right w:val="single" w:color="000000"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2705" w:type="pct"/>
            <w:gridSpan w:val="3"/>
            <w:tcBorders>
              <w:top w:val="single" w:color="000000" w:sz="4" w:space="0"/>
              <w:left w:val="single" w:color="000000" w:sz="4" w:space="0"/>
              <w:bottom w:val="single" w:color="auto" w:sz="4" w:space="0"/>
              <w:right w:val="single" w:color="000000" w:sz="4" w:space="0"/>
            </w:tcBorders>
            <w:noWrap/>
            <w:vAlign w:val="center"/>
          </w:tcPr>
          <w:p>
            <w:pPr>
              <w:pageBreakBefore w:val="0"/>
              <w:widowControl/>
              <w:kinsoku/>
              <w:wordWrap/>
              <w:overflowPunct/>
              <w:topLinePunct w:val="0"/>
              <w:bidi w:val="0"/>
              <w:spacing w:line="240" w:lineRule="auto"/>
              <w:ind w:firstLine="420" w:firstLineChars="200"/>
              <w:jc w:val="left"/>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向省国农公司支付易地扶贫搬迁购买服务费用，要求省国农公司按期完成2021年易地扶贫搬迁项目资金本息归集偿还服务。</w:t>
            </w:r>
          </w:p>
        </w:tc>
        <w:tc>
          <w:tcPr>
            <w:tcW w:w="1859" w:type="pct"/>
            <w:gridSpan w:val="2"/>
            <w:tcBorders>
              <w:top w:val="single" w:color="000000" w:sz="4" w:space="0"/>
              <w:left w:val="single" w:color="000000" w:sz="4" w:space="0"/>
              <w:bottom w:val="single" w:color="auto" w:sz="4" w:space="0"/>
              <w:right w:val="single" w:color="000000" w:sz="4" w:space="0"/>
            </w:tcBorders>
            <w:noWrap/>
            <w:vAlign w:val="center"/>
          </w:tcPr>
          <w:p>
            <w:pPr>
              <w:pageBreakBefore w:val="0"/>
              <w:widowControl/>
              <w:kinsoku/>
              <w:wordWrap/>
              <w:overflowPunct/>
              <w:topLinePunct w:val="0"/>
              <w:bidi w:val="0"/>
              <w:spacing w:line="240" w:lineRule="auto"/>
              <w:ind w:firstLine="420" w:firstLineChars="200"/>
              <w:jc w:val="left"/>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有序开展2021年度易地扶贫搬迁项目资金本息归集偿还工作，圆满完成年度本息归集偿还任务。</w:t>
            </w:r>
          </w:p>
        </w:tc>
      </w:tr>
      <w:tr>
        <w:tblPrEx>
          <w:tblCellMar>
            <w:top w:w="0" w:type="dxa"/>
            <w:left w:w="108" w:type="dxa"/>
            <w:bottom w:w="0" w:type="dxa"/>
            <w:right w:w="108" w:type="dxa"/>
          </w:tblCellMar>
        </w:tblPrEx>
        <w:trPr>
          <w:trHeight w:val="738" w:hRule="atLeast"/>
          <w:jc w:val="center"/>
        </w:trPr>
        <w:tc>
          <w:tcPr>
            <w:tcW w:w="435" w:type="pct"/>
            <w:vMerge w:val="restar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年度绩效指标完成情况</w:t>
            </w:r>
          </w:p>
        </w:tc>
        <w:tc>
          <w:tcPr>
            <w:tcW w:w="658"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一级</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63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二级</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1408"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三级</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70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预期指</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标值</w:t>
            </w:r>
          </w:p>
        </w:tc>
        <w:tc>
          <w:tcPr>
            <w:tcW w:w="1158"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实际完成指标值</w:t>
            </w:r>
          </w:p>
        </w:tc>
      </w:tr>
      <w:tr>
        <w:tblPrEx>
          <w:tblCellMar>
            <w:top w:w="0" w:type="dxa"/>
            <w:left w:w="108" w:type="dxa"/>
            <w:bottom w:w="0" w:type="dxa"/>
            <w:right w:w="108" w:type="dxa"/>
          </w:tblCellMar>
        </w:tblPrEx>
        <w:trPr>
          <w:trHeight w:val="1193" w:hRule="atLeast"/>
          <w:jc w:val="center"/>
        </w:trPr>
        <w:tc>
          <w:tcPr>
            <w:tcW w:w="435"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58" w:type="pct"/>
            <w:vMerge w:val="restar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完成</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63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数量指标</w:t>
            </w:r>
          </w:p>
        </w:tc>
        <w:tc>
          <w:tcPr>
            <w:tcW w:w="1408"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省国农公司按期完成2021年易地扶贫搬迁项目资金本息归集偿还任务</w:t>
            </w:r>
          </w:p>
        </w:tc>
        <w:tc>
          <w:tcPr>
            <w:tcW w:w="70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16.86亿元</w:t>
            </w:r>
          </w:p>
        </w:tc>
        <w:tc>
          <w:tcPr>
            <w:tcW w:w="1158"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圆满完成</w:t>
            </w:r>
          </w:p>
        </w:tc>
      </w:tr>
      <w:tr>
        <w:tblPrEx>
          <w:tblCellMar>
            <w:top w:w="0" w:type="dxa"/>
            <w:left w:w="108" w:type="dxa"/>
            <w:bottom w:w="0" w:type="dxa"/>
            <w:right w:w="108" w:type="dxa"/>
          </w:tblCellMar>
        </w:tblPrEx>
        <w:trPr>
          <w:trHeight w:val="887" w:hRule="atLeast"/>
          <w:jc w:val="center"/>
        </w:trPr>
        <w:tc>
          <w:tcPr>
            <w:tcW w:w="435"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58"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3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质量指标</w:t>
            </w:r>
          </w:p>
        </w:tc>
        <w:tc>
          <w:tcPr>
            <w:tcW w:w="1408"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按照与银行签订的相关协议，足额归集偿还本息</w:t>
            </w:r>
          </w:p>
        </w:tc>
        <w:tc>
          <w:tcPr>
            <w:tcW w:w="70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按协议足额偿付本息</w:t>
            </w:r>
          </w:p>
        </w:tc>
        <w:tc>
          <w:tcPr>
            <w:tcW w:w="1158"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超额完成本息归集偿还任务</w:t>
            </w:r>
          </w:p>
        </w:tc>
      </w:tr>
      <w:tr>
        <w:tblPrEx>
          <w:tblCellMar>
            <w:top w:w="0" w:type="dxa"/>
            <w:left w:w="108" w:type="dxa"/>
            <w:bottom w:w="0" w:type="dxa"/>
            <w:right w:w="108" w:type="dxa"/>
          </w:tblCellMar>
        </w:tblPrEx>
        <w:trPr>
          <w:trHeight w:val="868" w:hRule="atLeast"/>
          <w:jc w:val="center"/>
        </w:trPr>
        <w:tc>
          <w:tcPr>
            <w:tcW w:w="435"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58"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3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时效指标</w:t>
            </w:r>
          </w:p>
        </w:tc>
        <w:tc>
          <w:tcPr>
            <w:tcW w:w="1408"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按照与银行签订的相关协议，按期足额归集偿还</w:t>
            </w:r>
          </w:p>
        </w:tc>
        <w:tc>
          <w:tcPr>
            <w:tcW w:w="70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按协议按期归集偿还</w:t>
            </w:r>
          </w:p>
        </w:tc>
        <w:tc>
          <w:tcPr>
            <w:tcW w:w="1158"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按期归集偿还</w:t>
            </w:r>
          </w:p>
        </w:tc>
      </w:tr>
      <w:tr>
        <w:tblPrEx>
          <w:tblCellMar>
            <w:top w:w="0" w:type="dxa"/>
            <w:left w:w="108" w:type="dxa"/>
            <w:bottom w:w="0" w:type="dxa"/>
            <w:right w:w="108" w:type="dxa"/>
          </w:tblCellMar>
        </w:tblPrEx>
        <w:trPr>
          <w:trHeight w:val="1106" w:hRule="atLeast"/>
          <w:jc w:val="center"/>
        </w:trPr>
        <w:tc>
          <w:tcPr>
            <w:tcW w:w="435"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58"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效益指标</w:t>
            </w:r>
          </w:p>
        </w:tc>
        <w:tc>
          <w:tcPr>
            <w:tcW w:w="63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可持续影响指标</w:t>
            </w:r>
          </w:p>
        </w:tc>
        <w:tc>
          <w:tcPr>
            <w:tcW w:w="1408"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有序开展本息归集偿还，确保“十三五”易地扶贫搬迁有偿资金有序还款</w:t>
            </w:r>
          </w:p>
        </w:tc>
        <w:tc>
          <w:tcPr>
            <w:tcW w:w="70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有序归集偿还</w:t>
            </w:r>
          </w:p>
        </w:tc>
        <w:tc>
          <w:tcPr>
            <w:tcW w:w="1158"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有序完成年度任务</w:t>
            </w:r>
          </w:p>
        </w:tc>
      </w:tr>
      <w:tr>
        <w:tblPrEx>
          <w:tblCellMar>
            <w:top w:w="0" w:type="dxa"/>
            <w:left w:w="108" w:type="dxa"/>
            <w:bottom w:w="0" w:type="dxa"/>
            <w:right w:w="108" w:type="dxa"/>
          </w:tblCellMar>
        </w:tblPrEx>
        <w:trPr>
          <w:trHeight w:val="990" w:hRule="atLeast"/>
          <w:jc w:val="center"/>
        </w:trPr>
        <w:tc>
          <w:tcPr>
            <w:tcW w:w="435"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58"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满意度</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63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满意度</w:t>
            </w:r>
          </w:p>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指标</w:t>
            </w:r>
          </w:p>
        </w:tc>
        <w:tc>
          <w:tcPr>
            <w:tcW w:w="1408"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国农公司本息归集偿还工作满意度</w:t>
            </w:r>
          </w:p>
        </w:tc>
        <w:tc>
          <w:tcPr>
            <w:tcW w:w="70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≥90%</w:t>
            </w:r>
          </w:p>
        </w:tc>
        <w:tc>
          <w:tcPr>
            <w:tcW w:w="1158"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ind w:firstLine="420" w:firstLineChars="200"/>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100%</w:t>
            </w:r>
          </w:p>
        </w:tc>
      </w:tr>
    </w:tbl>
    <w:p>
      <w:pPr>
        <w:pStyle w:val="8"/>
        <w:pageBreakBefore w:val="0"/>
        <w:kinsoku/>
        <w:wordWrap/>
        <w:overflowPunct/>
        <w:topLinePunct w:val="0"/>
        <w:bidi w:val="0"/>
        <w:spacing w:before="93" w:line="560" w:lineRule="exact"/>
        <w:rPr>
          <w:rFonts w:hint="default" w:ascii="Times New Roman" w:hAnsi="Times New Roman" w:cs="Times New Roman"/>
          <w:color w:val="auto"/>
          <w:lang w:val="zh-CN"/>
        </w:rPr>
      </w:pPr>
    </w:p>
    <w:tbl>
      <w:tblPr>
        <w:tblStyle w:val="21"/>
        <w:tblpPr w:leftFromText="180" w:rightFromText="180" w:vertAnchor="text" w:horzAnchor="page" w:tblpXSpec="center" w:tblpY="221"/>
        <w:tblOverlap w:val="never"/>
        <w:tblW w:w="5038" w:type="pct"/>
        <w:jc w:val="center"/>
        <w:tblLayout w:type="fixed"/>
        <w:tblCellMar>
          <w:top w:w="0" w:type="dxa"/>
          <w:left w:w="108" w:type="dxa"/>
          <w:bottom w:w="0" w:type="dxa"/>
          <w:right w:w="108" w:type="dxa"/>
        </w:tblCellMar>
      </w:tblPr>
      <w:tblGrid>
        <w:gridCol w:w="674"/>
        <w:gridCol w:w="1284"/>
        <w:gridCol w:w="1470"/>
        <w:gridCol w:w="2202"/>
        <w:gridCol w:w="1800"/>
        <w:gridCol w:w="1701"/>
      </w:tblGrid>
      <w:tr>
        <w:tblPrEx>
          <w:tblCellMar>
            <w:top w:w="0" w:type="dxa"/>
            <w:left w:w="108" w:type="dxa"/>
            <w:bottom w:w="0" w:type="dxa"/>
            <w:right w:w="108" w:type="dxa"/>
          </w:tblCellMar>
        </w:tblPrEx>
        <w:trPr>
          <w:trHeight w:val="1128" w:hRule="atLeast"/>
          <w:jc w:val="center"/>
        </w:trPr>
        <w:tc>
          <w:tcPr>
            <w:tcW w:w="5000" w:type="pct"/>
            <w:gridSpan w:val="6"/>
            <w:tcBorders>
              <w:top w:val="nil"/>
              <w:left w:val="nil"/>
              <w:bottom w:val="nil"/>
              <w:right w:val="nil"/>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方正小标宋简体" w:cs="Times New Roman"/>
                <w:bCs/>
                <w:color w:val="auto"/>
                <w:sz w:val="32"/>
                <w:szCs w:val="32"/>
              </w:rPr>
            </w:pPr>
            <w:r>
              <w:rPr>
                <w:rFonts w:hint="default" w:ascii="Times New Roman" w:hAnsi="Times New Roman" w:eastAsia="方正小标宋简体" w:cs="Times New Roman"/>
                <w:bCs/>
                <w:color w:val="auto"/>
                <w:sz w:val="28"/>
                <w:szCs w:val="28"/>
              </w:rPr>
              <w:t>2021年100万以上（含）特定目标类部门预算项目绩效目标自评</w:t>
            </w:r>
          </w:p>
          <w:p>
            <w:pPr>
              <w:pageBreakBefore w:val="0"/>
              <w:widowControl/>
              <w:kinsoku/>
              <w:wordWrap/>
              <w:overflowPunct/>
              <w:topLinePunct w:val="0"/>
              <w:bidi w:val="0"/>
              <w:spacing w:line="240" w:lineRule="auto"/>
              <w:jc w:val="center"/>
              <w:textAlignment w:val="center"/>
              <w:rPr>
                <w:rFonts w:hint="default" w:ascii="Times New Roman" w:hAnsi="Times New Roman" w:cs="Times New Roman"/>
                <w:b/>
                <w:color w:val="auto"/>
                <w:sz w:val="32"/>
                <w:szCs w:val="32"/>
              </w:rPr>
            </w:pPr>
            <w:r>
              <w:rPr>
                <w:rFonts w:hint="default" w:ascii="Times New Roman" w:hAnsi="Times New Roman" w:eastAsia="方正小标宋简体" w:cs="Times New Roman"/>
                <w:bCs/>
                <w:color w:val="auto"/>
                <w:sz w:val="28"/>
                <w:szCs w:val="28"/>
              </w:rPr>
              <w:t>（中国品牌日四川活动项目）</w:t>
            </w:r>
          </w:p>
        </w:tc>
      </w:tr>
      <w:tr>
        <w:tblPrEx>
          <w:tblCellMar>
            <w:top w:w="0" w:type="dxa"/>
            <w:left w:w="108" w:type="dxa"/>
            <w:bottom w:w="0" w:type="dxa"/>
            <w:right w:w="108" w:type="dxa"/>
          </w:tblCellMar>
        </w:tblPrEx>
        <w:trPr>
          <w:trHeight w:val="574" w:hRule="atLeast"/>
          <w:jc w:val="center"/>
        </w:trPr>
        <w:tc>
          <w:tcPr>
            <w:tcW w:w="1072" w:type="pct"/>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主管部门及代码</w:t>
            </w:r>
          </w:p>
        </w:tc>
        <w:tc>
          <w:tcPr>
            <w:tcW w:w="2010" w:type="pct"/>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303-四川省发展和改革委员会</w:t>
            </w:r>
          </w:p>
        </w:tc>
        <w:tc>
          <w:tcPr>
            <w:tcW w:w="98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实施单位</w:t>
            </w:r>
          </w:p>
        </w:tc>
        <w:tc>
          <w:tcPr>
            <w:tcW w:w="93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四川省发展和改革委员会机关</w:t>
            </w:r>
          </w:p>
        </w:tc>
      </w:tr>
      <w:tr>
        <w:tblPrEx>
          <w:tblCellMar>
            <w:top w:w="0" w:type="dxa"/>
            <w:left w:w="108" w:type="dxa"/>
            <w:bottom w:w="0" w:type="dxa"/>
            <w:right w:w="108" w:type="dxa"/>
          </w:tblCellMar>
        </w:tblPrEx>
        <w:trPr>
          <w:trHeight w:val="574" w:hRule="atLeast"/>
          <w:jc w:val="center"/>
        </w:trPr>
        <w:tc>
          <w:tcPr>
            <w:tcW w:w="1072" w:type="pct"/>
            <w:gridSpan w:val="2"/>
            <w:vMerge w:val="restar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项目预算</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执行情况</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（万元）</w:t>
            </w:r>
          </w:p>
        </w:tc>
        <w:tc>
          <w:tcPr>
            <w:tcW w:w="804"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lef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 xml:space="preserve"> 预算数：</w:t>
            </w:r>
          </w:p>
        </w:tc>
        <w:tc>
          <w:tcPr>
            <w:tcW w:w="120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435.15</w:t>
            </w:r>
          </w:p>
        </w:tc>
        <w:tc>
          <w:tcPr>
            <w:tcW w:w="98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lef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 xml:space="preserve"> 执行数：</w:t>
            </w:r>
          </w:p>
        </w:tc>
        <w:tc>
          <w:tcPr>
            <w:tcW w:w="93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398.8</w:t>
            </w:r>
          </w:p>
        </w:tc>
      </w:tr>
      <w:tr>
        <w:tblPrEx>
          <w:tblCellMar>
            <w:top w:w="0" w:type="dxa"/>
            <w:left w:w="108" w:type="dxa"/>
            <w:bottom w:w="0" w:type="dxa"/>
            <w:right w:w="108" w:type="dxa"/>
          </w:tblCellMar>
        </w:tblPrEx>
        <w:trPr>
          <w:trHeight w:val="843" w:hRule="atLeast"/>
          <w:jc w:val="center"/>
        </w:trPr>
        <w:tc>
          <w:tcPr>
            <w:tcW w:w="1072"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804"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left"/>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其中：</w:t>
            </w:r>
          </w:p>
          <w:p>
            <w:pPr>
              <w:pageBreakBefore w:val="0"/>
              <w:widowControl/>
              <w:kinsoku/>
              <w:wordWrap/>
              <w:overflowPunct/>
              <w:topLinePunct w:val="0"/>
              <w:bidi w:val="0"/>
              <w:spacing w:line="240" w:lineRule="auto"/>
              <w:jc w:val="lef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财政拨款</w:t>
            </w:r>
          </w:p>
        </w:tc>
        <w:tc>
          <w:tcPr>
            <w:tcW w:w="120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435.15</w:t>
            </w:r>
          </w:p>
        </w:tc>
        <w:tc>
          <w:tcPr>
            <w:tcW w:w="98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left"/>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其中：</w:t>
            </w:r>
          </w:p>
          <w:p>
            <w:pPr>
              <w:pageBreakBefore w:val="0"/>
              <w:widowControl/>
              <w:kinsoku/>
              <w:wordWrap/>
              <w:overflowPunct/>
              <w:topLinePunct w:val="0"/>
              <w:bidi w:val="0"/>
              <w:spacing w:line="240" w:lineRule="auto"/>
              <w:jc w:val="lef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财政拨款</w:t>
            </w:r>
          </w:p>
        </w:tc>
        <w:tc>
          <w:tcPr>
            <w:tcW w:w="93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398.8</w:t>
            </w:r>
          </w:p>
        </w:tc>
      </w:tr>
      <w:tr>
        <w:tblPrEx>
          <w:tblCellMar>
            <w:top w:w="0" w:type="dxa"/>
            <w:left w:w="108" w:type="dxa"/>
            <w:bottom w:w="0" w:type="dxa"/>
            <w:right w:w="108" w:type="dxa"/>
          </w:tblCellMar>
        </w:tblPrEx>
        <w:trPr>
          <w:trHeight w:val="574" w:hRule="atLeast"/>
          <w:jc w:val="center"/>
        </w:trPr>
        <w:tc>
          <w:tcPr>
            <w:tcW w:w="1072"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804"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lef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其他资金</w:t>
            </w:r>
          </w:p>
        </w:tc>
        <w:tc>
          <w:tcPr>
            <w:tcW w:w="120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0</w:t>
            </w:r>
          </w:p>
        </w:tc>
        <w:tc>
          <w:tcPr>
            <w:tcW w:w="98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lef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其他资金</w:t>
            </w:r>
          </w:p>
        </w:tc>
        <w:tc>
          <w:tcPr>
            <w:tcW w:w="93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0</w:t>
            </w:r>
          </w:p>
        </w:tc>
      </w:tr>
      <w:tr>
        <w:tblPrEx>
          <w:tblCellMar>
            <w:top w:w="0" w:type="dxa"/>
            <w:left w:w="108" w:type="dxa"/>
            <w:bottom w:w="0" w:type="dxa"/>
            <w:right w:w="108" w:type="dxa"/>
          </w:tblCellMar>
        </w:tblPrEx>
        <w:trPr>
          <w:trHeight w:val="574" w:hRule="atLeast"/>
          <w:jc w:val="center"/>
        </w:trPr>
        <w:tc>
          <w:tcPr>
            <w:tcW w:w="369" w:type="pct"/>
            <w:vMerge w:val="restar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年度总体目标完成情况</w:t>
            </w:r>
          </w:p>
        </w:tc>
        <w:tc>
          <w:tcPr>
            <w:tcW w:w="2713" w:type="pct"/>
            <w:gridSpan w:val="3"/>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预期目标</w:t>
            </w:r>
          </w:p>
        </w:tc>
        <w:tc>
          <w:tcPr>
            <w:tcW w:w="1917" w:type="pct"/>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目标实际完成情况</w:t>
            </w:r>
          </w:p>
        </w:tc>
      </w:tr>
      <w:tr>
        <w:tblPrEx>
          <w:tblCellMar>
            <w:top w:w="0" w:type="dxa"/>
            <w:left w:w="108" w:type="dxa"/>
            <w:bottom w:w="0" w:type="dxa"/>
            <w:right w:w="108" w:type="dxa"/>
          </w:tblCellMar>
        </w:tblPrEx>
        <w:trPr>
          <w:trHeight w:val="3049" w:hRule="atLeast"/>
          <w:jc w:val="center"/>
        </w:trPr>
        <w:tc>
          <w:tcPr>
            <w:tcW w:w="369" w:type="pct"/>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2713" w:type="pct"/>
            <w:gridSpan w:val="3"/>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ind w:firstLine="420" w:firstLineChars="200"/>
              <w:jc w:val="left"/>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2017年，国务院批复同意将每年5月10日设立为“中国品牌日”。为贯彻国务院关于品牌发展的决策部署，国家发展改革委牵头会同有关部门举办了2018、2019、2020年三届中国品牌日系列活动。2020年9月16日，国家发展改革委召开2021第二届自主品牌博览会筹备会，会上明确国家发展改革委拟会同相关部门于5月10日—12日在上海举办2021年自主品牌博览会及中国品牌日系列活动，活动拟包括线上和线下两种方式举办，博览会规模不低于2018首届自主品牌博览会规模。</w:t>
            </w:r>
          </w:p>
        </w:tc>
        <w:tc>
          <w:tcPr>
            <w:tcW w:w="1917" w:type="pct"/>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ind w:firstLine="420" w:firstLineChars="200"/>
              <w:jc w:val="left"/>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2021年中国品牌日四川活动投入资金398.8万元，圆满完成了线上展馆、线下展馆、特色展演活动、地方特色品牌创建等大型活动的设计、筹备、展出及收尾工作，活动特色亮点纷呈、成绩斐然，获得一致好评，全方位宣传展示了四川省品牌建设成效。</w:t>
            </w:r>
          </w:p>
          <w:p>
            <w:pPr>
              <w:pageBreakBefore w:val="0"/>
              <w:widowControl/>
              <w:kinsoku/>
              <w:wordWrap/>
              <w:overflowPunct/>
              <w:topLinePunct w:val="0"/>
              <w:bidi w:val="0"/>
              <w:spacing w:line="240" w:lineRule="auto"/>
              <w:ind w:firstLine="420" w:firstLineChars="200"/>
              <w:jc w:val="left"/>
              <w:textAlignment w:val="top"/>
              <w:rPr>
                <w:rFonts w:hint="default"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793" w:hRule="atLeast"/>
          <w:jc w:val="center"/>
        </w:trPr>
        <w:tc>
          <w:tcPr>
            <w:tcW w:w="369" w:type="pct"/>
            <w:vMerge w:val="restart"/>
            <w:tcBorders>
              <w:top w:val="single" w:color="000000" w:sz="4" w:space="0"/>
              <w:left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年度绩效指标完成情况</w:t>
            </w:r>
          </w:p>
        </w:tc>
        <w:tc>
          <w:tcPr>
            <w:tcW w:w="703" w:type="pct"/>
            <w:tcBorders>
              <w:top w:val="single" w:color="000000" w:sz="4" w:space="0"/>
              <w:left w:val="nil"/>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一级</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804"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二级</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120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三级</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98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预期指标值</w:t>
            </w:r>
          </w:p>
        </w:tc>
        <w:tc>
          <w:tcPr>
            <w:tcW w:w="93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实际完成指标值</w:t>
            </w:r>
          </w:p>
        </w:tc>
      </w:tr>
      <w:tr>
        <w:tblPrEx>
          <w:tblCellMar>
            <w:top w:w="0" w:type="dxa"/>
            <w:left w:w="108" w:type="dxa"/>
            <w:bottom w:w="0" w:type="dxa"/>
            <w:right w:w="108" w:type="dxa"/>
          </w:tblCellMar>
        </w:tblPrEx>
        <w:trPr>
          <w:trHeight w:val="574" w:hRule="atLeast"/>
          <w:jc w:val="center"/>
        </w:trPr>
        <w:tc>
          <w:tcPr>
            <w:tcW w:w="369" w:type="pct"/>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703" w:type="pct"/>
            <w:vMerge w:val="restar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完成</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804"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数量指标</w:t>
            </w:r>
          </w:p>
        </w:tc>
        <w:tc>
          <w:tcPr>
            <w:tcW w:w="120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参展企业数量</w:t>
            </w:r>
          </w:p>
        </w:tc>
        <w:tc>
          <w:tcPr>
            <w:tcW w:w="98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线上50家、线下35家企业参展</w:t>
            </w:r>
          </w:p>
        </w:tc>
        <w:tc>
          <w:tcPr>
            <w:tcW w:w="93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线上50家、线下35家企业参展</w:t>
            </w:r>
          </w:p>
        </w:tc>
      </w:tr>
      <w:tr>
        <w:tblPrEx>
          <w:tblCellMar>
            <w:top w:w="0" w:type="dxa"/>
            <w:left w:w="108" w:type="dxa"/>
            <w:bottom w:w="0" w:type="dxa"/>
            <w:right w:w="108" w:type="dxa"/>
          </w:tblCellMar>
        </w:tblPrEx>
        <w:trPr>
          <w:trHeight w:val="663" w:hRule="atLeast"/>
          <w:jc w:val="center"/>
        </w:trPr>
        <w:tc>
          <w:tcPr>
            <w:tcW w:w="369" w:type="pct"/>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703" w:type="pct"/>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804"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质量指标</w:t>
            </w:r>
          </w:p>
        </w:tc>
        <w:tc>
          <w:tcPr>
            <w:tcW w:w="120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通过检查率</w:t>
            </w:r>
          </w:p>
        </w:tc>
        <w:tc>
          <w:tcPr>
            <w:tcW w:w="98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达到国家线上线下参展、布展要求</w:t>
            </w:r>
          </w:p>
        </w:tc>
        <w:tc>
          <w:tcPr>
            <w:tcW w:w="93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达标</w:t>
            </w:r>
          </w:p>
        </w:tc>
      </w:tr>
      <w:tr>
        <w:tblPrEx>
          <w:tblCellMar>
            <w:top w:w="0" w:type="dxa"/>
            <w:left w:w="108" w:type="dxa"/>
            <w:bottom w:w="0" w:type="dxa"/>
            <w:right w:w="108" w:type="dxa"/>
          </w:tblCellMar>
        </w:tblPrEx>
        <w:trPr>
          <w:trHeight w:val="1138" w:hRule="atLeast"/>
          <w:jc w:val="center"/>
        </w:trPr>
        <w:tc>
          <w:tcPr>
            <w:tcW w:w="369" w:type="pct"/>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703" w:type="pct"/>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804"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时效指标</w:t>
            </w:r>
          </w:p>
        </w:tc>
        <w:tc>
          <w:tcPr>
            <w:tcW w:w="120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按时间节点完成相关工作</w:t>
            </w:r>
          </w:p>
        </w:tc>
        <w:tc>
          <w:tcPr>
            <w:tcW w:w="98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4月10日上线云上展馆模块，5月10日正式开幕</w:t>
            </w:r>
          </w:p>
        </w:tc>
        <w:tc>
          <w:tcPr>
            <w:tcW w:w="93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按时间节点完成相应参展任务</w:t>
            </w:r>
          </w:p>
        </w:tc>
      </w:tr>
      <w:tr>
        <w:tblPrEx>
          <w:tblCellMar>
            <w:top w:w="0" w:type="dxa"/>
            <w:left w:w="108" w:type="dxa"/>
            <w:bottom w:w="0" w:type="dxa"/>
            <w:right w:w="108" w:type="dxa"/>
          </w:tblCellMar>
        </w:tblPrEx>
        <w:trPr>
          <w:trHeight w:val="574" w:hRule="atLeast"/>
          <w:jc w:val="center"/>
        </w:trPr>
        <w:tc>
          <w:tcPr>
            <w:tcW w:w="369" w:type="pct"/>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703" w:type="pct"/>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804"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成本指标</w:t>
            </w:r>
          </w:p>
        </w:tc>
        <w:tc>
          <w:tcPr>
            <w:tcW w:w="120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经费控制在预算内</w:t>
            </w:r>
          </w:p>
        </w:tc>
        <w:tc>
          <w:tcPr>
            <w:tcW w:w="98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435.15万元</w:t>
            </w:r>
          </w:p>
        </w:tc>
        <w:tc>
          <w:tcPr>
            <w:tcW w:w="93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389.8万元</w:t>
            </w:r>
          </w:p>
        </w:tc>
      </w:tr>
      <w:tr>
        <w:tblPrEx>
          <w:tblCellMar>
            <w:top w:w="0" w:type="dxa"/>
            <w:left w:w="108" w:type="dxa"/>
            <w:bottom w:w="0" w:type="dxa"/>
            <w:right w:w="108" w:type="dxa"/>
          </w:tblCellMar>
        </w:tblPrEx>
        <w:trPr>
          <w:trHeight w:val="1702" w:hRule="atLeast"/>
          <w:jc w:val="center"/>
        </w:trPr>
        <w:tc>
          <w:tcPr>
            <w:tcW w:w="369" w:type="pct"/>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703" w:type="pct"/>
            <w:vMerge w:val="restart"/>
            <w:tcBorders>
              <w:top w:val="single" w:color="000000" w:sz="4" w:space="0"/>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效益指标</w:t>
            </w:r>
          </w:p>
        </w:tc>
        <w:tc>
          <w:tcPr>
            <w:tcW w:w="804"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社会效益  指标</w:t>
            </w:r>
          </w:p>
        </w:tc>
        <w:tc>
          <w:tcPr>
            <w:tcW w:w="120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通过品牌日活动的影响力推进四川品牌建设</w:t>
            </w:r>
          </w:p>
        </w:tc>
        <w:tc>
          <w:tcPr>
            <w:tcW w:w="98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通过线上、线下展示，扩大四川企业四川品牌影响力、美誉度</w:t>
            </w:r>
          </w:p>
        </w:tc>
        <w:tc>
          <w:tcPr>
            <w:tcW w:w="93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参展企业打响了自身品牌知名度和美誉度</w:t>
            </w:r>
          </w:p>
        </w:tc>
      </w:tr>
      <w:tr>
        <w:tblPrEx>
          <w:tblCellMar>
            <w:top w:w="0" w:type="dxa"/>
            <w:left w:w="108" w:type="dxa"/>
            <w:bottom w:w="0" w:type="dxa"/>
            <w:right w:w="108" w:type="dxa"/>
          </w:tblCellMar>
        </w:tblPrEx>
        <w:trPr>
          <w:trHeight w:val="1702" w:hRule="atLeast"/>
          <w:jc w:val="center"/>
        </w:trPr>
        <w:tc>
          <w:tcPr>
            <w:tcW w:w="369" w:type="pct"/>
            <w:vMerge w:val="continue"/>
            <w:tcBorders>
              <w:left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p>
        </w:tc>
        <w:tc>
          <w:tcPr>
            <w:tcW w:w="703" w:type="pct"/>
            <w:vMerge w:val="continue"/>
            <w:tcBorders>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p>
        </w:tc>
        <w:tc>
          <w:tcPr>
            <w:tcW w:w="804"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可持续影</w:t>
            </w:r>
          </w:p>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响指标</w:t>
            </w:r>
          </w:p>
        </w:tc>
        <w:tc>
          <w:tcPr>
            <w:tcW w:w="120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利用品牌日活动影响力，激发优质企业参与热情，形成活动推动品牌建设，品牌反推活动特色亮点的互利双赢模式</w:t>
            </w:r>
          </w:p>
        </w:tc>
        <w:tc>
          <w:tcPr>
            <w:tcW w:w="98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构建品牌日活动与四川品牌的互利双赢模式</w:t>
            </w:r>
          </w:p>
        </w:tc>
        <w:tc>
          <w:tcPr>
            <w:tcW w:w="93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通过活动，四川品牌知名度、美誉度更高，四川活动更有水平、特色</w:t>
            </w:r>
          </w:p>
        </w:tc>
      </w:tr>
      <w:tr>
        <w:tblPrEx>
          <w:tblCellMar>
            <w:top w:w="0" w:type="dxa"/>
            <w:left w:w="108" w:type="dxa"/>
            <w:bottom w:w="0" w:type="dxa"/>
            <w:right w:w="108" w:type="dxa"/>
          </w:tblCellMar>
        </w:tblPrEx>
        <w:trPr>
          <w:trHeight w:val="1148" w:hRule="atLeast"/>
          <w:jc w:val="center"/>
        </w:trPr>
        <w:tc>
          <w:tcPr>
            <w:tcW w:w="369" w:type="pct"/>
            <w:vMerge w:val="continue"/>
            <w:tcBorders>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p>
        </w:tc>
        <w:tc>
          <w:tcPr>
            <w:tcW w:w="703"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满意</w:t>
            </w:r>
          </w:p>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度指标</w:t>
            </w:r>
          </w:p>
        </w:tc>
        <w:tc>
          <w:tcPr>
            <w:tcW w:w="804"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满意度</w:t>
            </w:r>
          </w:p>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指标</w:t>
            </w:r>
          </w:p>
        </w:tc>
        <w:tc>
          <w:tcPr>
            <w:tcW w:w="120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参与企业满意度</w:t>
            </w:r>
          </w:p>
        </w:tc>
        <w:tc>
          <w:tcPr>
            <w:tcW w:w="98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100%</w:t>
            </w:r>
          </w:p>
        </w:tc>
        <w:tc>
          <w:tcPr>
            <w:tcW w:w="93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100%</w:t>
            </w:r>
          </w:p>
        </w:tc>
      </w:tr>
    </w:tbl>
    <w:p>
      <w:pPr>
        <w:pStyle w:val="8"/>
        <w:pageBreakBefore w:val="0"/>
        <w:kinsoku/>
        <w:wordWrap/>
        <w:overflowPunct/>
        <w:topLinePunct w:val="0"/>
        <w:bidi w:val="0"/>
        <w:spacing w:before="93" w:line="560" w:lineRule="exact"/>
        <w:rPr>
          <w:rFonts w:hint="default" w:ascii="Times New Roman" w:hAnsi="Times New Roman" w:cs="Times New Roman"/>
          <w:color w:val="auto"/>
          <w:sz w:val="21"/>
          <w:szCs w:val="21"/>
          <w:lang w:val="zh-CN"/>
        </w:rPr>
      </w:pPr>
    </w:p>
    <w:tbl>
      <w:tblPr>
        <w:tblStyle w:val="21"/>
        <w:tblpPr w:leftFromText="180" w:rightFromText="180" w:vertAnchor="text" w:horzAnchor="page" w:tblpXSpec="center" w:tblpY="221"/>
        <w:tblOverlap w:val="never"/>
        <w:tblW w:w="9251" w:type="dxa"/>
        <w:jc w:val="center"/>
        <w:tblLayout w:type="fixed"/>
        <w:tblCellMar>
          <w:top w:w="0" w:type="dxa"/>
          <w:left w:w="108" w:type="dxa"/>
          <w:bottom w:w="0" w:type="dxa"/>
          <w:right w:w="108" w:type="dxa"/>
        </w:tblCellMar>
      </w:tblPr>
      <w:tblGrid>
        <w:gridCol w:w="809"/>
        <w:gridCol w:w="1569"/>
        <w:gridCol w:w="1305"/>
        <w:gridCol w:w="1800"/>
        <w:gridCol w:w="1425"/>
        <w:gridCol w:w="2343"/>
      </w:tblGrid>
      <w:tr>
        <w:tblPrEx>
          <w:tblCellMar>
            <w:top w:w="0" w:type="dxa"/>
            <w:left w:w="108" w:type="dxa"/>
            <w:bottom w:w="0" w:type="dxa"/>
            <w:right w:w="108" w:type="dxa"/>
          </w:tblCellMar>
        </w:tblPrEx>
        <w:trPr>
          <w:trHeight w:val="945" w:hRule="atLeast"/>
          <w:jc w:val="center"/>
        </w:trPr>
        <w:tc>
          <w:tcPr>
            <w:tcW w:w="9251" w:type="dxa"/>
            <w:gridSpan w:val="6"/>
            <w:tcBorders>
              <w:top w:val="nil"/>
              <w:left w:val="nil"/>
              <w:bottom w:val="nil"/>
              <w:right w:val="nil"/>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方正小标宋简体" w:cs="Times New Roman"/>
                <w:bCs/>
                <w:color w:val="auto"/>
                <w:sz w:val="32"/>
                <w:szCs w:val="32"/>
              </w:rPr>
            </w:pPr>
            <w:r>
              <w:rPr>
                <w:rFonts w:hint="default" w:ascii="Times New Roman" w:hAnsi="Times New Roman" w:eastAsia="方正小标宋简体" w:cs="Times New Roman"/>
                <w:bCs/>
                <w:color w:val="auto"/>
                <w:sz w:val="28"/>
                <w:szCs w:val="28"/>
              </w:rPr>
              <w:t>2021年100万以上（含）特定目标类部门预算项目绩效目标自评</w:t>
            </w:r>
          </w:p>
          <w:p>
            <w:pPr>
              <w:pageBreakBefore w:val="0"/>
              <w:widowControl/>
              <w:kinsoku/>
              <w:wordWrap/>
              <w:overflowPunct/>
              <w:topLinePunct w:val="0"/>
              <w:bidi w:val="0"/>
              <w:spacing w:line="240" w:lineRule="auto"/>
              <w:jc w:val="center"/>
              <w:textAlignment w:val="center"/>
              <w:rPr>
                <w:rFonts w:hint="default" w:ascii="Times New Roman" w:hAnsi="Times New Roman" w:cs="Times New Roman"/>
                <w:b/>
                <w:color w:val="auto"/>
              </w:rPr>
            </w:pPr>
            <w:r>
              <w:rPr>
                <w:rFonts w:hint="default" w:ascii="Times New Roman" w:hAnsi="Times New Roman" w:eastAsia="方正小标宋简体" w:cs="Times New Roman"/>
                <w:bCs/>
                <w:color w:val="auto"/>
                <w:sz w:val="28"/>
                <w:szCs w:val="28"/>
              </w:rPr>
              <w:t>（碳达峰情景下四川能耗双控研究项目）</w:t>
            </w:r>
          </w:p>
        </w:tc>
      </w:tr>
      <w:tr>
        <w:tblPrEx>
          <w:tblCellMar>
            <w:top w:w="0" w:type="dxa"/>
            <w:left w:w="108" w:type="dxa"/>
            <w:bottom w:w="0" w:type="dxa"/>
            <w:right w:w="108" w:type="dxa"/>
          </w:tblCellMar>
        </w:tblPrEx>
        <w:trPr>
          <w:trHeight w:val="254" w:hRule="atLeast"/>
          <w:jc w:val="center"/>
        </w:trPr>
        <w:tc>
          <w:tcPr>
            <w:tcW w:w="2378" w:type="dxa"/>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主管部门及代码</w:t>
            </w:r>
          </w:p>
        </w:tc>
        <w:tc>
          <w:tcPr>
            <w:tcW w:w="3105" w:type="dxa"/>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303-四川省发展和改革委员会</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实施单位</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四川省发展和改革委员会机关</w:t>
            </w:r>
          </w:p>
        </w:tc>
      </w:tr>
      <w:tr>
        <w:tblPrEx>
          <w:tblCellMar>
            <w:top w:w="0" w:type="dxa"/>
            <w:left w:w="108" w:type="dxa"/>
            <w:bottom w:w="0" w:type="dxa"/>
            <w:right w:w="108" w:type="dxa"/>
          </w:tblCellMar>
        </w:tblPrEx>
        <w:trPr>
          <w:trHeight w:val="341" w:hRule="atLeast"/>
          <w:jc w:val="center"/>
        </w:trPr>
        <w:tc>
          <w:tcPr>
            <w:tcW w:w="2378"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项目预算</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执行情况</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（万元）</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预算数：</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180</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执行数：</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180</w:t>
            </w:r>
          </w:p>
        </w:tc>
      </w:tr>
      <w:tr>
        <w:tblPrEx>
          <w:tblCellMar>
            <w:top w:w="0" w:type="dxa"/>
            <w:left w:w="108" w:type="dxa"/>
            <w:bottom w:w="0" w:type="dxa"/>
            <w:right w:w="108" w:type="dxa"/>
          </w:tblCellMar>
        </w:tblPrEx>
        <w:trPr>
          <w:trHeight w:val="577" w:hRule="atLeast"/>
          <w:jc w:val="center"/>
        </w:trPr>
        <w:tc>
          <w:tcPr>
            <w:tcW w:w="237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其中：</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财政拨款</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180</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其中：</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财政拨款</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180</w:t>
            </w:r>
          </w:p>
        </w:tc>
      </w:tr>
      <w:tr>
        <w:tblPrEx>
          <w:tblCellMar>
            <w:top w:w="0" w:type="dxa"/>
            <w:left w:w="108" w:type="dxa"/>
            <w:bottom w:w="0" w:type="dxa"/>
            <w:right w:w="108" w:type="dxa"/>
          </w:tblCellMar>
        </w:tblPrEx>
        <w:trPr>
          <w:trHeight w:val="341" w:hRule="atLeast"/>
          <w:jc w:val="center"/>
        </w:trPr>
        <w:tc>
          <w:tcPr>
            <w:tcW w:w="2378"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其他资金</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其他资金</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p>
        </w:tc>
      </w:tr>
      <w:tr>
        <w:tblPrEx>
          <w:tblCellMar>
            <w:top w:w="0" w:type="dxa"/>
            <w:left w:w="108" w:type="dxa"/>
            <w:bottom w:w="0" w:type="dxa"/>
            <w:right w:w="108" w:type="dxa"/>
          </w:tblCellMar>
        </w:tblPrEx>
        <w:trPr>
          <w:trHeight w:val="217" w:hRule="atLeast"/>
          <w:jc w:val="center"/>
        </w:trPr>
        <w:tc>
          <w:tcPr>
            <w:tcW w:w="809" w:type="dxa"/>
            <w:vMerge w:val="restar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年度总体目标完成情况</w:t>
            </w:r>
          </w:p>
        </w:tc>
        <w:tc>
          <w:tcPr>
            <w:tcW w:w="4674" w:type="dxa"/>
            <w:gridSpan w:val="3"/>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预期目标</w:t>
            </w:r>
          </w:p>
        </w:tc>
        <w:tc>
          <w:tcPr>
            <w:tcW w:w="3768" w:type="dxa"/>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目标实际完成情况</w:t>
            </w:r>
          </w:p>
        </w:tc>
      </w:tr>
      <w:tr>
        <w:tblPrEx>
          <w:tblCellMar>
            <w:top w:w="0" w:type="dxa"/>
            <w:left w:w="108" w:type="dxa"/>
            <w:bottom w:w="0" w:type="dxa"/>
            <w:right w:w="108" w:type="dxa"/>
          </w:tblCellMar>
        </w:tblPrEx>
        <w:trPr>
          <w:trHeight w:val="1297"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4674" w:type="dxa"/>
            <w:gridSpan w:val="3"/>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ind w:firstLine="420" w:firstLineChars="200"/>
              <w:jc w:val="left"/>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开展《碳达峰情境下能源消费双控目标及实现路径研究》</w:t>
            </w:r>
          </w:p>
        </w:tc>
        <w:tc>
          <w:tcPr>
            <w:tcW w:w="3768" w:type="dxa"/>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ind w:firstLine="420" w:firstLineChars="200"/>
              <w:jc w:val="left"/>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开展《碳达峰情境下能源消费双控目标及实现路径研究》</w:t>
            </w:r>
          </w:p>
        </w:tc>
      </w:tr>
      <w:tr>
        <w:tblPrEx>
          <w:tblCellMar>
            <w:top w:w="0" w:type="dxa"/>
            <w:left w:w="108" w:type="dxa"/>
            <w:bottom w:w="0" w:type="dxa"/>
            <w:right w:w="108" w:type="dxa"/>
          </w:tblCellMar>
        </w:tblPrEx>
        <w:trPr>
          <w:trHeight w:val="738" w:hRule="atLeast"/>
          <w:jc w:val="center"/>
        </w:trPr>
        <w:tc>
          <w:tcPr>
            <w:tcW w:w="809" w:type="dxa"/>
            <w:vMerge w:val="restart"/>
            <w:tcBorders>
              <w:top w:val="single" w:color="000000" w:sz="4" w:space="0"/>
              <w:left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年度绩效指标完成情况</w:t>
            </w:r>
          </w:p>
        </w:tc>
        <w:tc>
          <w:tcPr>
            <w:tcW w:w="1569" w:type="dxa"/>
            <w:tcBorders>
              <w:top w:val="single" w:color="000000" w:sz="4" w:space="0"/>
              <w:left w:val="nil"/>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一级</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二级</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三级</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预期指标值</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实际完成指标值</w:t>
            </w:r>
          </w:p>
        </w:tc>
      </w:tr>
      <w:tr>
        <w:tblPrEx>
          <w:tblCellMar>
            <w:top w:w="0" w:type="dxa"/>
            <w:left w:w="108" w:type="dxa"/>
            <w:bottom w:w="0" w:type="dxa"/>
            <w:right w:w="108" w:type="dxa"/>
          </w:tblCellMar>
        </w:tblPrEx>
        <w:trPr>
          <w:trHeight w:val="480" w:hRule="atLeast"/>
          <w:jc w:val="center"/>
        </w:trPr>
        <w:tc>
          <w:tcPr>
            <w:tcW w:w="809" w:type="dxa"/>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1569" w:type="dxa"/>
            <w:vMerge w:val="restar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完成</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数量指标</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提交成果数量</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3篇</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3篇</w:t>
            </w:r>
          </w:p>
        </w:tc>
      </w:tr>
      <w:tr>
        <w:tblPrEx>
          <w:tblCellMar>
            <w:top w:w="0" w:type="dxa"/>
            <w:left w:w="108" w:type="dxa"/>
            <w:bottom w:w="0" w:type="dxa"/>
            <w:right w:w="108" w:type="dxa"/>
          </w:tblCellMar>
        </w:tblPrEx>
        <w:trPr>
          <w:trHeight w:val="830" w:hRule="atLeast"/>
          <w:jc w:val="center"/>
        </w:trPr>
        <w:tc>
          <w:tcPr>
            <w:tcW w:w="809" w:type="dxa"/>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1569" w:type="dxa"/>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质量指标</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成果报告符合委托要求</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符合委托要求</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符合</w:t>
            </w:r>
          </w:p>
        </w:tc>
      </w:tr>
      <w:tr>
        <w:tblPrEx>
          <w:tblCellMar>
            <w:top w:w="0" w:type="dxa"/>
            <w:left w:w="108" w:type="dxa"/>
            <w:bottom w:w="0" w:type="dxa"/>
            <w:right w:w="108" w:type="dxa"/>
          </w:tblCellMar>
        </w:tblPrEx>
        <w:trPr>
          <w:trHeight w:val="480" w:hRule="atLeast"/>
          <w:jc w:val="center"/>
        </w:trPr>
        <w:tc>
          <w:tcPr>
            <w:tcW w:w="809" w:type="dxa"/>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1569" w:type="dxa"/>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时效指标</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完成时间</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一个顺延年内</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一年内</w:t>
            </w:r>
          </w:p>
        </w:tc>
      </w:tr>
      <w:tr>
        <w:tblPrEx>
          <w:tblCellMar>
            <w:top w:w="0" w:type="dxa"/>
            <w:left w:w="108" w:type="dxa"/>
            <w:bottom w:w="0" w:type="dxa"/>
            <w:right w:w="108" w:type="dxa"/>
          </w:tblCellMar>
        </w:tblPrEx>
        <w:trPr>
          <w:trHeight w:val="480" w:hRule="atLeast"/>
          <w:jc w:val="center"/>
        </w:trPr>
        <w:tc>
          <w:tcPr>
            <w:tcW w:w="809" w:type="dxa"/>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1569" w:type="dxa"/>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成本指标</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资金到位100%</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资金到位100%</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资金到位100%</w:t>
            </w:r>
          </w:p>
        </w:tc>
      </w:tr>
      <w:tr>
        <w:tblPrEx>
          <w:tblCellMar>
            <w:top w:w="0" w:type="dxa"/>
            <w:left w:w="108" w:type="dxa"/>
            <w:bottom w:w="0" w:type="dxa"/>
            <w:right w:w="108" w:type="dxa"/>
          </w:tblCellMar>
        </w:tblPrEx>
        <w:trPr>
          <w:trHeight w:val="890" w:hRule="atLeast"/>
          <w:jc w:val="center"/>
        </w:trPr>
        <w:tc>
          <w:tcPr>
            <w:tcW w:w="809" w:type="dxa"/>
            <w:vMerge w:val="continue"/>
            <w:tcBorders>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156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满意</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度指标</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满意度</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委托单位是否满意</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满意</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满意</w:t>
            </w:r>
          </w:p>
        </w:tc>
      </w:tr>
    </w:tbl>
    <w:p>
      <w:pPr>
        <w:pStyle w:val="8"/>
        <w:pageBreakBefore w:val="0"/>
        <w:kinsoku/>
        <w:wordWrap/>
        <w:overflowPunct/>
        <w:topLinePunct w:val="0"/>
        <w:bidi w:val="0"/>
        <w:spacing w:before="93" w:line="560" w:lineRule="exact"/>
        <w:rPr>
          <w:rFonts w:hint="default" w:ascii="Times New Roman" w:hAnsi="Times New Roman" w:cs="Times New Roman"/>
          <w:color w:val="auto"/>
          <w:lang w:val="zh-CN"/>
        </w:rPr>
      </w:pPr>
    </w:p>
    <w:tbl>
      <w:tblPr>
        <w:tblStyle w:val="21"/>
        <w:tblpPr w:leftFromText="180" w:rightFromText="180" w:vertAnchor="text" w:horzAnchor="page" w:tblpXSpec="center" w:tblpY="221"/>
        <w:tblOverlap w:val="never"/>
        <w:tblW w:w="9217" w:type="dxa"/>
        <w:jc w:val="center"/>
        <w:tblLayout w:type="fixed"/>
        <w:tblCellMar>
          <w:top w:w="0" w:type="dxa"/>
          <w:left w:w="108" w:type="dxa"/>
          <w:bottom w:w="0" w:type="dxa"/>
          <w:right w:w="108" w:type="dxa"/>
        </w:tblCellMar>
      </w:tblPr>
      <w:tblGrid>
        <w:gridCol w:w="807"/>
        <w:gridCol w:w="985"/>
        <w:gridCol w:w="1155"/>
        <w:gridCol w:w="2487"/>
        <w:gridCol w:w="1305"/>
        <w:gridCol w:w="2478"/>
      </w:tblGrid>
      <w:tr>
        <w:tblPrEx>
          <w:tblCellMar>
            <w:top w:w="0" w:type="dxa"/>
            <w:left w:w="108" w:type="dxa"/>
            <w:bottom w:w="0" w:type="dxa"/>
            <w:right w:w="108" w:type="dxa"/>
          </w:tblCellMar>
        </w:tblPrEx>
        <w:trPr>
          <w:trHeight w:val="90" w:hRule="atLeast"/>
          <w:jc w:val="center"/>
        </w:trPr>
        <w:tc>
          <w:tcPr>
            <w:tcW w:w="9217" w:type="dxa"/>
            <w:gridSpan w:val="6"/>
            <w:tcBorders>
              <w:top w:val="nil"/>
              <w:left w:val="nil"/>
              <w:bottom w:val="nil"/>
              <w:right w:val="nil"/>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方正小标宋简体" w:cs="Times New Roman"/>
                <w:bCs/>
                <w:color w:val="auto"/>
                <w:sz w:val="32"/>
                <w:szCs w:val="32"/>
              </w:rPr>
            </w:pPr>
            <w:r>
              <w:rPr>
                <w:rFonts w:hint="default" w:ascii="Times New Roman" w:hAnsi="Times New Roman" w:eastAsia="方正小标宋简体" w:cs="Times New Roman"/>
                <w:bCs/>
                <w:color w:val="auto"/>
                <w:sz w:val="28"/>
                <w:szCs w:val="28"/>
              </w:rPr>
              <w:t>2021年100万以上（含）特定目标类部门预算项目绩效目标自评</w:t>
            </w:r>
          </w:p>
          <w:p>
            <w:pPr>
              <w:pageBreakBefore w:val="0"/>
              <w:widowControl/>
              <w:kinsoku/>
              <w:wordWrap/>
              <w:overflowPunct/>
              <w:topLinePunct w:val="0"/>
              <w:bidi w:val="0"/>
              <w:spacing w:line="240" w:lineRule="auto"/>
              <w:jc w:val="center"/>
              <w:textAlignment w:val="center"/>
              <w:rPr>
                <w:rFonts w:hint="default" w:ascii="Times New Roman" w:hAnsi="Times New Roman" w:cs="Times New Roman"/>
                <w:b/>
                <w:color w:val="auto"/>
              </w:rPr>
            </w:pPr>
            <w:r>
              <w:rPr>
                <w:rFonts w:hint="default" w:ascii="Times New Roman" w:hAnsi="Times New Roman" w:eastAsia="方正小标宋简体" w:cs="Times New Roman"/>
                <w:bCs/>
                <w:color w:val="auto"/>
                <w:sz w:val="28"/>
                <w:szCs w:val="28"/>
              </w:rPr>
              <w:t>（省级用能权交易第三方核查项目）</w:t>
            </w:r>
          </w:p>
        </w:tc>
      </w:tr>
      <w:tr>
        <w:tblPrEx>
          <w:tblCellMar>
            <w:top w:w="0" w:type="dxa"/>
            <w:left w:w="108" w:type="dxa"/>
            <w:bottom w:w="0" w:type="dxa"/>
            <w:right w:w="108" w:type="dxa"/>
          </w:tblCellMar>
        </w:tblPrEx>
        <w:trPr>
          <w:trHeight w:val="254" w:hRule="atLeast"/>
          <w:jc w:val="center"/>
        </w:trPr>
        <w:tc>
          <w:tcPr>
            <w:tcW w:w="1792" w:type="dxa"/>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主管部门及代码</w:t>
            </w:r>
          </w:p>
        </w:tc>
        <w:tc>
          <w:tcPr>
            <w:tcW w:w="3642" w:type="dxa"/>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303-四川省发展和改革委员会</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实施单位</w:t>
            </w:r>
          </w:p>
        </w:tc>
        <w:tc>
          <w:tcPr>
            <w:tcW w:w="2478"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四川省发展和改革委员会机关</w:t>
            </w:r>
          </w:p>
        </w:tc>
      </w:tr>
      <w:tr>
        <w:tblPrEx>
          <w:tblCellMar>
            <w:top w:w="0" w:type="dxa"/>
            <w:left w:w="108" w:type="dxa"/>
            <w:bottom w:w="0" w:type="dxa"/>
            <w:right w:w="108" w:type="dxa"/>
          </w:tblCellMar>
        </w:tblPrEx>
        <w:trPr>
          <w:trHeight w:val="341" w:hRule="atLeast"/>
          <w:jc w:val="center"/>
        </w:trPr>
        <w:tc>
          <w:tcPr>
            <w:tcW w:w="1792"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项目预算</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执行情况</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（万元）</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预算数：</w:t>
            </w:r>
          </w:p>
        </w:tc>
        <w:tc>
          <w:tcPr>
            <w:tcW w:w="2487"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435</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执行数：</w:t>
            </w:r>
          </w:p>
        </w:tc>
        <w:tc>
          <w:tcPr>
            <w:tcW w:w="2478"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350</w:t>
            </w:r>
          </w:p>
        </w:tc>
      </w:tr>
      <w:tr>
        <w:tblPrEx>
          <w:tblCellMar>
            <w:top w:w="0" w:type="dxa"/>
            <w:left w:w="108" w:type="dxa"/>
            <w:bottom w:w="0" w:type="dxa"/>
            <w:right w:w="108" w:type="dxa"/>
          </w:tblCellMar>
        </w:tblPrEx>
        <w:trPr>
          <w:trHeight w:val="577" w:hRule="atLeast"/>
          <w:jc w:val="center"/>
        </w:trPr>
        <w:tc>
          <w:tcPr>
            <w:tcW w:w="1792"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其中：</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财政拨款</w:t>
            </w:r>
          </w:p>
        </w:tc>
        <w:tc>
          <w:tcPr>
            <w:tcW w:w="2487"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435</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其中：</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财政拨款</w:t>
            </w:r>
          </w:p>
        </w:tc>
        <w:tc>
          <w:tcPr>
            <w:tcW w:w="2478"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350</w:t>
            </w:r>
          </w:p>
        </w:tc>
      </w:tr>
      <w:tr>
        <w:tblPrEx>
          <w:tblCellMar>
            <w:top w:w="0" w:type="dxa"/>
            <w:left w:w="108" w:type="dxa"/>
            <w:bottom w:w="0" w:type="dxa"/>
            <w:right w:w="108" w:type="dxa"/>
          </w:tblCellMar>
        </w:tblPrEx>
        <w:trPr>
          <w:trHeight w:val="341" w:hRule="atLeast"/>
          <w:jc w:val="center"/>
        </w:trPr>
        <w:tc>
          <w:tcPr>
            <w:tcW w:w="1792"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其他资金</w:t>
            </w:r>
          </w:p>
        </w:tc>
        <w:tc>
          <w:tcPr>
            <w:tcW w:w="2487"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其他资金</w:t>
            </w:r>
          </w:p>
        </w:tc>
        <w:tc>
          <w:tcPr>
            <w:tcW w:w="2478"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p>
        </w:tc>
      </w:tr>
      <w:tr>
        <w:tblPrEx>
          <w:tblCellMar>
            <w:top w:w="0" w:type="dxa"/>
            <w:left w:w="108" w:type="dxa"/>
            <w:bottom w:w="0" w:type="dxa"/>
            <w:right w:w="108" w:type="dxa"/>
          </w:tblCellMar>
        </w:tblPrEx>
        <w:trPr>
          <w:trHeight w:val="217" w:hRule="atLeast"/>
          <w:jc w:val="center"/>
        </w:trPr>
        <w:tc>
          <w:tcPr>
            <w:tcW w:w="807" w:type="dxa"/>
            <w:vMerge w:val="restar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年度总体目标完成情况</w:t>
            </w:r>
          </w:p>
        </w:tc>
        <w:tc>
          <w:tcPr>
            <w:tcW w:w="4627" w:type="dxa"/>
            <w:gridSpan w:val="3"/>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预期目标</w:t>
            </w:r>
          </w:p>
        </w:tc>
        <w:tc>
          <w:tcPr>
            <w:tcW w:w="3783" w:type="dxa"/>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目标实际完成情况</w:t>
            </w:r>
          </w:p>
        </w:tc>
      </w:tr>
      <w:tr>
        <w:tblPrEx>
          <w:tblCellMar>
            <w:top w:w="0" w:type="dxa"/>
            <w:left w:w="108" w:type="dxa"/>
            <w:bottom w:w="0" w:type="dxa"/>
            <w:right w:w="108" w:type="dxa"/>
          </w:tblCellMar>
        </w:tblPrEx>
        <w:trPr>
          <w:trHeight w:val="1297"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4627" w:type="dxa"/>
            <w:gridSpan w:val="3"/>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ind w:firstLine="420" w:firstLineChars="200"/>
              <w:jc w:val="left"/>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组织第三方机构对纳入用能权交易范围的187家重点用能单位进行能耗现场核查和复核</w:t>
            </w:r>
          </w:p>
        </w:tc>
        <w:tc>
          <w:tcPr>
            <w:tcW w:w="3783" w:type="dxa"/>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ind w:firstLine="420" w:firstLineChars="200"/>
              <w:jc w:val="left"/>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已完成</w:t>
            </w:r>
            <w:r>
              <w:rPr>
                <w:rFonts w:hint="default" w:ascii="Times New Roman" w:hAnsi="Times New Roman" w:eastAsia="仿宋_GB2312" w:cs="Times New Roman"/>
                <w:color w:val="auto"/>
                <w:kern w:val="0"/>
                <w:szCs w:val="21"/>
                <w:lang w:val="en-US" w:eastAsia="zh-CN"/>
              </w:rPr>
              <w:t>219</w:t>
            </w:r>
            <w:r>
              <w:rPr>
                <w:rFonts w:hint="default" w:ascii="Times New Roman" w:hAnsi="Times New Roman" w:eastAsia="仿宋_GB2312" w:cs="Times New Roman"/>
                <w:color w:val="auto"/>
                <w:kern w:val="0"/>
                <w:szCs w:val="21"/>
              </w:rPr>
              <w:t>家重点用能单位进行能耗现场核查，正在进行复核工作</w:t>
            </w:r>
          </w:p>
        </w:tc>
      </w:tr>
      <w:tr>
        <w:tblPrEx>
          <w:tblCellMar>
            <w:top w:w="0" w:type="dxa"/>
            <w:left w:w="108" w:type="dxa"/>
            <w:bottom w:w="0" w:type="dxa"/>
            <w:right w:w="108" w:type="dxa"/>
          </w:tblCellMar>
        </w:tblPrEx>
        <w:trPr>
          <w:trHeight w:val="738" w:hRule="atLeast"/>
          <w:jc w:val="center"/>
        </w:trPr>
        <w:tc>
          <w:tcPr>
            <w:tcW w:w="807" w:type="dxa"/>
            <w:vMerge w:val="restart"/>
            <w:tcBorders>
              <w:top w:val="single" w:color="000000" w:sz="4" w:space="0"/>
              <w:left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年度绩效指标完成情况</w:t>
            </w:r>
          </w:p>
        </w:tc>
        <w:tc>
          <w:tcPr>
            <w:tcW w:w="985" w:type="dxa"/>
            <w:tcBorders>
              <w:top w:val="single" w:color="000000" w:sz="4" w:space="0"/>
              <w:left w:val="nil"/>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一级</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二级</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2487"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三级</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预期指标值</w:t>
            </w:r>
          </w:p>
        </w:tc>
        <w:tc>
          <w:tcPr>
            <w:tcW w:w="2478"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实际完成指标值</w:t>
            </w:r>
          </w:p>
        </w:tc>
      </w:tr>
      <w:tr>
        <w:tblPrEx>
          <w:tblCellMar>
            <w:top w:w="0" w:type="dxa"/>
            <w:left w:w="108" w:type="dxa"/>
            <w:bottom w:w="0" w:type="dxa"/>
            <w:right w:w="108" w:type="dxa"/>
          </w:tblCellMar>
        </w:tblPrEx>
        <w:trPr>
          <w:trHeight w:val="480" w:hRule="atLeast"/>
          <w:jc w:val="center"/>
        </w:trPr>
        <w:tc>
          <w:tcPr>
            <w:tcW w:w="807" w:type="dxa"/>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985" w:type="dxa"/>
            <w:vMerge w:val="restar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完成</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数量指标</w:t>
            </w:r>
          </w:p>
        </w:tc>
        <w:tc>
          <w:tcPr>
            <w:tcW w:w="2487"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完成核查和复核个数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完成187家</w:t>
            </w:r>
          </w:p>
        </w:tc>
        <w:tc>
          <w:tcPr>
            <w:tcW w:w="2478"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已完成</w:t>
            </w:r>
            <w:r>
              <w:rPr>
                <w:rFonts w:hint="default" w:ascii="Times New Roman" w:hAnsi="Times New Roman" w:eastAsia="仿宋_GB2312" w:cs="Times New Roman"/>
                <w:color w:val="auto"/>
                <w:szCs w:val="21"/>
                <w:lang w:val="en-US" w:eastAsia="zh-CN"/>
              </w:rPr>
              <w:t>219</w:t>
            </w:r>
            <w:r>
              <w:rPr>
                <w:rFonts w:hint="default" w:ascii="Times New Roman" w:hAnsi="Times New Roman" w:eastAsia="仿宋_GB2312" w:cs="Times New Roman"/>
                <w:color w:val="auto"/>
                <w:szCs w:val="21"/>
              </w:rPr>
              <w:t>家核查，正在复核</w:t>
            </w:r>
          </w:p>
        </w:tc>
      </w:tr>
      <w:tr>
        <w:tblPrEx>
          <w:tblCellMar>
            <w:top w:w="0" w:type="dxa"/>
            <w:left w:w="108" w:type="dxa"/>
            <w:bottom w:w="0" w:type="dxa"/>
            <w:right w:w="108" w:type="dxa"/>
          </w:tblCellMar>
        </w:tblPrEx>
        <w:trPr>
          <w:trHeight w:val="480" w:hRule="atLeast"/>
          <w:jc w:val="center"/>
        </w:trPr>
        <w:tc>
          <w:tcPr>
            <w:tcW w:w="807" w:type="dxa"/>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985" w:type="dxa"/>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质量指标</w:t>
            </w:r>
          </w:p>
        </w:tc>
        <w:tc>
          <w:tcPr>
            <w:tcW w:w="2487"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完成核查，形成报告</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完成核查，形成报告</w:t>
            </w:r>
          </w:p>
        </w:tc>
        <w:tc>
          <w:tcPr>
            <w:tcW w:w="2478"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lang w:eastAsia="zh-CN"/>
              </w:rPr>
            </w:pPr>
            <w:r>
              <w:rPr>
                <w:rFonts w:hint="default" w:ascii="Times New Roman" w:hAnsi="Times New Roman" w:eastAsia="仿宋_GB2312" w:cs="Times New Roman"/>
                <w:color w:val="auto"/>
                <w:szCs w:val="21"/>
              </w:rPr>
              <w:t>完成核查，</w:t>
            </w:r>
            <w:r>
              <w:rPr>
                <w:rFonts w:hint="default" w:ascii="Times New Roman" w:hAnsi="Times New Roman" w:eastAsia="仿宋_GB2312" w:cs="Times New Roman"/>
                <w:color w:val="auto"/>
                <w:szCs w:val="21"/>
                <w:lang w:eastAsia="zh-CN"/>
              </w:rPr>
              <w:t>形成报告</w:t>
            </w:r>
          </w:p>
        </w:tc>
      </w:tr>
      <w:tr>
        <w:tblPrEx>
          <w:tblCellMar>
            <w:top w:w="0" w:type="dxa"/>
            <w:left w:w="108" w:type="dxa"/>
            <w:bottom w:w="0" w:type="dxa"/>
            <w:right w:w="108" w:type="dxa"/>
          </w:tblCellMar>
        </w:tblPrEx>
        <w:trPr>
          <w:trHeight w:val="480" w:hRule="atLeast"/>
          <w:jc w:val="center"/>
        </w:trPr>
        <w:tc>
          <w:tcPr>
            <w:tcW w:w="807" w:type="dxa"/>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985" w:type="dxa"/>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时效指标</w:t>
            </w:r>
          </w:p>
        </w:tc>
        <w:tc>
          <w:tcPr>
            <w:tcW w:w="2487"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完成时限</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180天内</w:t>
            </w:r>
          </w:p>
        </w:tc>
        <w:tc>
          <w:tcPr>
            <w:tcW w:w="2478"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150天</w:t>
            </w:r>
          </w:p>
        </w:tc>
      </w:tr>
      <w:tr>
        <w:tblPrEx>
          <w:tblCellMar>
            <w:top w:w="0" w:type="dxa"/>
            <w:left w:w="108" w:type="dxa"/>
            <w:bottom w:w="0" w:type="dxa"/>
            <w:right w:w="108" w:type="dxa"/>
          </w:tblCellMar>
        </w:tblPrEx>
        <w:trPr>
          <w:trHeight w:val="480" w:hRule="atLeast"/>
          <w:jc w:val="center"/>
        </w:trPr>
        <w:tc>
          <w:tcPr>
            <w:tcW w:w="807" w:type="dxa"/>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985" w:type="dxa"/>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成本指标</w:t>
            </w:r>
          </w:p>
        </w:tc>
        <w:tc>
          <w:tcPr>
            <w:tcW w:w="2487"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资金到位80%</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资金到位80%</w:t>
            </w:r>
          </w:p>
        </w:tc>
        <w:tc>
          <w:tcPr>
            <w:tcW w:w="2478"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资金到位83%</w:t>
            </w:r>
          </w:p>
        </w:tc>
      </w:tr>
      <w:tr>
        <w:tblPrEx>
          <w:tblCellMar>
            <w:top w:w="0" w:type="dxa"/>
            <w:left w:w="108" w:type="dxa"/>
            <w:bottom w:w="0" w:type="dxa"/>
            <w:right w:w="108" w:type="dxa"/>
          </w:tblCellMar>
        </w:tblPrEx>
        <w:trPr>
          <w:trHeight w:val="480" w:hRule="atLeast"/>
          <w:jc w:val="center"/>
        </w:trPr>
        <w:tc>
          <w:tcPr>
            <w:tcW w:w="807" w:type="dxa"/>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985" w:type="dxa"/>
            <w:vMerge w:val="restar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效益</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经济效益指标</w:t>
            </w:r>
          </w:p>
        </w:tc>
        <w:tc>
          <w:tcPr>
            <w:tcW w:w="2487"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健全用能权交易市场</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健全用能权交易市场</w:t>
            </w:r>
          </w:p>
        </w:tc>
        <w:tc>
          <w:tcPr>
            <w:tcW w:w="2478"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健全用能权交易市场</w:t>
            </w:r>
          </w:p>
        </w:tc>
      </w:tr>
      <w:tr>
        <w:tblPrEx>
          <w:tblCellMar>
            <w:top w:w="0" w:type="dxa"/>
            <w:left w:w="108" w:type="dxa"/>
            <w:bottom w:w="0" w:type="dxa"/>
            <w:right w:w="108" w:type="dxa"/>
          </w:tblCellMar>
        </w:tblPrEx>
        <w:trPr>
          <w:trHeight w:val="480" w:hRule="atLeast"/>
          <w:jc w:val="center"/>
        </w:trPr>
        <w:tc>
          <w:tcPr>
            <w:tcW w:w="807" w:type="dxa"/>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985" w:type="dxa"/>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社会效益指标</w:t>
            </w:r>
          </w:p>
        </w:tc>
        <w:tc>
          <w:tcPr>
            <w:tcW w:w="2487"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促进四川碳达峰碳综合工作推进</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促进四川碳达峰碳综合工作推进</w:t>
            </w:r>
          </w:p>
        </w:tc>
        <w:tc>
          <w:tcPr>
            <w:tcW w:w="2478"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促进四川碳达峰碳综合工作推进</w:t>
            </w:r>
          </w:p>
        </w:tc>
      </w:tr>
      <w:tr>
        <w:tblPrEx>
          <w:tblCellMar>
            <w:top w:w="0" w:type="dxa"/>
            <w:left w:w="108" w:type="dxa"/>
            <w:bottom w:w="0" w:type="dxa"/>
            <w:right w:w="108" w:type="dxa"/>
          </w:tblCellMar>
        </w:tblPrEx>
        <w:trPr>
          <w:trHeight w:val="480" w:hRule="atLeast"/>
          <w:jc w:val="center"/>
        </w:trPr>
        <w:tc>
          <w:tcPr>
            <w:tcW w:w="807" w:type="dxa"/>
            <w:vMerge w:val="continue"/>
            <w:tcBorders>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98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满意</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度指标</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满意度</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2487"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委托单位是否满意</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满意</w:t>
            </w:r>
          </w:p>
        </w:tc>
        <w:tc>
          <w:tcPr>
            <w:tcW w:w="2478"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满意</w:t>
            </w:r>
          </w:p>
        </w:tc>
      </w:tr>
    </w:tbl>
    <w:p>
      <w:pPr>
        <w:pStyle w:val="8"/>
        <w:pageBreakBefore w:val="0"/>
        <w:kinsoku/>
        <w:wordWrap/>
        <w:overflowPunct/>
        <w:topLinePunct w:val="0"/>
        <w:bidi w:val="0"/>
        <w:spacing w:before="93" w:line="560" w:lineRule="exact"/>
        <w:rPr>
          <w:rFonts w:hint="default" w:ascii="Times New Roman" w:hAnsi="Times New Roman" w:cs="Times New Roman"/>
          <w:color w:val="auto"/>
          <w:lang w:val="zh-CN"/>
        </w:rPr>
      </w:pPr>
    </w:p>
    <w:tbl>
      <w:tblPr>
        <w:tblStyle w:val="21"/>
        <w:tblpPr w:leftFromText="180" w:rightFromText="180" w:vertAnchor="text" w:horzAnchor="page" w:tblpXSpec="center" w:tblpY="221"/>
        <w:tblOverlap w:val="never"/>
        <w:tblW w:w="5077" w:type="pct"/>
        <w:jc w:val="center"/>
        <w:tblLayout w:type="fixed"/>
        <w:tblCellMar>
          <w:top w:w="0" w:type="dxa"/>
          <w:left w:w="108" w:type="dxa"/>
          <w:bottom w:w="0" w:type="dxa"/>
          <w:right w:w="108" w:type="dxa"/>
        </w:tblCellMar>
      </w:tblPr>
      <w:tblGrid>
        <w:gridCol w:w="799"/>
        <w:gridCol w:w="1144"/>
        <w:gridCol w:w="1209"/>
        <w:gridCol w:w="1905"/>
        <w:gridCol w:w="2080"/>
        <w:gridCol w:w="2065"/>
      </w:tblGrid>
      <w:tr>
        <w:tblPrEx>
          <w:tblCellMar>
            <w:top w:w="0" w:type="dxa"/>
            <w:left w:w="108" w:type="dxa"/>
            <w:bottom w:w="0" w:type="dxa"/>
            <w:right w:w="108" w:type="dxa"/>
          </w:tblCellMar>
        </w:tblPrEx>
        <w:trPr>
          <w:trHeight w:val="1233" w:hRule="atLeast"/>
          <w:jc w:val="center"/>
        </w:trPr>
        <w:tc>
          <w:tcPr>
            <w:tcW w:w="5000" w:type="pct"/>
            <w:gridSpan w:val="6"/>
            <w:tcBorders>
              <w:top w:val="nil"/>
              <w:left w:val="nil"/>
              <w:bottom w:val="nil"/>
              <w:right w:val="nil"/>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方正小标宋简体" w:cs="Times New Roman"/>
                <w:bCs/>
                <w:color w:val="auto"/>
                <w:sz w:val="28"/>
                <w:szCs w:val="28"/>
              </w:rPr>
            </w:pPr>
            <w:r>
              <w:rPr>
                <w:rFonts w:hint="default" w:ascii="Times New Roman" w:hAnsi="Times New Roman" w:eastAsia="方正小标宋简体" w:cs="Times New Roman"/>
                <w:bCs/>
                <w:color w:val="auto"/>
                <w:sz w:val="28"/>
                <w:szCs w:val="28"/>
              </w:rPr>
              <w:t>2021年100万以上（含）特定目标类部门预算项目绩效目标自评</w:t>
            </w:r>
          </w:p>
          <w:p>
            <w:pPr>
              <w:pageBreakBefore w:val="0"/>
              <w:widowControl/>
              <w:kinsoku/>
              <w:wordWrap/>
              <w:overflowPunct/>
              <w:topLinePunct w:val="0"/>
              <w:bidi w:val="0"/>
              <w:spacing w:line="240" w:lineRule="auto"/>
              <w:jc w:val="center"/>
              <w:textAlignment w:val="center"/>
              <w:rPr>
                <w:rFonts w:hint="default" w:ascii="Times New Roman" w:hAnsi="Times New Roman" w:cs="Times New Roman"/>
                <w:b/>
                <w:color w:val="auto"/>
              </w:rPr>
            </w:pPr>
            <w:r>
              <w:rPr>
                <w:rFonts w:hint="default" w:ascii="Times New Roman" w:hAnsi="Times New Roman" w:eastAsia="方正小标宋简体" w:cs="Times New Roman"/>
                <w:bCs/>
                <w:color w:val="auto"/>
                <w:sz w:val="28"/>
                <w:szCs w:val="28"/>
              </w:rPr>
              <w:t>（委托工程咨询机构开展投资项目评估评审项目）</w:t>
            </w:r>
          </w:p>
        </w:tc>
      </w:tr>
      <w:tr>
        <w:tblPrEx>
          <w:tblCellMar>
            <w:top w:w="0" w:type="dxa"/>
            <w:left w:w="108" w:type="dxa"/>
            <w:bottom w:w="0" w:type="dxa"/>
            <w:right w:w="108" w:type="dxa"/>
          </w:tblCellMar>
        </w:tblPrEx>
        <w:trPr>
          <w:trHeight w:val="603" w:hRule="atLeast"/>
          <w:jc w:val="center"/>
        </w:trPr>
        <w:tc>
          <w:tcPr>
            <w:tcW w:w="1055" w:type="pct"/>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主管部门及代码</w:t>
            </w:r>
          </w:p>
        </w:tc>
        <w:tc>
          <w:tcPr>
            <w:tcW w:w="1692" w:type="pct"/>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303-四川省发展和改革委员会</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实施单位</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四川省发展和改革委员会机关</w:t>
            </w:r>
          </w:p>
        </w:tc>
      </w:tr>
      <w:tr>
        <w:tblPrEx>
          <w:tblCellMar>
            <w:top w:w="0" w:type="dxa"/>
            <w:left w:w="108" w:type="dxa"/>
            <w:bottom w:w="0" w:type="dxa"/>
            <w:right w:w="108" w:type="dxa"/>
          </w:tblCellMar>
        </w:tblPrEx>
        <w:trPr>
          <w:trHeight w:val="347" w:hRule="atLeast"/>
          <w:jc w:val="center"/>
        </w:trPr>
        <w:tc>
          <w:tcPr>
            <w:tcW w:w="1055" w:type="pct"/>
            <w:gridSpan w:val="2"/>
            <w:vMerge w:val="restar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项目预算</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执行情况</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（万元）</w:t>
            </w:r>
          </w:p>
        </w:tc>
        <w:tc>
          <w:tcPr>
            <w:tcW w:w="65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lef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 xml:space="preserve"> 预算数：</w:t>
            </w:r>
          </w:p>
        </w:tc>
        <w:tc>
          <w:tcPr>
            <w:tcW w:w="103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984.8</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执行数：</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824.4</w:t>
            </w:r>
          </w:p>
        </w:tc>
      </w:tr>
      <w:tr>
        <w:tblPrEx>
          <w:tblCellMar>
            <w:top w:w="0" w:type="dxa"/>
            <w:left w:w="108" w:type="dxa"/>
            <w:bottom w:w="0" w:type="dxa"/>
            <w:right w:w="108" w:type="dxa"/>
          </w:tblCellMar>
        </w:tblPrEx>
        <w:trPr>
          <w:trHeight w:val="643" w:hRule="atLeast"/>
          <w:jc w:val="center"/>
        </w:trPr>
        <w:tc>
          <w:tcPr>
            <w:tcW w:w="1055"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5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left"/>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其中：</w:t>
            </w:r>
          </w:p>
          <w:p>
            <w:pPr>
              <w:pageBreakBefore w:val="0"/>
              <w:widowControl/>
              <w:kinsoku/>
              <w:wordWrap/>
              <w:overflowPunct/>
              <w:topLinePunct w:val="0"/>
              <w:bidi w:val="0"/>
              <w:spacing w:line="240" w:lineRule="auto"/>
              <w:jc w:val="lef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财政拨款</w:t>
            </w:r>
          </w:p>
        </w:tc>
        <w:tc>
          <w:tcPr>
            <w:tcW w:w="103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984.8</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其中：</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财政拨款</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824.4</w:t>
            </w:r>
          </w:p>
        </w:tc>
      </w:tr>
      <w:tr>
        <w:tblPrEx>
          <w:tblCellMar>
            <w:top w:w="0" w:type="dxa"/>
            <w:left w:w="108" w:type="dxa"/>
            <w:bottom w:w="0" w:type="dxa"/>
            <w:right w:w="108" w:type="dxa"/>
          </w:tblCellMar>
        </w:tblPrEx>
        <w:trPr>
          <w:trHeight w:val="347" w:hRule="atLeast"/>
          <w:jc w:val="center"/>
        </w:trPr>
        <w:tc>
          <w:tcPr>
            <w:tcW w:w="1055"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5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lef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其他资金</w:t>
            </w:r>
          </w:p>
        </w:tc>
        <w:tc>
          <w:tcPr>
            <w:tcW w:w="103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0</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其他资金</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0</w:t>
            </w:r>
          </w:p>
        </w:tc>
      </w:tr>
      <w:tr>
        <w:tblPrEx>
          <w:tblCellMar>
            <w:top w:w="0" w:type="dxa"/>
            <w:left w:w="108" w:type="dxa"/>
            <w:bottom w:w="0" w:type="dxa"/>
            <w:right w:w="108" w:type="dxa"/>
          </w:tblCellMar>
        </w:tblPrEx>
        <w:trPr>
          <w:trHeight w:val="561" w:hRule="atLeast"/>
          <w:jc w:val="center"/>
        </w:trPr>
        <w:tc>
          <w:tcPr>
            <w:tcW w:w="434" w:type="pct"/>
            <w:vMerge w:val="restar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年度总体目标完成情况</w:t>
            </w:r>
          </w:p>
        </w:tc>
        <w:tc>
          <w:tcPr>
            <w:tcW w:w="2313" w:type="pct"/>
            <w:gridSpan w:val="3"/>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预期目标（2021年）</w:t>
            </w:r>
          </w:p>
        </w:tc>
        <w:tc>
          <w:tcPr>
            <w:tcW w:w="2252" w:type="pct"/>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目标实际完成情况（2021年）</w:t>
            </w:r>
          </w:p>
        </w:tc>
      </w:tr>
      <w:tr>
        <w:tblPrEx>
          <w:tblCellMar>
            <w:top w:w="0" w:type="dxa"/>
            <w:left w:w="108" w:type="dxa"/>
            <w:bottom w:w="0" w:type="dxa"/>
            <w:right w:w="108" w:type="dxa"/>
          </w:tblCellMar>
        </w:tblPrEx>
        <w:trPr>
          <w:trHeight w:val="972" w:hRule="atLeast"/>
          <w:jc w:val="center"/>
        </w:trPr>
        <w:tc>
          <w:tcPr>
            <w:tcW w:w="434" w:type="pct"/>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2313" w:type="pct"/>
            <w:gridSpan w:val="3"/>
            <w:tcBorders>
              <w:top w:val="single" w:color="000000" w:sz="4" w:space="0"/>
              <w:left w:val="single" w:color="000000" w:sz="4" w:space="0"/>
              <w:bottom w:val="single" w:color="000000" w:sz="4" w:space="0"/>
              <w:right w:val="single" w:color="000000" w:sz="4" w:space="0"/>
            </w:tcBorders>
            <w:noWrap/>
          </w:tcPr>
          <w:p>
            <w:pPr>
              <w:pageBreakBefore w:val="0"/>
              <w:widowControl/>
              <w:kinsoku/>
              <w:wordWrap/>
              <w:overflowPunct/>
              <w:topLinePunct w:val="0"/>
              <w:bidi w:val="0"/>
              <w:spacing w:line="240" w:lineRule="auto"/>
              <w:ind w:firstLine="420" w:firstLineChars="200"/>
              <w:jc w:val="left"/>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委托对能源、交通、农林水利、产业、高技术产业、电子政务、社会事业、利用外资等项目进行评审、咨询评估。</w:t>
            </w:r>
          </w:p>
        </w:tc>
        <w:tc>
          <w:tcPr>
            <w:tcW w:w="2252" w:type="pct"/>
            <w:gridSpan w:val="2"/>
            <w:tcBorders>
              <w:top w:val="single" w:color="000000" w:sz="4" w:space="0"/>
              <w:left w:val="single" w:color="000000" w:sz="4" w:space="0"/>
              <w:bottom w:val="single" w:color="000000" w:sz="4" w:space="0"/>
              <w:right w:val="single" w:color="000000" w:sz="4" w:space="0"/>
            </w:tcBorders>
            <w:noWrap/>
          </w:tcPr>
          <w:p>
            <w:pPr>
              <w:pageBreakBefore w:val="0"/>
              <w:widowControl/>
              <w:kinsoku/>
              <w:wordWrap/>
              <w:overflowPunct/>
              <w:topLinePunct w:val="0"/>
              <w:bidi w:val="0"/>
              <w:spacing w:line="240" w:lineRule="auto"/>
              <w:ind w:firstLine="420" w:firstLineChars="200"/>
              <w:jc w:val="left"/>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委托对能源、交通、农林水利、产业、高技术产业、电子政务、社会事业、利用外资等项目进行评审、咨询评估。</w:t>
            </w:r>
          </w:p>
        </w:tc>
      </w:tr>
      <w:tr>
        <w:tblPrEx>
          <w:tblCellMar>
            <w:top w:w="0" w:type="dxa"/>
            <w:left w:w="108" w:type="dxa"/>
            <w:bottom w:w="0" w:type="dxa"/>
            <w:right w:w="108" w:type="dxa"/>
          </w:tblCellMar>
        </w:tblPrEx>
        <w:trPr>
          <w:trHeight w:val="739" w:hRule="atLeast"/>
          <w:jc w:val="center"/>
        </w:trPr>
        <w:tc>
          <w:tcPr>
            <w:tcW w:w="434" w:type="pct"/>
            <w:vMerge w:val="restart"/>
            <w:tcBorders>
              <w:top w:val="single" w:color="000000" w:sz="4" w:space="0"/>
              <w:left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年度绩效指标完成情况</w:t>
            </w:r>
          </w:p>
        </w:tc>
        <w:tc>
          <w:tcPr>
            <w:tcW w:w="621" w:type="pct"/>
            <w:tcBorders>
              <w:top w:val="single" w:color="000000" w:sz="4" w:space="0"/>
              <w:left w:val="nil"/>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一级</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65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二级</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103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三级</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预期指标值</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实际完成指标值</w:t>
            </w:r>
          </w:p>
        </w:tc>
      </w:tr>
      <w:tr>
        <w:tblPrEx>
          <w:tblCellMar>
            <w:top w:w="0" w:type="dxa"/>
            <w:left w:w="108" w:type="dxa"/>
            <w:bottom w:w="0" w:type="dxa"/>
            <w:right w:w="108" w:type="dxa"/>
          </w:tblCellMar>
        </w:tblPrEx>
        <w:trPr>
          <w:trHeight w:val="485" w:hRule="atLeast"/>
          <w:jc w:val="center"/>
        </w:trPr>
        <w:tc>
          <w:tcPr>
            <w:tcW w:w="434" w:type="pct"/>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21" w:type="pct"/>
            <w:vMerge w:val="restar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完成</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65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数量指标</w:t>
            </w:r>
          </w:p>
        </w:tc>
        <w:tc>
          <w:tcPr>
            <w:tcW w:w="103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咨询评估事项个数</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220</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220</w:t>
            </w:r>
          </w:p>
        </w:tc>
      </w:tr>
      <w:tr>
        <w:tblPrEx>
          <w:tblCellMar>
            <w:top w:w="0" w:type="dxa"/>
            <w:left w:w="108" w:type="dxa"/>
            <w:bottom w:w="0" w:type="dxa"/>
            <w:right w:w="108" w:type="dxa"/>
          </w:tblCellMar>
        </w:tblPrEx>
        <w:trPr>
          <w:trHeight w:val="801" w:hRule="atLeast"/>
          <w:jc w:val="center"/>
        </w:trPr>
        <w:tc>
          <w:tcPr>
            <w:tcW w:w="434" w:type="pct"/>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21" w:type="pct"/>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5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质量指标</w:t>
            </w:r>
          </w:p>
        </w:tc>
        <w:tc>
          <w:tcPr>
            <w:tcW w:w="103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符合采购要求的咨询评估成果</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符合采购要求</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tabs>
                <w:tab w:val="left" w:pos="511"/>
              </w:tabs>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符合</w:t>
            </w:r>
          </w:p>
        </w:tc>
      </w:tr>
      <w:tr>
        <w:tblPrEx>
          <w:tblCellMar>
            <w:top w:w="0" w:type="dxa"/>
            <w:left w:w="108" w:type="dxa"/>
            <w:bottom w:w="0" w:type="dxa"/>
            <w:right w:w="108" w:type="dxa"/>
          </w:tblCellMar>
        </w:tblPrEx>
        <w:trPr>
          <w:trHeight w:val="485" w:hRule="atLeast"/>
          <w:jc w:val="center"/>
        </w:trPr>
        <w:tc>
          <w:tcPr>
            <w:tcW w:w="434" w:type="pct"/>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21" w:type="pct"/>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5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时效指标</w:t>
            </w:r>
          </w:p>
        </w:tc>
        <w:tc>
          <w:tcPr>
            <w:tcW w:w="103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完成时间</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2021年底完成</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2021年底已完成</w:t>
            </w:r>
          </w:p>
        </w:tc>
      </w:tr>
      <w:tr>
        <w:tblPrEx>
          <w:tblCellMar>
            <w:top w:w="0" w:type="dxa"/>
            <w:left w:w="108" w:type="dxa"/>
            <w:bottom w:w="0" w:type="dxa"/>
            <w:right w:w="108" w:type="dxa"/>
          </w:tblCellMar>
        </w:tblPrEx>
        <w:trPr>
          <w:trHeight w:val="727" w:hRule="atLeast"/>
          <w:jc w:val="center"/>
        </w:trPr>
        <w:tc>
          <w:tcPr>
            <w:tcW w:w="434" w:type="pct"/>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21" w:type="pct"/>
            <w:vMerge w:val="restart"/>
            <w:tcBorders>
              <w:top w:val="single" w:color="000000" w:sz="4" w:space="0"/>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效益</w:t>
            </w:r>
          </w:p>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65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社会效益指标</w:t>
            </w:r>
          </w:p>
        </w:tc>
        <w:tc>
          <w:tcPr>
            <w:tcW w:w="103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助推全省经济社会发展</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助推全省经济社会发展</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助推全省经济社会发展</w:t>
            </w:r>
          </w:p>
        </w:tc>
      </w:tr>
      <w:tr>
        <w:tblPrEx>
          <w:tblCellMar>
            <w:top w:w="0" w:type="dxa"/>
            <w:left w:w="108" w:type="dxa"/>
            <w:bottom w:w="0" w:type="dxa"/>
            <w:right w:w="108" w:type="dxa"/>
          </w:tblCellMar>
        </w:tblPrEx>
        <w:trPr>
          <w:trHeight w:val="830" w:hRule="atLeast"/>
          <w:jc w:val="center"/>
        </w:trPr>
        <w:tc>
          <w:tcPr>
            <w:tcW w:w="434" w:type="pct"/>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21" w:type="pct"/>
            <w:vMerge w:val="continue"/>
            <w:tcBorders>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5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可持续影响指标</w:t>
            </w:r>
          </w:p>
        </w:tc>
        <w:tc>
          <w:tcPr>
            <w:tcW w:w="103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助推全省经济社会发展</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助推全省经济社会发展</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助推全省经济社会发展</w:t>
            </w:r>
          </w:p>
        </w:tc>
      </w:tr>
      <w:tr>
        <w:tblPrEx>
          <w:tblCellMar>
            <w:top w:w="0" w:type="dxa"/>
            <w:left w:w="108" w:type="dxa"/>
            <w:bottom w:w="0" w:type="dxa"/>
            <w:right w:w="108" w:type="dxa"/>
          </w:tblCellMar>
        </w:tblPrEx>
        <w:trPr>
          <w:trHeight w:val="652" w:hRule="atLeast"/>
          <w:jc w:val="center"/>
        </w:trPr>
        <w:tc>
          <w:tcPr>
            <w:tcW w:w="434" w:type="pct"/>
            <w:vMerge w:val="continue"/>
            <w:tcBorders>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2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满意</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度指标</w:t>
            </w:r>
          </w:p>
        </w:tc>
        <w:tc>
          <w:tcPr>
            <w:tcW w:w="65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满意度指标</w:t>
            </w:r>
          </w:p>
        </w:tc>
        <w:tc>
          <w:tcPr>
            <w:tcW w:w="103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省发展改革委对评估成果满意度</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100%</w:t>
            </w:r>
          </w:p>
        </w:tc>
        <w:tc>
          <w:tcPr>
            <w:tcW w:w="1122"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100%</w:t>
            </w:r>
          </w:p>
        </w:tc>
      </w:tr>
    </w:tbl>
    <w:p>
      <w:pPr>
        <w:pageBreakBefore w:val="0"/>
        <w:widowControl/>
        <w:kinsoku/>
        <w:wordWrap/>
        <w:overflowPunct/>
        <w:topLinePunct w:val="0"/>
        <w:bidi w:val="0"/>
        <w:spacing w:line="560" w:lineRule="exact"/>
        <w:textAlignment w:val="top"/>
        <w:rPr>
          <w:rFonts w:hint="default" w:ascii="Times New Roman" w:hAnsi="Times New Roman" w:cs="Times New Roman"/>
          <w:color w:val="auto"/>
          <w:kern w:val="0"/>
          <w:szCs w:val="21"/>
        </w:rPr>
      </w:pPr>
    </w:p>
    <w:tbl>
      <w:tblPr>
        <w:tblStyle w:val="21"/>
        <w:tblpPr w:leftFromText="180" w:rightFromText="180" w:vertAnchor="text" w:horzAnchor="page" w:tblpXSpec="center" w:tblpY="221"/>
        <w:tblOverlap w:val="never"/>
        <w:tblW w:w="5078" w:type="pct"/>
        <w:jc w:val="center"/>
        <w:tblLayout w:type="fixed"/>
        <w:tblCellMar>
          <w:top w:w="0" w:type="dxa"/>
          <w:left w:w="108" w:type="dxa"/>
          <w:bottom w:w="0" w:type="dxa"/>
          <w:right w:w="108" w:type="dxa"/>
        </w:tblCellMar>
      </w:tblPr>
      <w:tblGrid>
        <w:gridCol w:w="755"/>
        <w:gridCol w:w="1613"/>
        <w:gridCol w:w="2146"/>
        <w:gridCol w:w="1631"/>
        <w:gridCol w:w="1568"/>
        <w:gridCol w:w="1491"/>
      </w:tblGrid>
      <w:tr>
        <w:tblPrEx>
          <w:tblCellMar>
            <w:top w:w="0" w:type="dxa"/>
            <w:left w:w="108" w:type="dxa"/>
            <w:bottom w:w="0" w:type="dxa"/>
            <w:right w:w="108" w:type="dxa"/>
          </w:tblCellMar>
        </w:tblPrEx>
        <w:trPr>
          <w:trHeight w:val="675" w:hRule="atLeast"/>
          <w:jc w:val="center"/>
        </w:trPr>
        <w:tc>
          <w:tcPr>
            <w:tcW w:w="5000" w:type="pct"/>
            <w:gridSpan w:val="6"/>
            <w:tcBorders>
              <w:top w:val="nil"/>
              <w:left w:val="nil"/>
              <w:bottom w:val="nil"/>
              <w:right w:val="nil"/>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方正小标宋简体" w:cs="Times New Roman"/>
                <w:bCs/>
                <w:color w:val="auto"/>
                <w:sz w:val="32"/>
                <w:szCs w:val="32"/>
              </w:rPr>
            </w:pPr>
            <w:r>
              <w:rPr>
                <w:rFonts w:hint="default" w:ascii="Times New Roman" w:hAnsi="Times New Roman" w:eastAsia="方正小标宋简体" w:cs="Times New Roman"/>
                <w:bCs/>
                <w:color w:val="auto"/>
                <w:sz w:val="28"/>
                <w:szCs w:val="28"/>
              </w:rPr>
              <w:t>2021年100万以上（含）特定目标类部门预算项目绩效目标自评</w:t>
            </w:r>
          </w:p>
          <w:p>
            <w:pPr>
              <w:pageBreakBefore w:val="0"/>
              <w:widowControl/>
              <w:kinsoku/>
              <w:wordWrap/>
              <w:overflowPunct/>
              <w:topLinePunct w:val="0"/>
              <w:bidi w:val="0"/>
              <w:spacing w:line="240" w:lineRule="auto"/>
              <w:jc w:val="center"/>
              <w:textAlignment w:val="center"/>
              <w:rPr>
                <w:rFonts w:hint="default" w:ascii="Times New Roman" w:hAnsi="Times New Roman" w:cs="Times New Roman"/>
                <w:b/>
                <w:color w:val="auto"/>
              </w:rPr>
            </w:pPr>
            <w:r>
              <w:rPr>
                <w:rFonts w:hint="default" w:ascii="Times New Roman" w:hAnsi="Times New Roman" w:eastAsia="仿宋_GB2312" w:cs="Times New Roman"/>
                <w:bCs/>
                <w:color w:val="auto"/>
                <w:sz w:val="28"/>
                <w:szCs w:val="28"/>
              </w:rPr>
              <w:t>〔</w:t>
            </w:r>
            <w:r>
              <w:rPr>
                <w:rFonts w:hint="default" w:ascii="Times New Roman" w:hAnsi="Times New Roman" w:eastAsia="方正小标宋简体" w:cs="Times New Roman"/>
                <w:bCs/>
                <w:color w:val="auto"/>
                <w:sz w:val="28"/>
                <w:szCs w:val="28"/>
              </w:rPr>
              <w:t>委托工程咨询机构开展投资项目评估评审（机场）项目</w:t>
            </w:r>
            <w:r>
              <w:rPr>
                <w:rFonts w:hint="default" w:ascii="Times New Roman" w:hAnsi="Times New Roman" w:eastAsia="仿宋_GB2312" w:cs="Times New Roman"/>
                <w:bCs/>
                <w:color w:val="auto"/>
                <w:sz w:val="28"/>
                <w:szCs w:val="28"/>
              </w:rPr>
              <w:t>〕</w:t>
            </w:r>
          </w:p>
        </w:tc>
      </w:tr>
      <w:tr>
        <w:tblPrEx>
          <w:tblCellMar>
            <w:top w:w="0" w:type="dxa"/>
            <w:left w:w="108" w:type="dxa"/>
            <w:bottom w:w="0" w:type="dxa"/>
            <w:right w:w="108" w:type="dxa"/>
          </w:tblCellMar>
        </w:tblPrEx>
        <w:trPr>
          <w:trHeight w:val="254" w:hRule="atLeast"/>
          <w:jc w:val="center"/>
        </w:trPr>
        <w:tc>
          <w:tcPr>
            <w:tcW w:w="1286" w:type="pct"/>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主管部门及代码</w:t>
            </w:r>
          </w:p>
        </w:tc>
        <w:tc>
          <w:tcPr>
            <w:tcW w:w="2051" w:type="pct"/>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303-四川省发展和改革委员会</w:t>
            </w:r>
          </w:p>
        </w:tc>
        <w:tc>
          <w:tcPr>
            <w:tcW w:w="85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实施单位</w:t>
            </w:r>
          </w:p>
        </w:tc>
        <w:tc>
          <w:tcPr>
            <w:tcW w:w="80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四川省发展和改革委员会机关</w:t>
            </w:r>
          </w:p>
        </w:tc>
      </w:tr>
      <w:tr>
        <w:tblPrEx>
          <w:tblCellMar>
            <w:top w:w="0" w:type="dxa"/>
            <w:left w:w="108" w:type="dxa"/>
            <w:bottom w:w="0" w:type="dxa"/>
            <w:right w:w="108" w:type="dxa"/>
          </w:tblCellMar>
        </w:tblPrEx>
        <w:trPr>
          <w:trHeight w:val="341" w:hRule="atLeast"/>
          <w:jc w:val="center"/>
        </w:trPr>
        <w:tc>
          <w:tcPr>
            <w:tcW w:w="1286" w:type="pct"/>
            <w:gridSpan w:val="2"/>
            <w:vMerge w:val="restar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项目预算</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执行情况</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（万元）</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预算数：</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106.8</w:t>
            </w:r>
          </w:p>
        </w:tc>
        <w:tc>
          <w:tcPr>
            <w:tcW w:w="85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执行数：</w:t>
            </w:r>
          </w:p>
        </w:tc>
        <w:tc>
          <w:tcPr>
            <w:tcW w:w="80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highlight w:val="yellow"/>
              </w:rPr>
            </w:pPr>
            <w:r>
              <w:rPr>
                <w:rFonts w:hint="default" w:ascii="Times New Roman" w:hAnsi="Times New Roman" w:eastAsia="仿宋_GB2312" w:cs="Times New Roman"/>
                <w:color w:val="auto"/>
                <w:szCs w:val="21"/>
              </w:rPr>
              <w:t>106.8</w:t>
            </w:r>
          </w:p>
        </w:tc>
      </w:tr>
      <w:tr>
        <w:tblPrEx>
          <w:tblCellMar>
            <w:top w:w="0" w:type="dxa"/>
            <w:left w:w="108" w:type="dxa"/>
            <w:bottom w:w="0" w:type="dxa"/>
            <w:right w:w="108" w:type="dxa"/>
          </w:tblCellMar>
        </w:tblPrEx>
        <w:trPr>
          <w:trHeight w:val="577" w:hRule="atLeast"/>
          <w:jc w:val="center"/>
        </w:trPr>
        <w:tc>
          <w:tcPr>
            <w:tcW w:w="1286"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116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其中：</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财政拨款</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106.8</w:t>
            </w:r>
          </w:p>
        </w:tc>
        <w:tc>
          <w:tcPr>
            <w:tcW w:w="85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其中：</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财政拨款</w:t>
            </w:r>
          </w:p>
        </w:tc>
        <w:tc>
          <w:tcPr>
            <w:tcW w:w="80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106.8</w:t>
            </w:r>
          </w:p>
        </w:tc>
      </w:tr>
      <w:tr>
        <w:tblPrEx>
          <w:tblCellMar>
            <w:top w:w="0" w:type="dxa"/>
            <w:left w:w="108" w:type="dxa"/>
            <w:bottom w:w="0" w:type="dxa"/>
            <w:right w:w="108" w:type="dxa"/>
          </w:tblCellMar>
        </w:tblPrEx>
        <w:trPr>
          <w:trHeight w:val="341" w:hRule="atLeast"/>
          <w:jc w:val="center"/>
        </w:trPr>
        <w:tc>
          <w:tcPr>
            <w:tcW w:w="1286"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116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其他资金</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0</w:t>
            </w:r>
          </w:p>
        </w:tc>
        <w:tc>
          <w:tcPr>
            <w:tcW w:w="85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其他资金</w:t>
            </w:r>
          </w:p>
        </w:tc>
        <w:tc>
          <w:tcPr>
            <w:tcW w:w="80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０</w:t>
            </w:r>
          </w:p>
        </w:tc>
      </w:tr>
      <w:tr>
        <w:tblPrEx>
          <w:tblCellMar>
            <w:top w:w="0" w:type="dxa"/>
            <w:left w:w="108" w:type="dxa"/>
            <w:bottom w:w="0" w:type="dxa"/>
            <w:right w:w="108" w:type="dxa"/>
          </w:tblCellMar>
        </w:tblPrEx>
        <w:trPr>
          <w:trHeight w:val="217" w:hRule="atLeast"/>
          <w:jc w:val="center"/>
        </w:trPr>
        <w:tc>
          <w:tcPr>
            <w:tcW w:w="410" w:type="pct"/>
            <w:vMerge w:val="restar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年度总体目标完成情况</w:t>
            </w:r>
          </w:p>
        </w:tc>
        <w:tc>
          <w:tcPr>
            <w:tcW w:w="2928" w:type="pct"/>
            <w:gridSpan w:val="3"/>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预期目标</w:t>
            </w:r>
          </w:p>
        </w:tc>
        <w:tc>
          <w:tcPr>
            <w:tcW w:w="1661" w:type="pct"/>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目标实际完成情况</w:t>
            </w:r>
          </w:p>
        </w:tc>
      </w:tr>
      <w:tr>
        <w:tblPrEx>
          <w:tblCellMar>
            <w:top w:w="0" w:type="dxa"/>
            <w:left w:w="108" w:type="dxa"/>
            <w:bottom w:w="0" w:type="dxa"/>
            <w:right w:w="108" w:type="dxa"/>
          </w:tblCellMar>
        </w:tblPrEx>
        <w:trPr>
          <w:trHeight w:val="2423" w:hRule="atLeast"/>
          <w:jc w:val="center"/>
        </w:trPr>
        <w:tc>
          <w:tcPr>
            <w:tcW w:w="410" w:type="pct"/>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2928" w:type="pct"/>
            <w:gridSpan w:val="3"/>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ind w:firstLine="420" w:firstLineChars="200"/>
              <w:jc w:val="left"/>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按时、按质、按量完成成都天府国际机场口岸检查检验及配套设备设施可行性研究报告（代立项）、成都天府国际机场口岸检查检验及配套设备设施现场部分初步设计及概算、成都天府国际机场口岸检查检验及配套设备设施海关非现场部分初步设计及概算、南充高坪机场三期改扩建项目可行性研究报告、九寨黄龙机场四期改扩建项目初步设计及概算等５个项目的咨询评估工作。</w:t>
            </w:r>
          </w:p>
        </w:tc>
        <w:tc>
          <w:tcPr>
            <w:tcW w:w="1661" w:type="pct"/>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ind w:firstLine="420" w:firstLineChars="200"/>
              <w:jc w:val="left"/>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已按时、按质、按量完成５个项目的咨询评估工作。</w:t>
            </w:r>
          </w:p>
        </w:tc>
      </w:tr>
      <w:tr>
        <w:tblPrEx>
          <w:tblCellMar>
            <w:top w:w="0" w:type="dxa"/>
            <w:left w:w="108" w:type="dxa"/>
            <w:bottom w:w="0" w:type="dxa"/>
            <w:right w:w="108" w:type="dxa"/>
          </w:tblCellMar>
        </w:tblPrEx>
        <w:trPr>
          <w:trHeight w:val="615" w:hRule="atLeast"/>
          <w:jc w:val="center"/>
        </w:trPr>
        <w:tc>
          <w:tcPr>
            <w:tcW w:w="410" w:type="pct"/>
            <w:vMerge w:val="restart"/>
            <w:tcBorders>
              <w:top w:val="single" w:color="000000" w:sz="4" w:space="0"/>
              <w:left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年度绩效指标完成情况</w:t>
            </w:r>
          </w:p>
        </w:tc>
        <w:tc>
          <w:tcPr>
            <w:tcW w:w="876" w:type="pct"/>
            <w:tcBorders>
              <w:top w:val="single" w:color="000000" w:sz="4" w:space="0"/>
              <w:left w:val="nil"/>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一级</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二级</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三级</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85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预期指标值</w:t>
            </w:r>
          </w:p>
        </w:tc>
        <w:tc>
          <w:tcPr>
            <w:tcW w:w="80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实际完成指标值</w:t>
            </w:r>
          </w:p>
        </w:tc>
      </w:tr>
      <w:tr>
        <w:tblPrEx>
          <w:tblCellMar>
            <w:top w:w="0" w:type="dxa"/>
            <w:left w:w="108" w:type="dxa"/>
            <w:bottom w:w="0" w:type="dxa"/>
            <w:right w:w="108" w:type="dxa"/>
          </w:tblCellMar>
        </w:tblPrEx>
        <w:trPr>
          <w:trHeight w:val="436" w:hRule="atLeast"/>
          <w:jc w:val="center"/>
        </w:trPr>
        <w:tc>
          <w:tcPr>
            <w:tcW w:w="410" w:type="pct"/>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876" w:type="pct"/>
            <w:vMerge w:val="restar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完成</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数量指标</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完成评估个数</w:t>
            </w:r>
          </w:p>
        </w:tc>
        <w:tc>
          <w:tcPr>
            <w:tcW w:w="85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５个</w:t>
            </w:r>
          </w:p>
        </w:tc>
        <w:tc>
          <w:tcPr>
            <w:tcW w:w="80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５个</w:t>
            </w:r>
          </w:p>
        </w:tc>
      </w:tr>
      <w:tr>
        <w:tblPrEx>
          <w:tblCellMar>
            <w:top w:w="0" w:type="dxa"/>
            <w:left w:w="108" w:type="dxa"/>
            <w:bottom w:w="0" w:type="dxa"/>
            <w:right w:w="108" w:type="dxa"/>
          </w:tblCellMar>
        </w:tblPrEx>
        <w:trPr>
          <w:trHeight w:val="595" w:hRule="atLeast"/>
          <w:jc w:val="center"/>
        </w:trPr>
        <w:tc>
          <w:tcPr>
            <w:tcW w:w="410" w:type="pct"/>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876" w:type="pct"/>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116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质量指标</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评估报告符合相关要求</w:t>
            </w:r>
          </w:p>
        </w:tc>
        <w:tc>
          <w:tcPr>
            <w:tcW w:w="85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符合</w:t>
            </w:r>
          </w:p>
        </w:tc>
        <w:tc>
          <w:tcPr>
            <w:tcW w:w="80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符合</w:t>
            </w:r>
          </w:p>
        </w:tc>
      </w:tr>
      <w:tr>
        <w:tblPrEx>
          <w:tblCellMar>
            <w:top w:w="0" w:type="dxa"/>
            <w:left w:w="108" w:type="dxa"/>
            <w:bottom w:w="0" w:type="dxa"/>
            <w:right w:w="108" w:type="dxa"/>
          </w:tblCellMar>
        </w:tblPrEx>
        <w:trPr>
          <w:trHeight w:val="500" w:hRule="atLeast"/>
          <w:jc w:val="center"/>
        </w:trPr>
        <w:tc>
          <w:tcPr>
            <w:tcW w:w="410" w:type="pct"/>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876" w:type="pct"/>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116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时效指标</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按时完成情况</w:t>
            </w:r>
          </w:p>
        </w:tc>
        <w:tc>
          <w:tcPr>
            <w:tcW w:w="85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2021年</w:t>
            </w:r>
          </w:p>
        </w:tc>
        <w:tc>
          <w:tcPr>
            <w:tcW w:w="80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全部按时完成</w:t>
            </w:r>
          </w:p>
        </w:tc>
      </w:tr>
      <w:tr>
        <w:tblPrEx>
          <w:tblCellMar>
            <w:top w:w="0" w:type="dxa"/>
            <w:left w:w="108" w:type="dxa"/>
            <w:bottom w:w="0" w:type="dxa"/>
            <w:right w:w="108" w:type="dxa"/>
          </w:tblCellMar>
        </w:tblPrEx>
        <w:trPr>
          <w:trHeight w:val="480" w:hRule="atLeast"/>
          <w:jc w:val="center"/>
        </w:trPr>
        <w:tc>
          <w:tcPr>
            <w:tcW w:w="410" w:type="pct"/>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876" w:type="pct"/>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116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成本指标</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评估费用不超过预算费用</w:t>
            </w:r>
          </w:p>
        </w:tc>
        <w:tc>
          <w:tcPr>
            <w:tcW w:w="85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评估费用不超过预算费用</w:t>
            </w:r>
          </w:p>
        </w:tc>
        <w:tc>
          <w:tcPr>
            <w:tcW w:w="80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未超过</w:t>
            </w:r>
          </w:p>
        </w:tc>
      </w:tr>
      <w:tr>
        <w:tblPrEx>
          <w:tblCellMar>
            <w:top w:w="0" w:type="dxa"/>
            <w:left w:w="108" w:type="dxa"/>
            <w:bottom w:w="0" w:type="dxa"/>
            <w:right w:w="108" w:type="dxa"/>
          </w:tblCellMar>
        </w:tblPrEx>
        <w:trPr>
          <w:trHeight w:val="480" w:hRule="atLeast"/>
          <w:jc w:val="center"/>
        </w:trPr>
        <w:tc>
          <w:tcPr>
            <w:tcW w:w="410" w:type="pct"/>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876" w:type="pct"/>
            <w:vMerge w:val="restar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效益</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经济效益指标</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咨询评估后规模和投资可控</w:t>
            </w:r>
          </w:p>
        </w:tc>
        <w:tc>
          <w:tcPr>
            <w:tcW w:w="85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咨询评估后规模和投资可控</w:t>
            </w:r>
          </w:p>
        </w:tc>
        <w:tc>
          <w:tcPr>
            <w:tcW w:w="80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可控</w:t>
            </w:r>
          </w:p>
        </w:tc>
      </w:tr>
      <w:tr>
        <w:tblPrEx>
          <w:tblCellMar>
            <w:top w:w="0" w:type="dxa"/>
            <w:left w:w="108" w:type="dxa"/>
            <w:bottom w:w="0" w:type="dxa"/>
            <w:right w:w="108" w:type="dxa"/>
          </w:tblCellMar>
        </w:tblPrEx>
        <w:trPr>
          <w:trHeight w:val="1181" w:hRule="atLeast"/>
          <w:jc w:val="center"/>
        </w:trPr>
        <w:tc>
          <w:tcPr>
            <w:tcW w:w="410" w:type="pct"/>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876" w:type="pct"/>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116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社会效益指标</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b/>
                <w:bCs/>
                <w:color w:val="auto"/>
                <w:szCs w:val="21"/>
              </w:rPr>
            </w:pPr>
            <w:r>
              <w:rPr>
                <w:rFonts w:hint="default" w:ascii="Times New Roman" w:hAnsi="Times New Roman" w:eastAsia="仿宋_GB2312" w:cs="Times New Roman"/>
                <w:color w:val="auto"/>
                <w:szCs w:val="21"/>
              </w:rPr>
              <w:t>评估后确定的项目技术标准、建设规模合理可行</w:t>
            </w:r>
          </w:p>
        </w:tc>
        <w:tc>
          <w:tcPr>
            <w:tcW w:w="85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评估后确定的项目技术标准、建设规模合理可行</w:t>
            </w:r>
          </w:p>
        </w:tc>
        <w:tc>
          <w:tcPr>
            <w:tcW w:w="80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明显</w:t>
            </w:r>
          </w:p>
        </w:tc>
      </w:tr>
      <w:tr>
        <w:tblPrEx>
          <w:tblCellMar>
            <w:top w:w="0" w:type="dxa"/>
            <w:left w:w="108" w:type="dxa"/>
            <w:bottom w:w="0" w:type="dxa"/>
            <w:right w:w="108" w:type="dxa"/>
          </w:tblCellMar>
        </w:tblPrEx>
        <w:trPr>
          <w:trHeight w:val="480" w:hRule="atLeast"/>
          <w:jc w:val="center"/>
        </w:trPr>
        <w:tc>
          <w:tcPr>
            <w:tcW w:w="410" w:type="pct"/>
            <w:vMerge w:val="continue"/>
            <w:tcBorders>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87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满意</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度指标</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满意度</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88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项目有关各方对咨询评估技术服务满意度情况</w:t>
            </w:r>
          </w:p>
        </w:tc>
        <w:tc>
          <w:tcPr>
            <w:tcW w:w="85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满意</w:t>
            </w:r>
          </w:p>
        </w:tc>
        <w:tc>
          <w:tcPr>
            <w:tcW w:w="80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满意</w:t>
            </w:r>
          </w:p>
        </w:tc>
      </w:tr>
    </w:tbl>
    <w:p>
      <w:pPr>
        <w:pageBreakBefore w:val="0"/>
        <w:widowControl/>
        <w:kinsoku/>
        <w:wordWrap/>
        <w:overflowPunct/>
        <w:topLinePunct w:val="0"/>
        <w:bidi w:val="0"/>
        <w:spacing w:line="560" w:lineRule="exact"/>
        <w:textAlignment w:val="top"/>
        <w:rPr>
          <w:rFonts w:hint="default" w:ascii="Times New Roman" w:hAnsi="Times New Roman" w:eastAsia="仿宋_GB2312" w:cs="Times New Roman"/>
          <w:color w:val="auto"/>
          <w:kern w:val="0"/>
          <w:szCs w:val="21"/>
        </w:rPr>
      </w:pPr>
    </w:p>
    <w:tbl>
      <w:tblPr>
        <w:tblStyle w:val="21"/>
        <w:tblpPr w:leftFromText="180" w:rightFromText="180" w:vertAnchor="text" w:horzAnchor="page" w:tblpXSpec="center" w:tblpY="221"/>
        <w:tblOverlap w:val="never"/>
        <w:tblW w:w="5135" w:type="pct"/>
        <w:jc w:val="center"/>
        <w:tblLayout w:type="fixed"/>
        <w:tblCellMar>
          <w:top w:w="0" w:type="dxa"/>
          <w:left w:w="108" w:type="dxa"/>
          <w:bottom w:w="0" w:type="dxa"/>
          <w:right w:w="108" w:type="dxa"/>
        </w:tblCellMar>
      </w:tblPr>
      <w:tblGrid>
        <w:gridCol w:w="822"/>
        <w:gridCol w:w="1233"/>
        <w:gridCol w:w="1148"/>
        <w:gridCol w:w="1399"/>
        <w:gridCol w:w="2135"/>
        <w:gridCol w:w="2570"/>
      </w:tblGrid>
      <w:tr>
        <w:tblPrEx>
          <w:tblCellMar>
            <w:top w:w="0" w:type="dxa"/>
            <w:left w:w="108" w:type="dxa"/>
            <w:bottom w:w="0" w:type="dxa"/>
            <w:right w:w="108" w:type="dxa"/>
          </w:tblCellMar>
        </w:tblPrEx>
        <w:trPr>
          <w:trHeight w:val="675" w:hRule="atLeast"/>
          <w:jc w:val="center"/>
        </w:trPr>
        <w:tc>
          <w:tcPr>
            <w:tcW w:w="5000" w:type="pct"/>
            <w:gridSpan w:val="6"/>
            <w:tcBorders>
              <w:top w:val="nil"/>
              <w:left w:val="nil"/>
              <w:bottom w:val="nil"/>
              <w:right w:val="nil"/>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方正小标宋简体" w:cs="Times New Roman"/>
                <w:bCs/>
                <w:color w:val="auto"/>
                <w:sz w:val="32"/>
                <w:szCs w:val="32"/>
              </w:rPr>
            </w:pPr>
            <w:r>
              <w:rPr>
                <w:rFonts w:hint="default" w:ascii="Times New Roman" w:hAnsi="Times New Roman" w:eastAsia="方正小标宋简体" w:cs="Times New Roman"/>
                <w:bCs/>
                <w:color w:val="auto"/>
                <w:sz w:val="28"/>
                <w:szCs w:val="28"/>
              </w:rPr>
              <w:t>2021年100万以上（含）特定目标类部门预算项目绩效目标自评</w:t>
            </w:r>
          </w:p>
          <w:p>
            <w:pPr>
              <w:pageBreakBefore w:val="0"/>
              <w:widowControl/>
              <w:kinsoku/>
              <w:wordWrap/>
              <w:overflowPunct/>
              <w:topLinePunct w:val="0"/>
              <w:bidi w:val="0"/>
              <w:spacing w:line="240" w:lineRule="auto"/>
              <w:jc w:val="center"/>
              <w:textAlignment w:val="center"/>
              <w:rPr>
                <w:rFonts w:hint="default" w:ascii="Times New Roman" w:hAnsi="Times New Roman" w:cs="Times New Roman"/>
                <w:b/>
                <w:color w:val="auto"/>
              </w:rPr>
            </w:pPr>
            <w:r>
              <w:rPr>
                <w:rFonts w:hint="default" w:ascii="Times New Roman" w:hAnsi="Times New Roman" w:eastAsia="仿宋_GB2312" w:cs="Times New Roman"/>
                <w:bCs/>
                <w:color w:val="auto"/>
                <w:sz w:val="28"/>
                <w:szCs w:val="28"/>
              </w:rPr>
              <w:t>〔</w:t>
            </w:r>
            <w:r>
              <w:rPr>
                <w:rFonts w:hint="default" w:ascii="Times New Roman" w:hAnsi="Times New Roman" w:eastAsia="方正小标宋简体" w:cs="Times New Roman"/>
                <w:bCs/>
                <w:color w:val="auto"/>
                <w:sz w:val="28"/>
                <w:szCs w:val="28"/>
              </w:rPr>
              <w:t>委托工程咨询机构开展投资项目评估评审（水电）项目</w:t>
            </w:r>
            <w:r>
              <w:rPr>
                <w:rFonts w:hint="default" w:ascii="Times New Roman" w:hAnsi="Times New Roman" w:eastAsia="仿宋_GB2312" w:cs="Times New Roman"/>
                <w:bCs/>
                <w:color w:val="auto"/>
                <w:sz w:val="28"/>
                <w:szCs w:val="28"/>
              </w:rPr>
              <w:t>〕</w:t>
            </w:r>
          </w:p>
        </w:tc>
      </w:tr>
      <w:tr>
        <w:tblPrEx>
          <w:tblCellMar>
            <w:top w:w="0" w:type="dxa"/>
            <w:left w:w="108" w:type="dxa"/>
            <w:bottom w:w="0" w:type="dxa"/>
            <w:right w:w="108" w:type="dxa"/>
          </w:tblCellMar>
        </w:tblPrEx>
        <w:trPr>
          <w:trHeight w:val="254" w:hRule="atLeast"/>
          <w:jc w:val="center"/>
        </w:trPr>
        <w:tc>
          <w:tcPr>
            <w:tcW w:w="1104" w:type="pct"/>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主管部门及代码</w:t>
            </w:r>
          </w:p>
        </w:tc>
        <w:tc>
          <w:tcPr>
            <w:tcW w:w="1368" w:type="pct"/>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303-四川省发展和改革委员会</w:t>
            </w:r>
          </w:p>
        </w:tc>
        <w:tc>
          <w:tcPr>
            <w:tcW w:w="114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实施单位</w:t>
            </w:r>
          </w:p>
        </w:tc>
        <w:tc>
          <w:tcPr>
            <w:tcW w:w="138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四川省发展和改革委员会机关</w:t>
            </w:r>
          </w:p>
        </w:tc>
      </w:tr>
      <w:tr>
        <w:tblPrEx>
          <w:tblCellMar>
            <w:top w:w="0" w:type="dxa"/>
            <w:left w:w="108" w:type="dxa"/>
            <w:bottom w:w="0" w:type="dxa"/>
            <w:right w:w="108" w:type="dxa"/>
          </w:tblCellMar>
        </w:tblPrEx>
        <w:trPr>
          <w:trHeight w:val="341" w:hRule="atLeast"/>
          <w:jc w:val="center"/>
        </w:trPr>
        <w:tc>
          <w:tcPr>
            <w:tcW w:w="1104" w:type="pct"/>
            <w:gridSpan w:val="2"/>
            <w:vMerge w:val="restar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项目预算</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执行情况</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（万元）</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lef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 xml:space="preserve"> 预算数：</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115</w:t>
            </w:r>
          </w:p>
        </w:tc>
        <w:tc>
          <w:tcPr>
            <w:tcW w:w="114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lef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 xml:space="preserve"> 执行数：</w:t>
            </w:r>
          </w:p>
        </w:tc>
        <w:tc>
          <w:tcPr>
            <w:tcW w:w="138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115</w:t>
            </w:r>
          </w:p>
        </w:tc>
      </w:tr>
      <w:tr>
        <w:tblPrEx>
          <w:tblCellMar>
            <w:top w:w="0" w:type="dxa"/>
            <w:left w:w="108" w:type="dxa"/>
            <w:bottom w:w="0" w:type="dxa"/>
            <w:right w:w="108" w:type="dxa"/>
          </w:tblCellMar>
        </w:tblPrEx>
        <w:trPr>
          <w:trHeight w:val="577" w:hRule="atLeast"/>
          <w:jc w:val="center"/>
        </w:trPr>
        <w:tc>
          <w:tcPr>
            <w:tcW w:w="1104"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1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left"/>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其中：</w:t>
            </w:r>
          </w:p>
          <w:p>
            <w:pPr>
              <w:pageBreakBefore w:val="0"/>
              <w:widowControl/>
              <w:kinsoku/>
              <w:wordWrap/>
              <w:overflowPunct/>
              <w:topLinePunct w:val="0"/>
              <w:bidi w:val="0"/>
              <w:spacing w:line="240" w:lineRule="auto"/>
              <w:jc w:val="lef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财政拨款</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115</w:t>
            </w:r>
          </w:p>
        </w:tc>
        <w:tc>
          <w:tcPr>
            <w:tcW w:w="114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left"/>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其中：</w:t>
            </w:r>
          </w:p>
          <w:p>
            <w:pPr>
              <w:pageBreakBefore w:val="0"/>
              <w:widowControl/>
              <w:kinsoku/>
              <w:wordWrap/>
              <w:overflowPunct/>
              <w:topLinePunct w:val="0"/>
              <w:bidi w:val="0"/>
              <w:spacing w:line="240" w:lineRule="auto"/>
              <w:jc w:val="lef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财政拨款</w:t>
            </w:r>
          </w:p>
        </w:tc>
        <w:tc>
          <w:tcPr>
            <w:tcW w:w="138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115</w:t>
            </w:r>
          </w:p>
        </w:tc>
      </w:tr>
      <w:tr>
        <w:tblPrEx>
          <w:tblCellMar>
            <w:top w:w="0" w:type="dxa"/>
            <w:left w:w="108" w:type="dxa"/>
            <w:bottom w:w="0" w:type="dxa"/>
            <w:right w:w="108" w:type="dxa"/>
          </w:tblCellMar>
        </w:tblPrEx>
        <w:trPr>
          <w:trHeight w:val="341" w:hRule="atLeast"/>
          <w:jc w:val="center"/>
        </w:trPr>
        <w:tc>
          <w:tcPr>
            <w:tcW w:w="1104"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1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lef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其他资金</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0</w:t>
            </w:r>
          </w:p>
        </w:tc>
        <w:tc>
          <w:tcPr>
            <w:tcW w:w="114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lef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其他资金</w:t>
            </w:r>
          </w:p>
        </w:tc>
        <w:tc>
          <w:tcPr>
            <w:tcW w:w="138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0</w:t>
            </w:r>
          </w:p>
        </w:tc>
      </w:tr>
      <w:tr>
        <w:tblPrEx>
          <w:tblCellMar>
            <w:top w:w="0" w:type="dxa"/>
            <w:left w:w="108" w:type="dxa"/>
            <w:bottom w:w="0" w:type="dxa"/>
            <w:right w:w="108" w:type="dxa"/>
          </w:tblCellMar>
        </w:tblPrEx>
        <w:trPr>
          <w:trHeight w:val="217" w:hRule="atLeast"/>
          <w:jc w:val="center"/>
        </w:trPr>
        <w:tc>
          <w:tcPr>
            <w:tcW w:w="441" w:type="pct"/>
            <w:vMerge w:val="restar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年度总体目标完成情况</w:t>
            </w:r>
          </w:p>
        </w:tc>
        <w:tc>
          <w:tcPr>
            <w:tcW w:w="2030" w:type="pct"/>
            <w:gridSpan w:val="3"/>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预期目标</w:t>
            </w:r>
          </w:p>
        </w:tc>
        <w:tc>
          <w:tcPr>
            <w:tcW w:w="2527" w:type="pct"/>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目标实际完成情况</w:t>
            </w:r>
          </w:p>
        </w:tc>
      </w:tr>
      <w:tr>
        <w:tblPrEx>
          <w:tblCellMar>
            <w:top w:w="0" w:type="dxa"/>
            <w:left w:w="108" w:type="dxa"/>
            <w:bottom w:w="0" w:type="dxa"/>
            <w:right w:w="108" w:type="dxa"/>
          </w:tblCellMar>
        </w:tblPrEx>
        <w:trPr>
          <w:trHeight w:val="1092" w:hRule="atLeast"/>
          <w:jc w:val="center"/>
        </w:trPr>
        <w:tc>
          <w:tcPr>
            <w:tcW w:w="441" w:type="pct"/>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2030" w:type="pct"/>
            <w:gridSpan w:val="3"/>
            <w:tcBorders>
              <w:top w:val="single" w:color="000000" w:sz="4" w:space="0"/>
              <w:left w:val="single" w:color="000000" w:sz="4" w:space="0"/>
              <w:bottom w:val="single" w:color="000000" w:sz="4" w:space="0"/>
              <w:right w:val="single" w:color="000000" w:sz="4" w:space="0"/>
            </w:tcBorders>
            <w:noWrap/>
          </w:tcPr>
          <w:p>
            <w:pPr>
              <w:pageBreakBefore w:val="0"/>
              <w:widowControl/>
              <w:kinsoku/>
              <w:wordWrap/>
              <w:overflowPunct/>
              <w:topLinePunct w:val="0"/>
              <w:bidi w:val="0"/>
              <w:spacing w:line="240" w:lineRule="auto"/>
              <w:ind w:firstLine="420" w:firstLineChars="200"/>
              <w:jc w:val="left"/>
              <w:textAlignment w:val="top"/>
              <w:rPr>
                <w:rFonts w:hint="default" w:ascii="Times New Roman" w:hAnsi="Times New Roman" w:eastAsia="仿宋_GB2312" w:cs="Times New Roman"/>
                <w:color w:val="auto"/>
                <w:kern w:val="0"/>
                <w:szCs w:val="21"/>
              </w:rPr>
            </w:pPr>
          </w:p>
          <w:p>
            <w:pPr>
              <w:pageBreakBefore w:val="0"/>
              <w:widowControl/>
              <w:kinsoku/>
              <w:wordWrap/>
              <w:overflowPunct/>
              <w:topLinePunct w:val="0"/>
              <w:bidi w:val="0"/>
              <w:spacing w:line="240" w:lineRule="auto"/>
              <w:ind w:firstLine="420" w:firstLineChars="200"/>
              <w:jc w:val="left"/>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计划完成孟底沟、枕头坝二级、沙坪一级水电站核准评估。</w:t>
            </w:r>
          </w:p>
        </w:tc>
        <w:tc>
          <w:tcPr>
            <w:tcW w:w="2527" w:type="pct"/>
            <w:gridSpan w:val="2"/>
            <w:tcBorders>
              <w:top w:val="single" w:color="000000" w:sz="4" w:space="0"/>
              <w:left w:val="single" w:color="000000" w:sz="4" w:space="0"/>
              <w:bottom w:val="single" w:color="000000" w:sz="4" w:space="0"/>
              <w:right w:val="single" w:color="000000" w:sz="4" w:space="0"/>
            </w:tcBorders>
            <w:noWrap/>
          </w:tcPr>
          <w:p>
            <w:pPr>
              <w:pageBreakBefore w:val="0"/>
              <w:widowControl/>
              <w:kinsoku/>
              <w:wordWrap/>
              <w:overflowPunct/>
              <w:topLinePunct w:val="0"/>
              <w:bidi w:val="0"/>
              <w:spacing w:line="240" w:lineRule="auto"/>
              <w:ind w:firstLine="420" w:firstLineChars="200"/>
              <w:jc w:val="left"/>
              <w:textAlignment w:val="top"/>
              <w:rPr>
                <w:rFonts w:hint="default" w:ascii="Times New Roman" w:hAnsi="Times New Roman" w:eastAsia="仿宋_GB2312" w:cs="Times New Roman"/>
                <w:color w:val="auto"/>
                <w:kern w:val="0"/>
                <w:szCs w:val="21"/>
              </w:rPr>
            </w:pPr>
          </w:p>
          <w:p>
            <w:pPr>
              <w:pageBreakBefore w:val="0"/>
              <w:widowControl/>
              <w:kinsoku/>
              <w:wordWrap/>
              <w:overflowPunct/>
              <w:topLinePunct w:val="0"/>
              <w:bidi w:val="0"/>
              <w:spacing w:line="240" w:lineRule="auto"/>
              <w:ind w:firstLine="420" w:firstLineChars="200"/>
              <w:jc w:val="left"/>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已完成孟底沟、枕头坝二级、沙坪一级水电站核准评估。</w:t>
            </w:r>
          </w:p>
        </w:tc>
      </w:tr>
      <w:tr>
        <w:tblPrEx>
          <w:tblCellMar>
            <w:top w:w="0" w:type="dxa"/>
            <w:left w:w="108" w:type="dxa"/>
            <w:bottom w:w="0" w:type="dxa"/>
            <w:right w:w="108" w:type="dxa"/>
          </w:tblCellMar>
        </w:tblPrEx>
        <w:trPr>
          <w:trHeight w:val="738" w:hRule="atLeast"/>
          <w:jc w:val="center"/>
        </w:trPr>
        <w:tc>
          <w:tcPr>
            <w:tcW w:w="441" w:type="pct"/>
            <w:vMerge w:val="restart"/>
            <w:tcBorders>
              <w:top w:val="single" w:color="000000" w:sz="4" w:space="0"/>
              <w:left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年度绩效指标完成情况</w:t>
            </w:r>
          </w:p>
        </w:tc>
        <w:tc>
          <w:tcPr>
            <w:tcW w:w="662" w:type="pct"/>
            <w:tcBorders>
              <w:top w:val="single" w:color="000000" w:sz="4" w:space="0"/>
              <w:left w:val="nil"/>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一级</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二级</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三级</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114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预期指标值</w:t>
            </w:r>
          </w:p>
        </w:tc>
        <w:tc>
          <w:tcPr>
            <w:tcW w:w="138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实际完成指标值</w:t>
            </w:r>
          </w:p>
        </w:tc>
      </w:tr>
      <w:tr>
        <w:tblPrEx>
          <w:tblCellMar>
            <w:top w:w="0" w:type="dxa"/>
            <w:left w:w="108" w:type="dxa"/>
            <w:bottom w:w="0" w:type="dxa"/>
            <w:right w:w="108" w:type="dxa"/>
          </w:tblCellMar>
        </w:tblPrEx>
        <w:trPr>
          <w:trHeight w:val="480" w:hRule="atLeast"/>
          <w:jc w:val="center"/>
        </w:trPr>
        <w:tc>
          <w:tcPr>
            <w:tcW w:w="441" w:type="pct"/>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62" w:type="pct"/>
            <w:vMerge w:val="restar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完成</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数量指标</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评估3个水电项目</w:t>
            </w:r>
          </w:p>
        </w:tc>
        <w:tc>
          <w:tcPr>
            <w:tcW w:w="114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3个</w:t>
            </w:r>
          </w:p>
        </w:tc>
        <w:tc>
          <w:tcPr>
            <w:tcW w:w="138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3个</w:t>
            </w:r>
          </w:p>
        </w:tc>
      </w:tr>
      <w:tr>
        <w:tblPrEx>
          <w:tblCellMar>
            <w:top w:w="0" w:type="dxa"/>
            <w:left w:w="108" w:type="dxa"/>
            <w:bottom w:w="0" w:type="dxa"/>
            <w:right w:w="108" w:type="dxa"/>
          </w:tblCellMar>
        </w:tblPrEx>
        <w:trPr>
          <w:trHeight w:val="480" w:hRule="atLeast"/>
          <w:jc w:val="center"/>
        </w:trPr>
        <w:tc>
          <w:tcPr>
            <w:tcW w:w="441" w:type="pct"/>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62" w:type="pct"/>
            <w:vMerge w:val="continue"/>
            <w:tcBorders>
              <w:top w:val="single" w:color="000000" w:sz="4" w:space="0"/>
              <w:left w:val="single" w:color="000000" w:sz="4" w:space="0"/>
              <w:bottom w:val="single" w:color="000000" w:sz="4" w:space="0"/>
              <w:right w:val="single" w:color="000000" w:sz="4" w:space="0"/>
            </w:tcBorders>
            <w:noWrap/>
            <w:vAlign w:val="bottom"/>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1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质量指标</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质量合格率</w:t>
            </w:r>
          </w:p>
        </w:tc>
        <w:tc>
          <w:tcPr>
            <w:tcW w:w="114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100%</w:t>
            </w:r>
          </w:p>
        </w:tc>
        <w:tc>
          <w:tcPr>
            <w:tcW w:w="138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100%</w:t>
            </w:r>
          </w:p>
        </w:tc>
      </w:tr>
      <w:tr>
        <w:tblPrEx>
          <w:tblCellMar>
            <w:top w:w="0" w:type="dxa"/>
            <w:left w:w="108" w:type="dxa"/>
            <w:bottom w:w="0" w:type="dxa"/>
            <w:right w:w="108" w:type="dxa"/>
          </w:tblCellMar>
        </w:tblPrEx>
        <w:trPr>
          <w:trHeight w:val="480" w:hRule="atLeast"/>
          <w:jc w:val="center"/>
        </w:trPr>
        <w:tc>
          <w:tcPr>
            <w:tcW w:w="441" w:type="pct"/>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62" w:type="pct"/>
            <w:vMerge w:val="continue"/>
            <w:tcBorders>
              <w:top w:val="single" w:color="000000" w:sz="4" w:space="0"/>
              <w:left w:val="single" w:color="000000" w:sz="4" w:space="0"/>
              <w:bottom w:val="single" w:color="000000" w:sz="4" w:space="0"/>
              <w:right w:val="single" w:color="000000" w:sz="4" w:space="0"/>
            </w:tcBorders>
            <w:noWrap/>
            <w:vAlign w:val="bottom"/>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1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时效指标</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按时完成率</w:t>
            </w:r>
          </w:p>
        </w:tc>
        <w:tc>
          <w:tcPr>
            <w:tcW w:w="114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100%</w:t>
            </w:r>
          </w:p>
        </w:tc>
        <w:tc>
          <w:tcPr>
            <w:tcW w:w="138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100%</w:t>
            </w:r>
          </w:p>
        </w:tc>
      </w:tr>
      <w:tr>
        <w:tblPrEx>
          <w:tblCellMar>
            <w:top w:w="0" w:type="dxa"/>
            <w:left w:w="108" w:type="dxa"/>
            <w:bottom w:w="0" w:type="dxa"/>
            <w:right w:w="108" w:type="dxa"/>
          </w:tblCellMar>
        </w:tblPrEx>
        <w:trPr>
          <w:trHeight w:val="480" w:hRule="atLeast"/>
          <w:jc w:val="center"/>
        </w:trPr>
        <w:tc>
          <w:tcPr>
            <w:tcW w:w="441" w:type="pct"/>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62" w:type="pct"/>
            <w:vMerge w:val="continue"/>
            <w:tcBorders>
              <w:top w:val="single" w:color="000000" w:sz="4" w:space="0"/>
              <w:left w:val="single" w:color="000000" w:sz="4" w:space="0"/>
              <w:bottom w:val="single" w:color="000000" w:sz="4" w:space="0"/>
              <w:right w:val="single" w:color="000000" w:sz="4" w:space="0"/>
            </w:tcBorders>
            <w:noWrap/>
            <w:vAlign w:val="bottom"/>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1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成本指标</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评估费用</w:t>
            </w:r>
          </w:p>
        </w:tc>
        <w:tc>
          <w:tcPr>
            <w:tcW w:w="114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115万元</w:t>
            </w:r>
          </w:p>
        </w:tc>
        <w:tc>
          <w:tcPr>
            <w:tcW w:w="138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115万元</w:t>
            </w:r>
          </w:p>
        </w:tc>
      </w:tr>
      <w:tr>
        <w:tblPrEx>
          <w:tblCellMar>
            <w:top w:w="0" w:type="dxa"/>
            <w:left w:w="108" w:type="dxa"/>
            <w:bottom w:w="0" w:type="dxa"/>
            <w:right w:w="108" w:type="dxa"/>
          </w:tblCellMar>
        </w:tblPrEx>
        <w:trPr>
          <w:trHeight w:val="480" w:hRule="atLeast"/>
          <w:jc w:val="center"/>
        </w:trPr>
        <w:tc>
          <w:tcPr>
            <w:tcW w:w="441" w:type="pct"/>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62" w:type="pct"/>
            <w:vMerge w:val="restar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效益</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经济效益  指标</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促进行业发展</w:t>
            </w:r>
          </w:p>
        </w:tc>
        <w:tc>
          <w:tcPr>
            <w:tcW w:w="114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增加电力供应</w:t>
            </w:r>
          </w:p>
        </w:tc>
        <w:tc>
          <w:tcPr>
            <w:tcW w:w="138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增加电力供应</w:t>
            </w:r>
          </w:p>
        </w:tc>
      </w:tr>
      <w:tr>
        <w:tblPrEx>
          <w:tblCellMar>
            <w:top w:w="0" w:type="dxa"/>
            <w:left w:w="108" w:type="dxa"/>
            <w:bottom w:w="0" w:type="dxa"/>
            <w:right w:w="108" w:type="dxa"/>
          </w:tblCellMar>
        </w:tblPrEx>
        <w:trPr>
          <w:trHeight w:val="480" w:hRule="atLeast"/>
          <w:jc w:val="center"/>
        </w:trPr>
        <w:tc>
          <w:tcPr>
            <w:tcW w:w="441" w:type="pct"/>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62" w:type="pct"/>
            <w:vMerge w:val="continue"/>
            <w:tcBorders>
              <w:top w:val="single" w:color="000000" w:sz="4" w:space="0"/>
              <w:left w:val="single" w:color="000000" w:sz="4" w:space="0"/>
              <w:bottom w:val="single" w:color="000000" w:sz="4" w:space="0"/>
              <w:right w:val="single" w:color="000000" w:sz="4" w:space="0"/>
            </w:tcBorders>
            <w:noWrap/>
            <w:vAlign w:val="bottom"/>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1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社会效益  指标</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xml:space="preserve"> 建设清洁能源基地</w:t>
            </w:r>
          </w:p>
        </w:tc>
        <w:tc>
          <w:tcPr>
            <w:tcW w:w="114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促进水电健康发展,为建设清洁能源基地作出贡献</w:t>
            </w:r>
          </w:p>
        </w:tc>
        <w:tc>
          <w:tcPr>
            <w:tcW w:w="138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促进水电健康发展,为建设清洁能源基地作出贡献</w:t>
            </w:r>
          </w:p>
        </w:tc>
      </w:tr>
      <w:tr>
        <w:tblPrEx>
          <w:tblCellMar>
            <w:top w:w="0" w:type="dxa"/>
            <w:left w:w="108" w:type="dxa"/>
            <w:bottom w:w="0" w:type="dxa"/>
            <w:right w:w="108" w:type="dxa"/>
          </w:tblCellMar>
        </w:tblPrEx>
        <w:trPr>
          <w:trHeight w:val="577" w:hRule="atLeast"/>
          <w:jc w:val="center"/>
        </w:trPr>
        <w:tc>
          <w:tcPr>
            <w:tcW w:w="441" w:type="pct"/>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62" w:type="pct"/>
            <w:vMerge w:val="continue"/>
            <w:tcBorders>
              <w:top w:val="single" w:color="000000" w:sz="4" w:space="0"/>
              <w:left w:val="single" w:color="000000" w:sz="4" w:space="0"/>
              <w:bottom w:val="single" w:color="000000" w:sz="4" w:space="0"/>
              <w:right w:val="single" w:color="000000" w:sz="4" w:space="0"/>
            </w:tcBorders>
            <w:noWrap/>
            <w:vAlign w:val="bottom"/>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1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生态效益  指标</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碳排放量</w:t>
            </w:r>
          </w:p>
        </w:tc>
        <w:tc>
          <w:tcPr>
            <w:tcW w:w="114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无碳排放</w:t>
            </w:r>
          </w:p>
        </w:tc>
        <w:tc>
          <w:tcPr>
            <w:tcW w:w="138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无碳排放</w:t>
            </w:r>
          </w:p>
        </w:tc>
      </w:tr>
      <w:tr>
        <w:tblPrEx>
          <w:tblCellMar>
            <w:top w:w="0" w:type="dxa"/>
            <w:left w:w="108" w:type="dxa"/>
            <w:bottom w:w="0" w:type="dxa"/>
            <w:right w:w="108" w:type="dxa"/>
          </w:tblCellMar>
        </w:tblPrEx>
        <w:trPr>
          <w:trHeight w:val="480" w:hRule="atLeast"/>
          <w:jc w:val="center"/>
        </w:trPr>
        <w:tc>
          <w:tcPr>
            <w:tcW w:w="441" w:type="pct"/>
            <w:vMerge w:val="continue"/>
            <w:tcBorders>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62" w:type="pct"/>
            <w:tcBorders>
              <w:top w:val="single" w:color="000000" w:sz="4" w:space="0"/>
              <w:left w:val="single" w:color="000000" w:sz="4" w:space="0"/>
              <w:bottom w:val="single" w:color="000000" w:sz="4" w:space="0"/>
              <w:right w:val="single" w:color="000000" w:sz="4" w:space="0"/>
            </w:tcBorders>
            <w:noWrap/>
            <w:vAlign w:val="bottom"/>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满意</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度指标</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满意度</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指标</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xml:space="preserve"> 项目单位满意度</w:t>
            </w:r>
          </w:p>
        </w:tc>
        <w:tc>
          <w:tcPr>
            <w:tcW w:w="1146"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100%</w:t>
            </w:r>
          </w:p>
        </w:tc>
        <w:tc>
          <w:tcPr>
            <w:tcW w:w="138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100%</w:t>
            </w:r>
          </w:p>
        </w:tc>
      </w:tr>
    </w:tbl>
    <w:p>
      <w:pPr>
        <w:pageBreakBefore w:val="0"/>
        <w:widowControl/>
        <w:kinsoku/>
        <w:wordWrap/>
        <w:overflowPunct/>
        <w:topLinePunct w:val="0"/>
        <w:bidi w:val="0"/>
        <w:spacing w:line="560" w:lineRule="exact"/>
        <w:textAlignment w:val="top"/>
        <w:rPr>
          <w:rFonts w:hint="default" w:ascii="Times New Roman" w:hAnsi="Times New Roman" w:eastAsia="仿宋_GB2312" w:cs="Times New Roman"/>
          <w:color w:val="auto"/>
          <w:kern w:val="0"/>
          <w:szCs w:val="21"/>
        </w:rPr>
      </w:pPr>
    </w:p>
    <w:tbl>
      <w:tblPr>
        <w:tblStyle w:val="21"/>
        <w:tblpPr w:leftFromText="180" w:rightFromText="180" w:vertAnchor="text" w:horzAnchor="page" w:tblpXSpec="center" w:tblpY="221"/>
        <w:tblOverlap w:val="never"/>
        <w:tblW w:w="5210" w:type="pct"/>
        <w:jc w:val="center"/>
        <w:tblLayout w:type="fixed"/>
        <w:tblCellMar>
          <w:top w:w="0" w:type="dxa"/>
          <w:left w:w="108" w:type="dxa"/>
          <w:bottom w:w="0" w:type="dxa"/>
          <w:right w:w="108" w:type="dxa"/>
        </w:tblCellMar>
      </w:tblPr>
      <w:tblGrid>
        <w:gridCol w:w="680"/>
        <w:gridCol w:w="934"/>
        <w:gridCol w:w="1207"/>
        <w:gridCol w:w="1566"/>
        <w:gridCol w:w="2276"/>
        <w:gridCol w:w="2780"/>
      </w:tblGrid>
      <w:tr>
        <w:tblPrEx>
          <w:tblCellMar>
            <w:top w:w="0" w:type="dxa"/>
            <w:left w:w="108" w:type="dxa"/>
            <w:bottom w:w="0" w:type="dxa"/>
            <w:right w:w="108" w:type="dxa"/>
          </w:tblCellMar>
        </w:tblPrEx>
        <w:trPr>
          <w:trHeight w:val="675" w:hRule="atLeast"/>
          <w:jc w:val="center"/>
        </w:trPr>
        <w:tc>
          <w:tcPr>
            <w:tcW w:w="5000" w:type="pct"/>
            <w:gridSpan w:val="6"/>
            <w:tcBorders>
              <w:top w:val="nil"/>
              <w:left w:val="nil"/>
              <w:bottom w:val="nil"/>
              <w:right w:val="nil"/>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方正小标宋简体" w:cs="Times New Roman"/>
                <w:bCs/>
                <w:color w:val="auto"/>
                <w:sz w:val="28"/>
                <w:szCs w:val="28"/>
              </w:rPr>
            </w:pPr>
            <w:r>
              <w:rPr>
                <w:rFonts w:hint="default" w:ascii="Times New Roman" w:hAnsi="Times New Roman" w:eastAsia="方正小标宋简体" w:cs="Times New Roman"/>
                <w:bCs/>
                <w:color w:val="auto"/>
                <w:sz w:val="28"/>
                <w:szCs w:val="28"/>
              </w:rPr>
              <w:t>2021年100万以上（含）特定目标类部门预算项目绩效目标自评</w:t>
            </w:r>
          </w:p>
          <w:p>
            <w:pPr>
              <w:pageBreakBefore w:val="0"/>
              <w:widowControl/>
              <w:kinsoku/>
              <w:wordWrap/>
              <w:overflowPunct/>
              <w:topLinePunct w:val="0"/>
              <w:bidi w:val="0"/>
              <w:spacing w:line="240" w:lineRule="auto"/>
              <w:jc w:val="center"/>
              <w:textAlignment w:val="center"/>
              <w:rPr>
                <w:rFonts w:hint="default" w:ascii="Times New Roman" w:hAnsi="Times New Roman" w:cs="Times New Roman"/>
                <w:b/>
                <w:color w:val="auto"/>
              </w:rPr>
            </w:pPr>
            <w:r>
              <w:rPr>
                <w:rFonts w:hint="default" w:ascii="Times New Roman" w:hAnsi="Times New Roman" w:eastAsia="仿宋_GB2312" w:cs="Times New Roman"/>
                <w:bCs/>
                <w:color w:val="auto"/>
                <w:sz w:val="28"/>
                <w:szCs w:val="28"/>
              </w:rPr>
              <w:t>〔</w:t>
            </w:r>
            <w:r>
              <w:rPr>
                <w:rFonts w:hint="default" w:ascii="Times New Roman" w:hAnsi="Times New Roman" w:eastAsia="方正小标宋简体" w:cs="Times New Roman"/>
                <w:bCs/>
                <w:color w:val="auto"/>
                <w:sz w:val="28"/>
                <w:szCs w:val="28"/>
              </w:rPr>
              <w:t>委托开展水电及新能源工程质量监督抽查检测项目（上年结转）</w:t>
            </w:r>
            <w:r>
              <w:rPr>
                <w:rFonts w:hint="default" w:ascii="Times New Roman" w:hAnsi="Times New Roman" w:eastAsia="仿宋_GB2312" w:cs="Times New Roman"/>
                <w:bCs/>
                <w:color w:val="auto"/>
                <w:sz w:val="28"/>
                <w:szCs w:val="28"/>
              </w:rPr>
              <w:t>〕</w:t>
            </w:r>
          </w:p>
        </w:tc>
      </w:tr>
      <w:tr>
        <w:tblPrEx>
          <w:tblCellMar>
            <w:top w:w="0" w:type="dxa"/>
            <w:left w:w="108" w:type="dxa"/>
            <w:bottom w:w="0" w:type="dxa"/>
            <w:right w:w="108" w:type="dxa"/>
          </w:tblCellMar>
        </w:tblPrEx>
        <w:trPr>
          <w:trHeight w:val="254" w:hRule="atLeast"/>
          <w:jc w:val="center"/>
        </w:trPr>
        <w:tc>
          <w:tcPr>
            <w:tcW w:w="854" w:type="pct"/>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主管部门及代码</w:t>
            </w:r>
          </w:p>
        </w:tc>
        <w:tc>
          <w:tcPr>
            <w:tcW w:w="1468" w:type="pct"/>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303-四川省发展和改革委员会</w:t>
            </w:r>
          </w:p>
        </w:tc>
        <w:tc>
          <w:tcPr>
            <w:tcW w:w="120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实施单位</w:t>
            </w:r>
          </w:p>
        </w:tc>
        <w:tc>
          <w:tcPr>
            <w:tcW w:w="147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四川省发展和改革委员会机关</w:t>
            </w:r>
          </w:p>
        </w:tc>
      </w:tr>
      <w:tr>
        <w:tblPrEx>
          <w:tblCellMar>
            <w:top w:w="0" w:type="dxa"/>
            <w:left w:w="108" w:type="dxa"/>
            <w:bottom w:w="0" w:type="dxa"/>
            <w:right w:w="108" w:type="dxa"/>
          </w:tblCellMar>
        </w:tblPrEx>
        <w:trPr>
          <w:trHeight w:val="341" w:hRule="atLeast"/>
          <w:jc w:val="center"/>
        </w:trPr>
        <w:tc>
          <w:tcPr>
            <w:tcW w:w="854" w:type="pct"/>
            <w:gridSpan w:val="2"/>
            <w:vMerge w:val="restar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项目预算</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执行情况</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（万元）</w:t>
            </w:r>
          </w:p>
        </w:tc>
        <w:tc>
          <w:tcPr>
            <w:tcW w:w="63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预算数：</w:t>
            </w:r>
          </w:p>
        </w:tc>
        <w:tc>
          <w:tcPr>
            <w:tcW w:w="82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500</w:t>
            </w:r>
          </w:p>
        </w:tc>
        <w:tc>
          <w:tcPr>
            <w:tcW w:w="120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执行数：</w:t>
            </w:r>
          </w:p>
        </w:tc>
        <w:tc>
          <w:tcPr>
            <w:tcW w:w="147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498</w:t>
            </w:r>
          </w:p>
        </w:tc>
      </w:tr>
      <w:tr>
        <w:tblPrEx>
          <w:tblCellMar>
            <w:top w:w="0" w:type="dxa"/>
            <w:left w:w="108" w:type="dxa"/>
            <w:bottom w:w="0" w:type="dxa"/>
            <w:right w:w="108" w:type="dxa"/>
          </w:tblCellMar>
        </w:tblPrEx>
        <w:trPr>
          <w:trHeight w:val="577" w:hRule="atLeast"/>
          <w:jc w:val="center"/>
        </w:trPr>
        <w:tc>
          <w:tcPr>
            <w:tcW w:w="854"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3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其中：</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财政拨款</w:t>
            </w:r>
          </w:p>
        </w:tc>
        <w:tc>
          <w:tcPr>
            <w:tcW w:w="82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500</w:t>
            </w:r>
          </w:p>
        </w:tc>
        <w:tc>
          <w:tcPr>
            <w:tcW w:w="120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其中：</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财政拨款</w:t>
            </w:r>
          </w:p>
        </w:tc>
        <w:tc>
          <w:tcPr>
            <w:tcW w:w="147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498</w:t>
            </w:r>
          </w:p>
        </w:tc>
      </w:tr>
      <w:tr>
        <w:tblPrEx>
          <w:tblCellMar>
            <w:top w:w="0" w:type="dxa"/>
            <w:left w:w="108" w:type="dxa"/>
            <w:bottom w:w="0" w:type="dxa"/>
            <w:right w:w="108" w:type="dxa"/>
          </w:tblCellMar>
        </w:tblPrEx>
        <w:trPr>
          <w:trHeight w:val="341" w:hRule="atLeast"/>
          <w:jc w:val="center"/>
        </w:trPr>
        <w:tc>
          <w:tcPr>
            <w:tcW w:w="854"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3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其他资金</w:t>
            </w:r>
          </w:p>
        </w:tc>
        <w:tc>
          <w:tcPr>
            <w:tcW w:w="82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p>
        </w:tc>
        <w:tc>
          <w:tcPr>
            <w:tcW w:w="120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其他资金</w:t>
            </w:r>
          </w:p>
        </w:tc>
        <w:tc>
          <w:tcPr>
            <w:tcW w:w="147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p>
        </w:tc>
      </w:tr>
      <w:tr>
        <w:tblPrEx>
          <w:tblCellMar>
            <w:top w:w="0" w:type="dxa"/>
            <w:left w:w="108" w:type="dxa"/>
            <w:bottom w:w="0" w:type="dxa"/>
            <w:right w:w="108" w:type="dxa"/>
          </w:tblCellMar>
        </w:tblPrEx>
        <w:trPr>
          <w:trHeight w:val="217" w:hRule="atLeast"/>
          <w:jc w:val="center"/>
        </w:trPr>
        <w:tc>
          <w:tcPr>
            <w:tcW w:w="360" w:type="pct"/>
            <w:vMerge w:val="restar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年度总体目标完成情况</w:t>
            </w:r>
          </w:p>
        </w:tc>
        <w:tc>
          <w:tcPr>
            <w:tcW w:w="1962" w:type="pct"/>
            <w:gridSpan w:val="3"/>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预期目标</w:t>
            </w:r>
          </w:p>
        </w:tc>
        <w:tc>
          <w:tcPr>
            <w:tcW w:w="2677" w:type="pct"/>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目标实际完成情况</w:t>
            </w:r>
          </w:p>
        </w:tc>
      </w:tr>
      <w:tr>
        <w:tblPrEx>
          <w:tblCellMar>
            <w:top w:w="0" w:type="dxa"/>
            <w:left w:w="108" w:type="dxa"/>
            <w:bottom w:w="0" w:type="dxa"/>
            <w:right w:w="108" w:type="dxa"/>
          </w:tblCellMar>
        </w:tblPrEx>
        <w:trPr>
          <w:trHeight w:val="2160" w:hRule="atLeast"/>
          <w:jc w:val="center"/>
        </w:trPr>
        <w:tc>
          <w:tcPr>
            <w:tcW w:w="360" w:type="pct"/>
            <w:vMerge w:val="continue"/>
            <w:tcBorders>
              <w:top w:val="single" w:color="000000" w:sz="4" w:space="0"/>
              <w:left w:val="single" w:color="000000" w:sz="4" w:space="0"/>
              <w:bottom w:val="single" w:color="auto" w:sz="4" w:space="0"/>
              <w:right w:val="single" w:color="000000"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1962" w:type="pct"/>
            <w:gridSpan w:val="3"/>
            <w:tcBorders>
              <w:top w:val="single" w:color="000000" w:sz="4" w:space="0"/>
              <w:left w:val="single" w:color="000000" w:sz="4" w:space="0"/>
              <w:bottom w:val="single" w:color="auto" w:sz="4" w:space="0"/>
              <w:right w:val="single" w:color="000000" w:sz="4" w:space="0"/>
            </w:tcBorders>
            <w:noWrap/>
            <w:vAlign w:val="center"/>
          </w:tcPr>
          <w:p>
            <w:pPr>
              <w:pageBreakBefore w:val="0"/>
              <w:widowControl/>
              <w:kinsoku/>
              <w:wordWrap/>
              <w:overflowPunct/>
              <w:topLinePunct w:val="0"/>
              <w:bidi w:val="0"/>
              <w:spacing w:line="240" w:lineRule="auto"/>
              <w:ind w:firstLine="420" w:firstLineChars="200"/>
              <w:jc w:val="left"/>
              <w:textAlignment w:val="top"/>
              <w:rPr>
                <w:rFonts w:hint="default" w:ascii="Times New Roman" w:hAnsi="Times New Roman" w:eastAsia="仿宋_GB2312" w:cs="Times New Roman"/>
                <w:color w:val="auto"/>
                <w:szCs w:val="21"/>
                <w:lang w:eastAsia="zh-CN"/>
              </w:rPr>
            </w:pPr>
            <w:r>
              <w:rPr>
                <w:rFonts w:hint="default" w:ascii="Times New Roman" w:hAnsi="Times New Roman" w:eastAsia="仿宋_GB2312" w:cs="Times New Roman"/>
                <w:color w:val="auto"/>
                <w:kern w:val="0"/>
                <w:szCs w:val="21"/>
              </w:rPr>
              <w:t>按照省发展改革委、省能源局《关于进一步加强我省水电工程质量监督管理工作的通知》（川发改能源函〔2016〕319号）的要求，对我省在建水电及新能源项目开展质量监督管理工作，对项目原材料及实体工程质量进行随机抽检，并将抽检结果报送省能源局</w:t>
            </w:r>
            <w:r>
              <w:rPr>
                <w:rFonts w:hint="default" w:ascii="Times New Roman" w:hAnsi="Times New Roman" w:eastAsia="仿宋_GB2312" w:cs="Times New Roman"/>
                <w:color w:val="auto"/>
                <w:kern w:val="0"/>
                <w:szCs w:val="21"/>
                <w:lang w:eastAsia="zh-CN"/>
              </w:rPr>
              <w:t>。</w:t>
            </w:r>
          </w:p>
        </w:tc>
        <w:tc>
          <w:tcPr>
            <w:tcW w:w="2677" w:type="pct"/>
            <w:gridSpan w:val="2"/>
            <w:tcBorders>
              <w:top w:val="single" w:color="000000" w:sz="4" w:space="0"/>
              <w:left w:val="single" w:color="000000" w:sz="4" w:space="0"/>
              <w:bottom w:val="single" w:color="auto" w:sz="4" w:space="0"/>
              <w:right w:val="single" w:color="000000" w:sz="4" w:space="0"/>
            </w:tcBorders>
            <w:noWrap/>
            <w:vAlign w:val="center"/>
          </w:tcPr>
          <w:p>
            <w:pPr>
              <w:pageBreakBefore w:val="0"/>
              <w:widowControl/>
              <w:kinsoku/>
              <w:wordWrap/>
              <w:overflowPunct/>
              <w:topLinePunct w:val="0"/>
              <w:bidi w:val="0"/>
              <w:spacing w:line="240" w:lineRule="auto"/>
              <w:ind w:firstLine="420" w:firstLineChars="200"/>
              <w:jc w:val="left"/>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2021年完成水电工程抽查检测重点为堆石坝项目，重点检测了两河口、双江口、锅浪跷、剑科、确如多、拉哇等6个在建水电工程必检项目，以及仁宗海、华山沟2个安全隐患治理项目等。本年度检测不少于3次。2021年完成抽查三峡新能源金阳县三个风电项目、华电盐源县风电项目及中节能广元剑阁天台山二期100MW风电场项目等10个新能源项目。</w:t>
            </w:r>
          </w:p>
        </w:tc>
      </w:tr>
      <w:tr>
        <w:tblPrEx>
          <w:tblCellMar>
            <w:top w:w="0" w:type="dxa"/>
            <w:left w:w="108" w:type="dxa"/>
            <w:bottom w:w="0" w:type="dxa"/>
            <w:right w:w="108" w:type="dxa"/>
          </w:tblCellMar>
        </w:tblPrEx>
        <w:trPr>
          <w:trHeight w:val="738" w:hRule="atLeast"/>
          <w:jc w:val="center"/>
        </w:trPr>
        <w:tc>
          <w:tcPr>
            <w:tcW w:w="360" w:type="pct"/>
            <w:vMerge w:val="restar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年度绩效指标完成情况</w:t>
            </w:r>
          </w:p>
        </w:tc>
        <w:tc>
          <w:tcPr>
            <w:tcW w:w="494"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一级</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63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二级</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82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三级</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1205"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预期指</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标值</w:t>
            </w:r>
          </w:p>
        </w:tc>
        <w:tc>
          <w:tcPr>
            <w:tcW w:w="1471"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实际完成指标值</w:t>
            </w:r>
          </w:p>
        </w:tc>
      </w:tr>
      <w:tr>
        <w:tblPrEx>
          <w:tblCellMar>
            <w:top w:w="0" w:type="dxa"/>
            <w:left w:w="108" w:type="dxa"/>
            <w:bottom w:w="0" w:type="dxa"/>
            <w:right w:w="108" w:type="dxa"/>
          </w:tblCellMar>
        </w:tblPrEx>
        <w:trPr>
          <w:trHeight w:val="570" w:hRule="atLeast"/>
          <w:jc w:val="center"/>
        </w:trPr>
        <w:tc>
          <w:tcPr>
            <w:tcW w:w="360"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494" w:type="pct"/>
            <w:vMerge w:val="restar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完成</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63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数量指标</w:t>
            </w:r>
          </w:p>
        </w:tc>
        <w:tc>
          <w:tcPr>
            <w:tcW w:w="82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每年抽查项目不少于20个</w:t>
            </w:r>
          </w:p>
        </w:tc>
        <w:tc>
          <w:tcPr>
            <w:tcW w:w="1205"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20个</w:t>
            </w:r>
          </w:p>
        </w:tc>
        <w:tc>
          <w:tcPr>
            <w:tcW w:w="1471"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20个</w:t>
            </w:r>
          </w:p>
        </w:tc>
      </w:tr>
      <w:tr>
        <w:tblPrEx>
          <w:tblCellMar>
            <w:top w:w="0" w:type="dxa"/>
            <w:left w:w="108" w:type="dxa"/>
            <w:bottom w:w="0" w:type="dxa"/>
            <w:right w:w="108" w:type="dxa"/>
          </w:tblCellMar>
        </w:tblPrEx>
        <w:trPr>
          <w:trHeight w:val="480" w:hRule="atLeast"/>
          <w:jc w:val="center"/>
        </w:trPr>
        <w:tc>
          <w:tcPr>
            <w:tcW w:w="360"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494"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3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质量指标</w:t>
            </w:r>
          </w:p>
        </w:tc>
        <w:tc>
          <w:tcPr>
            <w:tcW w:w="82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质量合规率</w:t>
            </w:r>
          </w:p>
        </w:tc>
        <w:tc>
          <w:tcPr>
            <w:tcW w:w="1205"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100%</w:t>
            </w:r>
          </w:p>
        </w:tc>
        <w:tc>
          <w:tcPr>
            <w:tcW w:w="1471"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100%</w:t>
            </w:r>
          </w:p>
        </w:tc>
      </w:tr>
      <w:tr>
        <w:tblPrEx>
          <w:tblCellMar>
            <w:top w:w="0" w:type="dxa"/>
            <w:left w:w="108" w:type="dxa"/>
            <w:bottom w:w="0" w:type="dxa"/>
            <w:right w:w="108" w:type="dxa"/>
          </w:tblCellMar>
        </w:tblPrEx>
        <w:trPr>
          <w:trHeight w:val="480" w:hRule="atLeast"/>
          <w:jc w:val="center"/>
        </w:trPr>
        <w:tc>
          <w:tcPr>
            <w:tcW w:w="360"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494"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3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时效指标</w:t>
            </w:r>
          </w:p>
        </w:tc>
        <w:tc>
          <w:tcPr>
            <w:tcW w:w="82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按时完成率</w:t>
            </w:r>
          </w:p>
        </w:tc>
        <w:tc>
          <w:tcPr>
            <w:tcW w:w="1205"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100%</w:t>
            </w:r>
          </w:p>
        </w:tc>
        <w:tc>
          <w:tcPr>
            <w:tcW w:w="1471"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100%</w:t>
            </w:r>
          </w:p>
        </w:tc>
      </w:tr>
      <w:tr>
        <w:tblPrEx>
          <w:tblCellMar>
            <w:top w:w="0" w:type="dxa"/>
            <w:left w:w="108" w:type="dxa"/>
            <w:bottom w:w="0" w:type="dxa"/>
            <w:right w:w="108" w:type="dxa"/>
          </w:tblCellMar>
        </w:tblPrEx>
        <w:trPr>
          <w:trHeight w:val="570" w:hRule="atLeast"/>
          <w:jc w:val="center"/>
        </w:trPr>
        <w:tc>
          <w:tcPr>
            <w:tcW w:w="360"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494"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3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成本指标</w:t>
            </w:r>
          </w:p>
        </w:tc>
        <w:tc>
          <w:tcPr>
            <w:tcW w:w="82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质量监督抽查</w:t>
            </w:r>
            <w:r>
              <w:rPr>
                <w:rFonts w:hint="eastAsia" w:eastAsia="仿宋_GB2312" w:cs="Times New Roman"/>
                <w:color w:val="auto"/>
                <w:szCs w:val="21"/>
                <w:lang w:eastAsia="zh-CN"/>
              </w:rPr>
              <w:t>检</w:t>
            </w:r>
            <w:r>
              <w:rPr>
                <w:rFonts w:hint="default" w:ascii="Times New Roman" w:hAnsi="Times New Roman" w:eastAsia="仿宋_GB2312" w:cs="Times New Roman"/>
                <w:color w:val="auto"/>
                <w:szCs w:val="21"/>
              </w:rPr>
              <w:t>测费用</w:t>
            </w:r>
          </w:p>
        </w:tc>
        <w:tc>
          <w:tcPr>
            <w:tcW w:w="1205"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500万元</w:t>
            </w:r>
          </w:p>
        </w:tc>
        <w:tc>
          <w:tcPr>
            <w:tcW w:w="1471"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498万元</w:t>
            </w:r>
          </w:p>
        </w:tc>
      </w:tr>
      <w:tr>
        <w:tblPrEx>
          <w:tblCellMar>
            <w:top w:w="0" w:type="dxa"/>
            <w:left w:w="108" w:type="dxa"/>
            <w:bottom w:w="0" w:type="dxa"/>
            <w:right w:w="108" w:type="dxa"/>
          </w:tblCellMar>
        </w:tblPrEx>
        <w:trPr>
          <w:trHeight w:val="813" w:hRule="atLeast"/>
          <w:jc w:val="center"/>
        </w:trPr>
        <w:tc>
          <w:tcPr>
            <w:tcW w:w="360"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494" w:type="pct"/>
            <w:vMerge w:val="restart"/>
            <w:tcBorders>
              <w:top w:val="single" w:color="auto" w:sz="4" w:space="0"/>
              <w:left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效益</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指标</w:t>
            </w:r>
          </w:p>
        </w:tc>
        <w:tc>
          <w:tcPr>
            <w:tcW w:w="63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经济效益指标</w:t>
            </w:r>
          </w:p>
        </w:tc>
        <w:tc>
          <w:tcPr>
            <w:tcW w:w="82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left"/>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促进行业发展</w:t>
            </w:r>
          </w:p>
        </w:tc>
        <w:tc>
          <w:tcPr>
            <w:tcW w:w="1205"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工程质量安全运行,增加发电量,提高企业的效益</w:t>
            </w:r>
          </w:p>
        </w:tc>
        <w:tc>
          <w:tcPr>
            <w:tcW w:w="1471"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工程质量安全运行,增加发电量,提高企业的效益</w:t>
            </w:r>
          </w:p>
        </w:tc>
      </w:tr>
      <w:tr>
        <w:tblPrEx>
          <w:tblCellMar>
            <w:top w:w="0" w:type="dxa"/>
            <w:left w:w="108" w:type="dxa"/>
            <w:bottom w:w="0" w:type="dxa"/>
            <w:right w:w="108" w:type="dxa"/>
          </w:tblCellMar>
        </w:tblPrEx>
        <w:trPr>
          <w:trHeight w:val="1099" w:hRule="atLeast"/>
          <w:jc w:val="center"/>
        </w:trPr>
        <w:tc>
          <w:tcPr>
            <w:tcW w:w="360"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494" w:type="pct"/>
            <w:vMerge w:val="continue"/>
            <w:tcBorders>
              <w:left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p>
        </w:tc>
        <w:tc>
          <w:tcPr>
            <w:tcW w:w="63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社会效益指标</w:t>
            </w:r>
          </w:p>
        </w:tc>
        <w:tc>
          <w:tcPr>
            <w:tcW w:w="82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left"/>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建设清洁能源基地</w:t>
            </w:r>
          </w:p>
        </w:tc>
        <w:tc>
          <w:tcPr>
            <w:tcW w:w="1205"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促进水电及新能源健康发展,为建设清洁能源基地作出贡献</w:t>
            </w:r>
          </w:p>
        </w:tc>
        <w:tc>
          <w:tcPr>
            <w:tcW w:w="1471"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促进水电及新能源健康发展,为建设清洁能源基地作出贡献</w:t>
            </w:r>
          </w:p>
        </w:tc>
      </w:tr>
      <w:tr>
        <w:tblPrEx>
          <w:tblCellMar>
            <w:top w:w="0" w:type="dxa"/>
            <w:left w:w="108" w:type="dxa"/>
            <w:bottom w:w="0" w:type="dxa"/>
            <w:right w:w="108" w:type="dxa"/>
          </w:tblCellMar>
        </w:tblPrEx>
        <w:trPr>
          <w:trHeight w:val="480" w:hRule="atLeast"/>
          <w:jc w:val="center"/>
        </w:trPr>
        <w:tc>
          <w:tcPr>
            <w:tcW w:w="360"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494" w:type="pct"/>
            <w:vMerge w:val="continue"/>
            <w:tcBorders>
              <w:left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p>
        </w:tc>
        <w:tc>
          <w:tcPr>
            <w:tcW w:w="63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生态效益指标</w:t>
            </w:r>
          </w:p>
        </w:tc>
        <w:tc>
          <w:tcPr>
            <w:tcW w:w="82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left"/>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碳排放量</w:t>
            </w:r>
          </w:p>
        </w:tc>
        <w:tc>
          <w:tcPr>
            <w:tcW w:w="1205"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无碳排放</w:t>
            </w:r>
          </w:p>
        </w:tc>
        <w:tc>
          <w:tcPr>
            <w:tcW w:w="1471"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无碳排放</w:t>
            </w:r>
          </w:p>
        </w:tc>
      </w:tr>
      <w:tr>
        <w:tblPrEx>
          <w:tblCellMar>
            <w:top w:w="0" w:type="dxa"/>
            <w:left w:w="108" w:type="dxa"/>
            <w:bottom w:w="0" w:type="dxa"/>
            <w:right w:w="108" w:type="dxa"/>
          </w:tblCellMar>
        </w:tblPrEx>
        <w:trPr>
          <w:trHeight w:val="480" w:hRule="atLeast"/>
          <w:jc w:val="center"/>
        </w:trPr>
        <w:tc>
          <w:tcPr>
            <w:tcW w:w="360"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494" w:type="pct"/>
            <w:vMerge w:val="continue"/>
            <w:tcBorders>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p>
        </w:tc>
        <w:tc>
          <w:tcPr>
            <w:tcW w:w="63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可持续影响指标</w:t>
            </w:r>
          </w:p>
        </w:tc>
        <w:tc>
          <w:tcPr>
            <w:tcW w:w="82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left"/>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质量终身制</w:t>
            </w:r>
          </w:p>
        </w:tc>
        <w:tc>
          <w:tcPr>
            <w:tcW w:w="1205"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left"/>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各责任主体质量负责终身制</w:t>
            </w:r>
          </w:p>
        </w:tc>
        <w:tc>
          <w:tcPr>
            <w:tcW w:w="1471"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left"/>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各责任主体质量负责终身制</w:t>
            </w:r>
          </w:p>
        </w:tc>
      </w:tr>
      <w:tr>
        <w:tblPrEx>
          <w:tblCellMar>
            <w:top w:w="0" w:type="dxa"/>
            <w:left w:w="108" w:type="dxa"/>
            <w:bottom w:w="0" w:type="dxa"/>
            <w:right w:w="108" w:type="dxa"/>
          </w:tblCellMar>
        </w:tblPrEx>
        <w:trPr>
          <w:trHeight w:val="670" w:hRule="atLeast"/>
          <w:jc w:val="center"/>
        </w:trPr>
        <w:tc>
          <w:tcPr>
            <w:tcW w:w="360"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494"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满意度</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63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满意度</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82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建设单位满意度</w:t>
            </w:r>
          </w:p>
        </w:tc>
        <w:tc>
          <w:tcPr>
            <w:tcW w:w="1205"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100%</w:t>
            </w:r>
          </w:p>
        </w:tc>
        <w:tc>
          <w:tcPr>
            <w:tcW w:w="1471"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100%</w:t>
            </w:r>
          </w:p>
        </w:tc>
      </w:tr>
    </w:tbl>
    <w:p>
      <w:pPr>
        <w:pageBreakBefore w:val="0"/>
        <w:widowControl/>
        <w:kinsoku/>
        <w:wordWrap/>
        <w:overflowPunct/>
        <w:topLinePunct w:val="0"/>
        <w:bidi w:val="0"/>
        <w:spacing w:line="560" w:lineRule="exact"/>
        <w:textAlignment w:val="top"/>
        <w:rPr>
          <w:rFonts w:hint="default" w:ascii="Times New Roman" w:hAnsi="Times New Roman" w:eastAsia="仿宋_GB2312" w:cs="Times New Roman"/>
          <w:color w:val="auto"/>
          <w:kern w:val="0"/>
          <w:szCs w:val="21"/>
        </w:rPr>
      </w:pPr>
    </w:p>
    <w:tbl>
      <w:tblPr>
        <w:tblStyle w:val="21"/>
        <w:tblpPr w:leftFromText="180" w:rightFromText="180" w:vertAnchor="text" w:horzAnchor="page" w:tblpXSpec="center" w:tblpY="213"/>
        <w:tblOverlap w:val="never"/>
        <w:tblW w:w="5192" w:type="pct"/>
        <w:jc w:val="center"/>
        <w:tblLayout w:type="fixed"/>
        <w:tblCellMar>
          <w:top w:w="0" w:type="dxa"/>
          <w:left w:w="108" w:type="dxa"/>
          <w:bottom w:w="0" w:type="dxa"/>
          <w:right w:w="108" w:type="dxa"/>
        </w:tblCellMar>
      </w:tblPr>
      <w:tblGrid>
        <w:gridCol w:w="663"/>
        <w:gridCol w:w="1196"/>
        <w:gridCol w:w="1340"/>
        <w:gridCol w:w="2579"/>
        <w:gridCol w:w="1635"/>
        <w:gridCol w:w="1997"/>
      </w:tblGrid>
      <w:tr>
        <w:tblPrEx>
          <w:tblCellMar>
            <w:top w:w="0" w:type="dxa"/>
            <w:left w:w="108" w:type="dxa"/>
            <w:bottom w:w="0" w:type="dxa"/>
            <w:right w:w="108" w:type="dxa"/>
          </w:tblCellMar>
        </w:tblPrEx>
        <w:trPr>
          <w:trHeight w:val="675" w:hRule="atLeast"/>
          <w:jc w:val="center"/>
        </w:trPr>
        <w:tc>
          <w:tcPr>
            <w:tcW w:w="5000" w:type="pct"/>
            <w:gridSpan w:val="6"/>
            <w:tcBorders>
              <w:top w:val="nil"/>
              <w:left w:val="nil"/>
              <w:bottom w:val="nil"/>
              <w:right w:val="nil"/>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方正小标宋简体" w:cs="Times New Roman"/>
                <w:bCs/>
                <w:color w:val="auto"/>
                <w:sz w:val="32"/>
                <w:szCs w:val="32"/>
              </w:rPr>
            </w:pPr>
            <w:r>
              <w:rPr>
                <w:rFonts w:hint="default" w:ascii="Times New Roman" w:hAnsi="Times New Roman" w:eastAsia="方正小标宋简体" w:cs="Times New Roman"/>
                <w:bCs/>
                <w:color w:val="auto"/>
                <w:sz w:val="28"/>
                <w:szCs w:val="28"/>
              </w:rPr>
              <w:t>2021年100万以上（含）特定目标类部门预算项目绩效目标自评</w:t>
            </w:r>
          </w:p>
          <w:p>
            <w:pPr>
              <w:pageBreakBefore w:val="0"/>
              <w:widowControl/>
              <w:kinsoku/>
              <w:wordWrap/>
              <w:overflowPunct/>
              <w:topLinePunct w:val="0"/>
              <w:bidi w:val="0"/>
              <w:spacing w:line="240" w:lineRule="auto"/>
              <w:jc w:val="center"/>
              <w:textAlignment w:val="center"/>
              <w:rPr>
                <w:rFonts w:hint="default" w:ascii="Times New Roman" w:hAnsi="Times New Roman" w:cs="Times New Roman"/>
                <w:b/>
                <w:color w:val="auto"/>
              </w:rPr>
            </w:pPr>
            <w:r>
              <w:rPr>
                <w:rFonts w:hint="default" w:ascii="Times New Roman" w:hAnsi="Times New Roman" w:eastAsia="仿宋_GB2312" w:cs="Times New Roman"/>
                <w:bCs/>
                <w:color w:val="auto"/>
                <w:sz w:val="28"/>
                <w:szCs w:val="28"/>
              </w:rPr>
              <w:t>〔</w:t>
            </w:r>
            <w:r>
              <w:rPr>
                <w:rFonts w:hint="default" w:ascii="Times New Roman" w:hAnsi="Times New Roman" w:eastAsia="方正小标宋简体" w:cs="Times New Roman"/>
                <w:bCs/>
                <w:color w:val="auto"/>
                <w:sz w:val="28"/>
                <w:szCs w:val="28"/>
              </w:rPr>
              <w:t>铁路路网和项目规划研究项目（上年结转）</w:t>
            </w:r>
            <w:r>
              <w:rPr>
                <w:rFonts w:hint="default" w:ascii="Times New Roman" w:hAnsi="Times New Roman" w:eastAsia="仿宋_GB2312" w:cs="Times New Roman"/>
                <w:bCs/>
                <w:color w:val="auto"/>
                <w:sz w:val="28"/>
                <w:szCs w:val="28"/>
              </w:rPr>
              <w:t>〕</w:t>
            </w:r>
          </w:p>
        </w:tc>
      </w:tr>
      <w:tr>
        <w:tblPrEx>
          <w:tblCellMar>
            <w:top w:w="0" w:type="dxa"/>
            <w:left w:w="108" w:type="dxa"/>
            <w:bottom w:w="0" w:type="dxa"/>
            <w:right w:w="108" w:type="dxa"/>
          </w:tblCellMar>
        </w:tblPrEx>
        <w:trPr>
          <w:trHeight w:val="254" w:hRule="atLeast"/>
          <w:jc w:val="center"/>
        </w:trPr>
        <w:tc>
          <w:tcPr>
            <w:tcW w:w="987" w:type="pct"/>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主管部门及代码</w:t>
            </w:r>
          </w:p>
        </w:tc>
        <w:tc>
          <w:tcPr>
            <w:tcW w:w="2082" w:type="pct"/>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303-四川省发展和改革委员会</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实施单位</w:t>
            </w:r>
          </w:p>
        </w:tc>
        <w:tc>
          <w:tcPr>
            <w:tcW w:w="106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四川省发展和改革委员会机关</w:t>
            </w:r>
          </w:p>
        </w:tc>
      </w:tr>
      <w:tr>
        <w:tblPrEx>
          <w:tblCellMar>
            <w:top w:w="0" w:type="dxa"/>
            <w:left w:w="108" w:type="dxa"/>
            <w:bottom w:w="0" w:type="dxa"/>
            <w:right w:w="108" w:type="dxa"/>
          </w:tblCellMar>
        </w:tblPrEx>
        <w:trPr>
          <w:trHeight w:val="341" w:hRule="atLeast"/>
          <w:jc w:val="center"/>
        </w:trPr>
        <w:tc>
          <w:tcPr>
            <w:tcW w:w="987" w:type="pct"/>
            <w:gridSpan w:val="2"/>
            <w:vMerge w:val="restar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项目预算</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执行情况</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（万元）</w:t>
            </w:r>
          </w:p>
        </w:tc>
        <w:tc>
          <w:tcPr>
            <w:tcW w:w="712"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lef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预算数：</w:t>
            </w:r>
          </w:p>
        </w:tc>
        <w:tc>
          <w:tcPr>
            <w:tcW w:w="137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237</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lef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 xml:space="preserve"> 执行数：</w:t>
            </w:r>
          </w:p>
        </w:tc>
        <w:tc>
          <w:tcPr>
            <w:tcW w:w="106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237</w:t>
            </w:r>
          </w:p>
        </w:tc>
      </w:tr>
      <w:tr>
        <w:tblPrEx>
          <w:tblCellMar>
            <w:top w:w="0" w:type="dxa"/>
            <w:left w:w="108" w:type="dxa"/>
            <w:bottom w:w="0" w:type="dxa"/>
            <w:right w:w="108" w:type="dxa"/>
          </w:tblCellMar>
        </w:tblPrEx>
        <w:trPr>
          <w:trHeight w:val="577" w:hRule="atLeast"/>
          <w:jc w:val="center"/>
        </w:trPr>
        <w:tc>
          <w:tcPr>
            <w:tcW w:w="987"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712"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left"/>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其中：</w:t>
            </w:r>
          </w:p>
          <w:p>
            <w:pPr>
              <w:pageBreakBefore w:val="0"/>
              <w:widowControl/>
              <w:kinsoku/>
              <w:wordWrap/>
              <w:overflowPunct/>
              <w:topLinePunct w:val="0"/>
              <w:bidi w:val="0"/>
              <w:spacing w:line="240" w:lineRule="auto"/>
              <w:jc w:val="lef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财政拨款</w:t>
            </w:r>
          </w:p>
        </w:tc>
        <w:tc>
          <w:tcPr>
            <w:tcW w:w="137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237</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left"/>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其中：</w:t>
            </w:r>
          </w:p>
          <w:p>
            <w:pPr>
              <w:pageBreakBefore w:val="0"/>
              <w:widowControl/>
              <w:kinsoku/>
              <w:wordWrap/>
              <w:overflowPunct/>
              <w:topLinePunct w:val="0"/>
              <w:bidi w:val="0"/>
              <w:spacing w:line="240" w:lineRule="auto"/>
              <w:jc w:val="lef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财政拨款</w:t>
            </w:r>
          </w:p>
        </w:tc>
        <w:tc>
          <w:tcPr>
            <w:tcW w:w="106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237</w:t>
            </w:r>
          </w:p>
        </w:tc>
      </w:tr>
      <w:tr>
        <w:tblPrEx>
          <w:tblCellMar>
            <w:top w:w="0" w:type="dxa"/>
            <w:left w:w="108" w:type="dxa"/>
            <w:bottom w:w="0" w:type="dxa"/>
            <w:right w:w="108" w:type="dxa"/>
          </w:tblCellMar>
        </w:tblPrEx>
        <w:trPr>
          <w:trHeight w:val="341" w:hRule="atLeast"/>
          <w:jc w:val="center"/>
        </w:trPr>
        <w:tc>
          <w:tcPr>
            <w:tcW w:w="987"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712"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lef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其他资金</w:t>
            </w:r>
          </w:p>
        </w:tc>
        <w:tc>
          <w:tcPr>
            <w:tcW w:w="137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left"/>
              <w:textAlignment w:val="center"/>
              <w:rPr>
                <w:rFonts w:hint="default" w:ascii="Times New Roman" w:hAnsi="Times New Roman" w:eastAsia="仿宋_GB2312" w:cs="Times New Roman"/>
                <w:color w:val="auto"/>
                <w:szCs w:val="21"/>
              </w:rPr>
            </w:pPr>
          </w:p>
        </w:tc>
        <w:tc>
          <w:tcPr>
            <w:tcW w:w="868"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lef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其他资金</w:t>
            </w:r>
          </w:p>
        </w:tc>
        <w:tc>
          <w:tcPr>
            <w:tcW w:w="106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p>
        </w:tc>
      </w:tr>
      <w:tr>
        <w:tblPrEx>
          <w:tblCellMar>
            <w:top w:w="0" w:type="dxa"/>
            <w:left w:w="108" w:type="dxa"/>
            <w:bottom w:w="0" w:type="dxa"/>
            <w:right w:w="108" w:type="dxa"/>
          </w:tblCellMar>
        </w:tblPrEx>
        <w:trPr>
          <w:trHeight w:val="217" w:hRule="atLeast"/>
          <w:jc w:val="center"/>
        </w:trPr>
        <w:tc>
          <w:tcPr>
            <w:tcW w:w="352" w:type="pct"/>
            <w:vMerge w:val="restar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年度总体目标完成情况</w:t>
            </w:r>
          </w:p>
        </w:tc>
        <w:tc>
          <w:tcPr>
            <w:tcW w:w="2717" w:type="pct"/>
            <w:gridSpan w:val="3"/>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预期目标</w:t>
            </w:r>
          </w:p>
        </w:tc>
        <w:tc>
          <w:tcPr>
            <w:tcW w:w="1929" w:type="pct"/>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目标实际完成情况</w:t>
            </w:r>
          </w:p>
        </w:tc>
      </w:tr>
      <w:tr>
        <w:tblPrEx>
          <w:tblCellMar>
            <w:top w:w="0" w:type="dxa"/>
            <w:left w:w="108" w:type="dxa"/>
            <w:bottom w:w="0" w:type="dxa"/>
            <w:right w:w="108" w:type="dxa"/>
          </w:tblCellMar>
        </w:tblPrEx>
        <w:trPr>
          <w:trHeight w:val="1903" w:hRule="atLeast"/>
          <w:jc w:val="center"/>
        </w:trPr>
        <w:tc>
          <w:tcPr>
            <w:tcW w:w="352" w:type="pct"/>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2717" w:type="pct"/>
            <w:gridSpan w:val="3"/>
            <w:tcBorders>
              <w:top w:val="single" w:color="000000" w:sz="4" w:space="0"/>
              <w:left w:val="single" w:color="000000" w:sz="4" w:space="0"/>
              <w:bottom w:val="single" w:color="000000" w:sz="4" w:space="0"/>
              <w:right w:val="single" w:color="000000" w:sz="4" w:space="0"/>
            </w:tcBorders>
            <w:noWrap/>
          </w:tcPr>
          <w:p>
            <w:pPr>
              <w:pageBreakBefore w:val="0"/>
              <w:widowControl/>
              <w:kinsoku/>
              <w:wordWrap/>
              <w:overflowPunct/>
              <w:topLinePunct w:val="0"/>
              <w:bidi w:val="0"/>
              <w:spacing w:line="240" w:lineRule="auto"/>
              <w:ind w:firstLine="420" w:firstLineChars="200"/>
              <w:jc w:val="left"/>
              <w:textAlignment w:val="top"/>
              <w:rPr>
                <w:rFonts w:hint="default" w:ascii="Times New Roman" w:hAnsi="Times New Roman" w:eastAsia="仿宋_GB2312" w:cs="Times New Roman"/>
                <w:color w:val="auto"/>
                <w:kern w:val="0"/>
                <w:szCs w:val="21"/>
              </w:rPr>
            </w:pPr>
          </w:p>
          <w:p>
            <w:pPr>
              <w:pageBreakBefore w:val="0"/>
              <w:widowControl/>
              <w:kinsoku/>
              <w:wordWrap/>
              <w:overflowPunct/>
              <w:topLinePunct w:val="0"/>
              <w:bidi w:val="0"/>
              <w:spacing w:line="240" w:lineRule="auto"/>
              <w:ind w:firstLine="420" w:firstLineChars="200"/>
              <w:jc w:val="left"/>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完成规划研究报告编制，提出四川省“十四五”铁路发展、成渝地区双城经济圈铁路网规划总体思路、发展目标和重点建设任务；提出遂宁至广安至黔江高铁、重庆至重庆铁路、珙县至叙永铁路建设必要性、功能定位和主要技术标准。</w:t>
            </w:r>
          </w:p>
        </w:tc>
        <w:tc>
          <w:tcPr>
            <w:tcW w:w="1929" w:type="pct"/>
            <w:gridSpan w:val="2"/>
            <w:tcBorders>
              <w:top w:val="single" w:color="000000" w:sz="4" w:space="0"/>
              <w:left w:val="single" w:color="000000" w:sz="4" w:space="0"/>
              <w:bottom w:val="single" w:color="000000" w:sz="4" w:space="0"/>
              <w:right w:val="single" w:color="000000" w:sz="4" w:space="0"/>
            </w:tcBorders>
            <w:noWrap/>
          </w:tcPr>
          <w:p>
            <w:pPr>
              <w:pageBreakBefore w:val="0"/>
              <w:widowControl/>
              <w:kinsoku/>
              <w:wordWrap/>
              <w:overflowPunct/>
              <w:topLinePunct w:val="0"/>
              <w:bidi w:val="0"/>
              <w:spacing w:line="240" w:lineRule="auto"/>
              <w:ind w:firstLine="420" w:firstLineChars="200"/>
              <w:jc w:val="left"/>
              <w:textAlignment w:val="top"/>
              <w:rPr>
                <w:rFonts w:hint="default" w:ascii="Times New Roman" w:hAnsi="Times New Roman" w:eastAsia="仿宋_GB2312" w:cs="Times New Roman"/>
                <w:color w:val="auto"/>
                <w:kern w:val="0"/>
                <w:szCs w:val="21"/>
              </w:rPr>
            </w:pPr>
          </w:p>
          <w:p>
            <w:pPr>
              <w:pageBreakBefore w:val="0"/>
              <w:widowControl/>
              <w:kinsoku/>
              <w:wordWrap/>
              <w:overflowPunct/>
              <w:topLinePunct w:val="0"/>
              <w:bidi w:val="0"/>
              <w:spacing w:line="240" w:lineRule="auto"/>
              <w:ind w:firstLine="420" w:firstLineChars="200"/>
              <w:jc w:val="left"/>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完成四川省“十四五”铁路发展、成渝地区双城经济圈铁路网、遂宁至广安至黔江高铁、重庆至重庆铁路、珙县至叙永铁路等5个规划研究报告编制。</w:t>
            </w:r>
          </w:p>
        </w:tc>
      </w:tr>
      <w:tr>
        <w:tblPrEx>
          <w:tblCellMar>
            <w:top w:w="0" w:type="dxa"/>
            <w:left w:w="108" w:type="dxa"/>
            <w:bottom w:w="0" w:type="dxa"/>
            <w:right w:w="108" w:type="dxa"/>
          </w:tblCellMar>
        </w:tblPrEx>
        <w:trPr>
          <w:trHeight w:val="618" w:hRule="atLeast"/>
          <w:jc w:val="center"/>
        </w:trPr>
        <w:tc>
          <w:tcPr>
            <w:tcW w:w="352" w:type="pct"/>
            <w:vMerge w:val="restart"/>
            <w:tcBorders>
              <w:top w:val="single" w:color="000000" w:sz="4" w:space="0"/>
              <w:left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年度绩效指标完成情况</w:t>
            </w:r>
          </w:p>
        </w:tc>
        <w:tc>
          <w:tcPr>
            <w:tcW w:w="635" w:type="pct"/>
            <w:tcBorders>
              <w:top w:val="single" w:color="000000" w:sz="4" w:space="0"/>
              <w:left w:val="nil"/>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一级</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712"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二级</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137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三级</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预期指标值</w:t>
            </w:r>
          </w:p>
        </w:tc>
        <w:tc>
          <w:tcPr>
            <w:tcW w:w="106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实际完成指标值</w:t>
            </w:r>
          </w:p>
        </w:tc>
      </w:tr>
      <w:tr>
        <w:tblPrEx>
          <w:tblCellMar>
            <w:top w:w="0" w:type="dxa"/>
            <w:left w:w="108" w:type="dxa"/>
            <w:bottom w:w="0" w:type="dxa"/>
            <w:right w:w="108" w:type="dxa"/>
          </w:tblCellMar>
        </w:tblPrEx>
        <w:trPr>
          <w:trHeight w:val="480" w:hRule="atLeast"/>
          <w:jc w:val="center"/>
        </w:trPr>
        <w:tc>
          <w:tcPr>
            <w:tcW w:w="352" w:type="pct"/>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35" w:type="pct"/>
            <w:vMerge w:val="restar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完成</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712"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数量指标</w:t>
            </w:r>
          </w:p>
        </w:tc>
        <w:tc>
          <w:tcPr>
            <w:tcW w:w="137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完成规划研究报告编制个数</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5</w:t>
            </w:r>
          </w:p>
        </w:tc>
        <w:tc>
          <w:tcPr>
            <w:tcW w:w="106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5</w:t>
            </w:r>
          </w:p>
        </w:tc>
      </w:tr>
      <w:tr>
        <w:tblPrEx>
          <w:tblCellMar>
            <w:top w:w="0" w:type="dxa"/>
            <w:left w:w="108" w:type="dxa"/>
            <w:bottom w:w="0" w:type="dxa"/>
            <w:right w:w="108" w:type="dxa"/>
          </w:tblCellMar>
        </w:tblPrEx>
        <w:trPr>
          <w:trHeight w:val="480" w:hRule="atLeast"/>
          <w:jc w:val="center"/>
        </w:trPr>
        <w:tc>
          <w:tcPr>
            <w:tcW w:w="352" w:type="pct"/>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35" w:type="pct"/>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712"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质量指标</w:t>
            </w:r>
          </w:p>
        </w:tc>
        <w:tc>
          <w:tcPr>
            <w:tcW w:w="137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规划研究报告通过专家评审</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通过</w:t>
            </w:r>
          </w:p>
        </w:tc>
        <w:tc>
          <w:tcPr>
            <w:tcW w:w="106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通过</w:t>
            </w:r>
          </w:p>
        </w:tc>
      </w:tr>
      <w:tr>
        <w:tblPrEx>
          <w:tblCellMar>
            <w:top w:w="0" w:type="dxa"/>
            <w:left w:w="108" w:type="dxa"/>
            <w:bottom w:w="0" w:type="dxa"/>
            <w:right w:w="108" w:type="dxa"/>
          </w:tblCellMar>
        </w:tblPrEx>
        <w:trPr>
          <w:trHeight w:val="480" w:hRule="atLeast"/>
          <w:jc w:val="center"/>
        </w:trPr>
        <w:tc>
          <w:tcPr>
            <w:tcW w:w="352" w:type="pct"/>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35" w:type="pct"/>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712"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时效指标</w:t>
            </w:r>
          </w:p>
        </w:tc>
        <w:tc>
          <w:tcPr>
            <w:tcW w:w="137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2020年底前</w:t>
            </w:r>
          </w:p>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完成</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2020年底前完成</w:t>
            </w:r>
          </w:p>
        </w:tc>
        <w:tc>
          <w:tcPr>
            <w:tcW w:w="106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已完成</w:t>
            </w:r>
          </w:p>
        </w:tc>
      </w:tr>
      <w:tr>
        <w:tblPrEx>
          <w:tblCellMar>
            <w:top w:w="0" w:type="dxa"/>
            <w:left w:w="108" w:type="dxa"/>
            <w:bottom w:w="0" w:type="dxa"/>
            <w:right w:w="108" w:type="dxa"/>
          </w:tblCellMar>
        </w:tblPrEx>
        <w:trPr>
          <w:trHeight w:val="1060" w:hRule="atLeast"/>
          <w:jc w:val="center"/>
        </w:trPr>
        <w:tc>
          <w:tcPr>
            <w:tcW w:w="352" w:type="pct"/>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35" w:type="pct"/>
            <w:vMerge w:val="restar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效益</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712"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社会效益</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137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助推项目沿线地方经济社会加快发展</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助推项目沿线地方经济社会加快发展</w:t>
            </w:r>
          </w:p>
        </w:tc>
        <w:tc>
          <w:tcPr>
            <w:tcW w:w="106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对指导项目前期工作，助推沿线地方经济社会发展具有较强指导意义</w:t>
            </w:r>
          </w:p>
        </w:tc>
      </w:tr>
      <w:tr>
        <w:tblPrEx>
          <w:tblCellMar>
            <w:top w:w="0" w:type="dxa"/>
            <w:left w:w="108" w:type="dxa"/>
            <w:bottom w:w="0" w:type="dxa"/>
            <w:right w:w="108" w:type="dxa"/>
          </w:tblCellMar>
        </w:tblPrEx>
        <w:trPr>
          <w:trHeight w:val="1045" w:hRule="atLeast"/>
          <w:jc w:val="center"/>
        </w:trPr>
        <w:tc>
          <w:tcPr>
            <w:tcW w:w="352" w:type="pct"/>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35" w:type="pct"/>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712"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可持续影响</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指标</w:t>
            </w:r>
          </w:p>
        </w:tc>
        <w:tc>
          <w:tcPr>
            <w:tcW w:w="137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推动省“十四五”期铁路建设接续发展</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推动省“十四五”期铁路建设接续发展</w:t>
            </w:r>
          </w:p>
        </w:tc>
        <w:tc>
          <w:tcPr>
            <w:tcW w:w="106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对推动省“十四五”期铁路建设接续发展具有较强指导意义</w:t>
            </w:r>
          </w:p>
        </w:tc>
      </w:tr>
      <w:tr>
        <w:tblPrEx>
          <w:tblCellMar>
            <w:top w:w="0" w:type="dxa"/>
            <w:left w:w="108" w:type="dxa"/>
            <w:bottom w:w="0" w:type="dxa"/>
            <w:right w:w="108" w:type="dxa"/>
          </w:tblCellMar>
        </w:tblPrEx>
        <w:trPr>
          <w:trHeight w:val="480" w:hRule="atLeast"/>
          <w:jc w:val="center"/>
        </w:trPr>
        <w:tc>
          <w:tcPr>
            <w:tcW w:w="352" w:type="pct"/>
            <w:vMerge w:val="continue"/>
            <w:tcBorders>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3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满意度指标</w:t>
            </w:r>
          </w:p>
        </w:tc>
        <w:tc>
          <w:tcPr>
            <w:tcW w:w="712"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满意度</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137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100%</w:t>
            </w:r>
          </w:p>
        </w:tc>
        <w:tc>
          <w:tcPr>
            <w:tcW w:w="868"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100%</w:t>
            </w:r>
          </w:p>
        </w:tc>
        <w:tc>
          <w:tcPr>
            <w:tcW w:w="106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100%</w:t>
            </w:r>
          </w:p>
        </w:tc>
      </w:tr>
    </w:tbl>
    <w:p>
      <w:pPr>
        <w:rPr>
          <w:rFonts w:hint="default" w:ascii="Times New Roman" w:hAnsi="Times New Roman" w:cs="Times New Roman"/>
          <w:color w:val="auto"/>
        </w:rPr>
      </w:pPr>
    </w:p>
    <w:p>
      <w:pPr>
        <w:pStyle w:val="7"/>
        <w:rPr>
          <w:rFonts w:hint="default" w:ascii="Times New Roman" w:hAnsi="Times New Roman" w:cs="Times New Roman"/>
          <w:color w:val="auto"/>
        </w:rPr>
      </w:pPr>
    </w:p>
    <w:tbl>
      <w:tblPr>
        <w:tblStyle w:val="21"/>
        <w:tblpPr w:leftFromText="180" w:rightFromText="180" w:vertAnchor="text" w:horzAnchor="page" w:tblpXSpec="center" w:tblpY="1"/>
        <w:tblOverlap w:val="never"/>
        <w:tblW w:w="5198" w:type="pct"/>
        <w:jc w:val="center"/>
        <w:tblLayout w:type="fixed"/>
        <w:tblCellMar>
          <w:top w:w="0" w:type="dxa"/>
          <w:left w:w="108" w:type="dxa"/>
          <w:bottom w:w="0" w:type="dxa"/>
          <w:right w:w="108" w:type="dxa"/>
        </w:tblCellMar>
      </w:tblPr>
      <w:tblGrid>
        <w:gridCol w:w="663"/>
        <w:gridCol w:w="1240"/>
        <w:gridCol w:w="1494"/>
        <w:gridCol w:w="2448"/>
        <w:gridCol w:w="1583"/>
        <w:gridCol w:w="1992"/>
      </w:tblGrid>
      <w:tr>
        <w:tblPrEx>
          <w:tblCellMar>
            <w:top w:w="0" w:type="dxa"/>
            <w:left w:w="108" w:type="dxa"/>
            <w:bottom w:w="0" w:type="dxa"/>
            <w:right w:w="108" w:type="dxa"/>
          </w:tblCellMar>
        </w:tblPrEx>
        <w:trPr>
          <w:trHeight w:val="1130" w:hRule="atLeast"/>
          <w:jc w:val="center"/>
        </w:trPr>
        <w:tc>
          <w:tcPr>
            <w:tcW w:w="5000" w:type="pct"/>
            <w:gridSpan w:val="6"/>
            <w:tcBorders>
              <w:top w:val="nil"/>
              <w:left w:val="nil"/>
              <w:bottom w:val="nil"/>
              <w:right w:val="nil"/>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方正小标宋简体" w:cs="Times New Roman"/>
                <w:bCs/>
                <w:color w:val="auto"/>
                <w:sz w:val="32"/>
                <w:szCs w:val="32"/>
              </w:rPr>
            </w:pPr>
            <w:r>
              <w:rPr>
                <w:rFonts w:hint="default" w:ascii="Times New Roman" w:hAnsi="Times New Roman" w:eastAsia="方正小标宋简体" w:cs="Times New Roman"/>
                <w:bCs/>
                <w:color w:val="auto"/>
                <w:sz w:val="28"/>
                <w:szCs w:val="28"/>
              </w:rPr>
              <w:t>2021年100万以上（含）特定目标类部门预算项目绩效目标自评</w:t>
            </w:r>
          </w:p>
          <w:p>
            <w:pPr>
              <w:pageBreakBefore w:val="0"/>
              <w:widowControl/>
              <w:kinsoku/>
              <w:wordWrap/>
              <w:overflowPunct/>
              <w:topLinePunct w:val="0"/>
              <w:bidi w:val="0"/>
              <w:spacing w:line="240" w:lineRule="auto"/>
              <w:jc w:val="center"/>
              <w:textAlignment w:val="center"/>
              <w:rPr>
                <w:rFonts w:hint="default" w:ascii="Times New Roman" w:hAnsi="Times New Roman" w:cs="Times New Roman"/>
                <w:b/>
                <w:color w:val="auto"/>
                <w:sz w:val="32"/>
                <w:szCs w:val="32"/>
              </w:rPr>
            </w:pPr>
            <w:r>
              <w:rPr>
                <w:rFonts w:hint="default" w:ascii="Times New Roman" w:hAnsi="Times New Roman" w:eastAsia="仿宋_GB2312" w:cs="Times New Roman"/>
                <w:bCs/>
                <w:color w:val="auto"/>
                <w:sz w:val="28"/>
                <w:szCs w:val="28"/>
              </w:rPr>
              <w:t>〔</w:t>
            </w:r>
            <w:r>
              <w:rPr>
                <w:rFonts w:hint="default" w:ascii="Times New Roman" w:hAnsi="Times New Roman" w:eastAsia="方正小标宋简体" w:cs="Times New Roman"/>
                <w:bCs/>
                <w:color w:val="auto"/>
                <w:sz w:val="28"/>
                <w:szCs w:val="28"/>
              </w:rPr>
              <w:t>四川省营商环境评价项目（上年结转）</w:t>
            </w:r>
            <w:r>
              <w:rPr>
                <w:rFonts w:hint="default" w:ascii="Times New Roman" w:hAnsi="Times New Roman" w:eastAsia="仿宋_GB2312" w:cs="Times New Roman"/>
                <w:bCs/>
                <w:color w:val="auto"/>
                <w:sz w:val="28"/>
                <w:szCs w:val="28"/>
              </w:rPr>
              <w:t>〕</w:t>
            </w:r>
          </w:p>
        </w:tc>
      </w:tr>
      <w:tr>
        <w:tblPrEx>
          <w:tblCellMar>
            <w:top w:w="0" w:type="dxa"/>
            <w:left w:w="108" w:type="dxa"/>
            <w:bottom w:w="0" w:type="dxa"/>
            <w:right w:w="108" w:type="dxa"/>
          </w:tblCellMar>
        </w:tblPrEx>
        <w:trPr>
          <w:trHeight w:val="574" w:hRule="atLeast"/>
          <w:jc w:val="center"/>
        </w:trPr>
        <w:tc>
          <w:tcPr>
            <w:tcW w:w="1010" w:type="pct"/>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主管部门及代码</w:t>
            </w:r>
          </w:p>
        </w:tc>
        <w:tc>
          <w:tcPr>
            <w:tcW w:w="2092" w:type="pct"/>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303-四川省发展和改革委员会</w:t>
            </w:r>
          </w:p>
        </w:tc>
        <w:tc>
          <w:tcPr>
            <w:tcW w:w="84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实施单位</w:t>
            </w:r>
          </w:p>
        </w:tc>
        <w:tc>
          <w:tcPr>
            <w:tcW w:w="1057"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四川省发展和改革委员会机关</w:t>
            </w:r>
          </w:p>
        </w:tc>
      </w:tr>
      <w:tr>
        <w:tblPrEx>
          <w:tblCellMar>
            <w:top w:w="0" w:type="dxa"/>
            <w:left w:w="108" w:type="dxa"/>
            <w:bottom w:w="0" w:type="dxa"/>
            <w:right w:w="108" w:type="dxa"/>
          </w:tblCellMar>
        </w:tblPrEx>
        <w:trPr>
          <w:trHeight w:val="318" w:hRule="atLeast"/>
          <w:jc w:val="center"/>
        </w:trPr>
        <w:tc>
          <w:tcPr>
            <w:tcW w:w="1010" w:type="pct"/>
            <w:gridSpan w:val="2"/>
            <w:vMerge w:val="restar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项目预算</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执行情况</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（万元）</w:t>
            </w:r>
          </w:p>
        </w:tc>
        <w:tc>
          <w:tcPr>
            <w:tcW w:w="792"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lef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预算数：</w:t>
            </w:r>
          </w:p>
        </w:tc>
        <w:tc>
          <w:tcPr>
            <w:tcW w:w="129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150</w:t>
            </w:r>
          </w:p>
        </w:tc>
        <w:tc>
          <w:tcPr>
            <w:tcW w:w="84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lef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 xml:space="preserve"> 执行数：</w:t>
            </w:r>
          </w:p>
        </w:tc>
        <w:tc>
          <w:tcPr>
            <w:tcW w:w="1057"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146</w:t>
            </w:r>
          </w:p>
        </w:tc>
      </w:tr>
      <w:tr>
        <w:tblPrEx>
          <w:tblCellMar>
            <w:top w:w="0" w:type="dxa"/>
            <w:left w:w="108" w:type="dxa"/>
            <w:bottom w:w="0" w:type="dxa"/>
            <w:right w:w="108" w:type="dxa"/>
          </w:tblCellMar>
        </w:tblPrEx>
        <w:trPr>
          <w:trHeight w:val="574" w:hRule="atLeast"/>
          <w:jc w:val="center"/>
        </w:trPr>
        <w:tc>
          <w:tcPr>
            <w:tcW w:w="1010"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792"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left"/>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其中：</w:t>
            </w:r>
          </w:p>
          <w:p>
            <w:pPr>
              <w:pageBreakBefore w:val="0"/>
              <w:widowControl/>
              <w:kinsoku/>
              <w:wordWrap/>
              <w:overflowPunct/>
              <w:topLinePunct w:val="0"/>
              <w:bidi w:val="0"/>
              <w:spacing w:line="240" w:lineRule="auto"/>
              <w:jc w:val="lef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财政拨款</w:t>
            </w:r>
          </w:p>
        </w:tc>
        <w:tc>
          <w:tcPr>
            <w:tcW w:w="129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150</w:t>
            </w:r>
          </w:p>
        </w:tc>
        <w:tc>
          <w:tcPr>
            <w:tcW w:w="84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left"/>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其中：</w:t>
            </w:r>
          </w:p>
          <w:p>
            <w:pPr>
              <w:pageBreakBefore w:val="0"/>
              <w:widowControl/>
              <w:kinsoku/>
              <w:wordWrap/>
              <w:overflowPunct/>
              <w:topLinePunct w:val="0"/>
              <w:bidi w:val="0"/>
              <w:spacing w:line="240" w:lineRule="auto"/>
              <w:jc w:val="lef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财政拨款</w:t>
            </w:r>
          </w:p>
        </w:tc>
        <w:tc>
          <w:tcPr>
            <w:tcW w:w="1057"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146</w:t>
            </w:r>
          </w:p>
        </w:tc>
      </w:tr>
      <w:tr>
        <w:tblPrEx>
          <w:tblCellMar>
            <w:top w:w="0" w:type="dxa"/>
            <w:left w:w="108" w:type="dxa"/>
            <w:bottom w:w="0" w:type="dxa"/>
            <w:right w:w="108" w:type="dxa"/>
          </w:tblCellMar>
        </w:tblPrEx>
        <w:trPr>
          <w:trHeight w:val="318" w:hRule="atLeast"/>
          <w:jc w:val="center"/>
        </w:trPr>
        <w:tc>
          <w:tcPr>
            <w:tcW w:w="1010"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792"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lef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其他资金</w:t>
            </w:r>
          </w:p>
        </w:tc>
        <w:tc>
          <w:tcPr>
            <w:tcW w:w="129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left"/>
              <w:textAlignment w:val="center"/>
              <w:rPr>
                <w:rFonts w:hint="default" w:ascii="Times New Roman" w:hAnsi="Times New Roman" w:eastAsia="仿宋_GB2312" w:cs="Times New Roman"/>
                <w:color w:val="auto"/>
                <w:szCs w:val="21"/>
              </w:rPr>
            </w:pPr>
          </w:p>
        </w:tc>
        <w:tc>
          <w:tcPr>
            <w:tcW w:w="84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lef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其他资金</w:t>
            </w:r>
          </w:p>
        </w:tc>
        <w:tc>
          <w:tcPr>
            <w:tcW w:w="1057"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p>
        </w:tc>
      </w:tr>
      <w:tr>
        <w:tblPrEx>
          <w:tblCellMar>
            <w:top w:w="0" w:type="dxa"/>
            <w:left w:w="108" w:type="dxa"/>
            <w:bottom w:w="0" w:type="dxa"/>
            <w:right w:w="108" w:type="dxa"/>
          </w:tblCellMar>
        </w:tblPrEx>
        <w:trPr>
          <w:trHeight w:val="292" w:hRule="atLeast"/>
          <w:jc w:val="center"/>
        </w:trPr>
        <w:tc>
          <w:tcPr>
            <w:tcW w:w="351" w:type="pct"/>
            <w:vMerge w:val="restar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年度总体目标完成情况</w:t>
            </w:r>
          </w:p>
        </w:tc>
        <w:tc>
          <w:tcPr>
            <w:tcW w:w="2750" w:type="pct"/>
            <w:gridSpan w:val="3"/>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预期目标</w:t>
            </w:r>
          </w:p>
        </w:tc>
        <w:tc>
          <w:tcPr>
            <w:tcW w:w="1897" w:type="pct"/>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目标实际完成情况</w:t>
            </w:r>
          </w:p>
        </w:tc>
      </w:tr>
      <w:tr>
        <w:tblPrEx>
          <w:tblCellMar>
            <w:top w:w="0" w:type="dxa"/>
            <w:left w:w="108" w:type="dxa"/>
            <w:bottom w:w="0" w:type="dxa"/>
            <w:right w:w="108" w:type="dxa"/>
          </w:tblCellMar>
        </w:tblPrEx>
        <w:trPr>
          <w:trHeight w:val="2269" w:hRule="atLeast"/>
          <w:jc w:val="center"/>
        </w:trPr>
        <w:tc>
          <w:tcPr>
            <w:tcW w:w="351" w:type="pct"/>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2750" w:type="pct"/>
            <w:gridSpan w:val="3"/>
            <w:tcBorders>
              <w:top w:val="single" w:color="000000" w:sz="4" w:space="0"/>
              <w:left w:val="single" w:color="000000" w:sz="4" w:space="0"/>
              <w:bottom w:val="single" w:color="000000" w:sz="4" w:space="0"/>
              <w:right w:val="single" w:color="000000" w:sz="4" w:space="0"/>
            </w:tcBorders>
            <w:noWrap/>
          </w:tcPr>
          <w:p>
            <w:pPr>
              <w:pageBreakBefore w:val="0"/>
              <w:widowControl/>
              <w:kinsoku/>
              <w:wordWrap/>
              <w:overflowPunct/>
              <w:topLinePunct w:val="0"/>
              <w:bidi w:val="0"/>
              <w:spacing w:line="240" w:lineRule="auto"/>
              <w:ind w:firstLine="420" w:firstLineChars="200"/>
              <w:jc w:val="left"/>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开展营商环境评价，“以评促改、以评促优、辅评结合”推动形成市（州）间竞相优化营商环境的良好氛围，更好地聚焦市场需求、改善监管服务、激发主体活力，打造具有示范效应的营商环境高地，为市场主体投资兴业营造稳定、公平、透明、可预期的法治化、国际化、便利化营商环境。同时，为四川省高质量发展综合绩效评价“营商便利度”指标提供评价依据，推动四川经济社会高质量发展。</w:t>
            </w:r>
          </w:p>
        </w:tc>
        <w:tc>
          <w:tcPr>
            <w:tcW w:w="1897" w:type="pct"/>
            <w:gridSpan w:val="2"/>
            <w:tcBorders>
              <w:top w:val="single" w:color="000000" w:sz="4" w:space="0"/>
              <w:left w:val="single" w:color="000000" w:sz="4" w:space="0"/>
              <w:bottom w:val="single" w:color="000000" w:sz="4" w:space="0"/>
              <w:right w:val="single" w:color="000000" w:sz="4" w:space="0"/>
            </w:tcBorders>
            <w:noWrap/>
          </w:tcPr>
          <w:p>
            <w:pPr>
              <w:pageBreakBefore w:val="0"/>
              <w:widowControl/>
              <w:kinsoku/>
              <w:wordWrap/>
              <w:overflowPunct/>
              <w:topLinePunct w:val="0"/>
              <w:bidi w:val="0"/>
              <w:spacing w:line="240" w:lineRule="auto"/>
              <w:ind w:firstLine="420" w:firstLineChars="200"/>
              <w:jc w:val="left"/>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完成营商环境评价，形成《四川省营商环境评价报告（2020年度）》《2020年四川省营商环境评价指标分册报告》，年度报告报送省政府通过。其他相关资料送市州政府，为各地优化营商环境提供决策依据。</w:t>
            </w:r>
          </w:p>
        </w:tc>
      </w:tr>
      <w:tr>
        <w:tblPrEx>
          <w:tblCellMar>
            <w:top w:w="0" w:type="dxa"/>
            <w:left w:w="108" w:type="dxa"/>
            <w:bottom w:w="0" w:type="dxa"/>
            <w:right w:w="108" w:type="dxa"/>
          </w:tblCellMar>
        </w:tblPrEx>
        <w:trPr>
          <w:trHeight w:val="574" w:hRule="atLeast"/>
          <w:jc w:val="center"/>
        </w:trPr>
        <w:tc>
          <w:tcPr>
            <w:tcW w:w="351" w:type="pct"/>
            <w:vMerge w:val="restart"/>
            <w:tcBorders>
              <w:top w:val="single" w:color="000000" w:sz="4" w:space="0"/>
              <w:left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年度绩效指标完成情况</w:t>
            </w:r>
          </w:p>
        </w:tc>
        <w:tc>
          <w:tcPr>
            <w:tcW w:w="658" w:type="pct"/>
            <w:tcBorders>
              <w:top w:val="single" w:color="000000" w:sz="4" w:space="0"/>
              <w:left w:val="nil"/>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一级</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792"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二级</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129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三级</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84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预期指标值</w:t>
            </w:r>
          </w:p>
        </w:tc>
        <w:tc>
          <w:tcPr>
            <w:tcW w:w="1057"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实际完成指标值</w:t>
            </w:r>
          </w:p>
        </w:tc>
      </w:tr>
      <w:tr>
        <w:tblPrEx>
          <w:tblCellMar>
            <w:top w:w="0" w:type="dxa"/>
            <w:left w:w="108" w:type="dxa"/>
            <w:bottom w:w="0" w:type="dxa"/>
            <w:right w:w="108" w:type="dxa"/>
          </w:tblCellMar>
        </w:tblPrEx>
        <w:trPr>
          <w:trHeight w:val="1987" w:hRule="atLeast"/>
          <w:jc w:val="center"/>
        </w:trPr>
        <w:tc>
          <w:tcPr>
            <w:tcW w:w="351" w:type="pct"/>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58" w:type="pct"/>
            <w:vMerge w:val="restart"/>
            <w:tcBorders>
              <w:top w:val="single" w:color="000000" w:sz="4" w:space="0"/>
              <w:left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完成</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792"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数量指标</w:t>
            </w:r>
          </w:p>
        </w:tc>
        <w:tc>
          <w:tcPr>
            <w:tcW w:w="129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形成《四川省营商环境评价报告（2020年度）》《2020年四川省营商环境评价指标分册报告》</w:t>
            </w:r>
          </w:p>
        </w:tc>
        <w:tc>
          <w:tcPr>
            <w:tcW w:w="84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xml:space="preserve"> 形成《四川省营商环境评价报告（2020年度）》《2020年四川省营商环境评价指标分册报告》</w:t>
            </w:r>
          </w:p>
        </w:tc>
        <w:tc>
          <w:tcPr>
            <w:tcW w:w="1057"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形成《四川省营商环境评价报告（2020年度）》《2020年四川省营商环境评价指标分册报告》</w:t>
            </w:r>
          </w:p>
        </w:tc>
      </w:tr>
      <w:tr>
        <w:tblPrEx>
          <w:tblCellMar>
            <w:top w:w="0" w:type="dxa"/>
            <w:left w:w="108" w:type="dxa"/>
            <w:bottom w:w="0" w:type="dxa"/>
            <w:right w:w="108" w:type="dxa"/>
          </w:tblCellMar>
        </w:tblPrEx>
        <w:trPr>
          <w:trHeight w:val="444" w:hRule="atLeast"/>
          <w:jc w:val="center"/>
        </w:trPr>
        <w:tc>
          <w:tcPr>
            <w:tcW w:w="351" w:type="pct"/>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58" w:type="pct"/>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792"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质量指标</w:t>
            </w:r>
          </w:p>
        </w:tc>
        <w:tc>
          <w:tcPr>
            <w:tcW w:w="129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xml:space="preserve">通过专家评审 </w:t>
            </w:r>
          </w:p>
        </w:tc>
        <w:tc>
          <w:tcPr>
            <w:tcW w:w="84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xml:space="preserve"> 通过专家评审</w:t>
            </w:r>
          </w:p>
        </w:tc>
        <w:tc>
          <w:tcPr>
            <w:tcW w:w="1057"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xml:space="preserve">通过专家评审 </w:t>
            </w:r>
          </w:p>
        </w:tc>
      </w:tr>
      <w:tr>
        <w:tblPrEx>
          <w:tblCellMar>
            <w:top w:w="0" w:type="dxa"/>
            <w:left w:w="108" w:type="dxa"/>
            <w:bottom w:w="0" w:type="dxa"/>
            <w:right w:w="108" w:type="dxa"/>
          </w:tblCellMar>
        </w:tblPrEx>
        <w:trPr>
          <w:trHeight w:val="574" w:hRule="atLeast"/>
          <w:jc w:val="center"/>
        </w:trPr>
        <w:tc>
          <w:tcPr>
            <w:tcW w:w="351" w:type="pct"/>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58" w:type="pct"/>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792"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时效指标</w:t>
            </w:r>
          </w:p>
        </w:tc>
        <w:tc>
          <w:tcPr>
            <w:tcW w:w="129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按计划时间完成评价</w:t>
            </w:r>
          </w:p>
        </w:tc>
        <w:tc>
          <w:tcPr>
            <w:tcW w:w="84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xml:space="preserve">2021年3月报送省政府 </w:t>
            </w:r>
          </w:p>
        </w:tc>
        <w:tc>
          <w:tcPr>
            <w:tcW w:w="1057"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xml:space="preserve">2021年3月报送省政府 </w:t>
            </w:r>
          </w:p>
        </w:tc>
      </w:tr>
      <w:tr>
        <w:tblPrEx>
          <w:tblCellMar>
            <w:top w:w="0" w:type="dxa"/>
            <w:left w:w="108" w:type="dxa"/>
            <w:bottom w:w="0" w:type="dxa"/>
            <w:right w:w="108" w:type="dxa"/>
          </w:tblCellMar>
        </w:tblPrEx>
        <w:trPr>
          <w:trHeight w:val="574" w:hRule="atLeast"/>
          <w:jc w:val="center"/>
        </w:trPr>
        <w:tc>
          <w:tcPr>
            <w:tcW w:w="351" w:type="pct"/>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58" w:type="pct"/>
            <w:vMerge w:val="continue"/>
            <w:tcBorders>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p>
        </w:tc>
        <w:tc>
          <w:tcPr>
            <w:tcW w:w="792"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成本指标</w:t>
            </w:r>
          </w:p>
        </w:tc>
        <w:tc>
          <w:tcPr>
            <w:tcW w:w="129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xml:space="preserve">控制在150万元以内 </w:t>
            </w:r>
          </w:p>
        </w:tc>
        <w:tc>
          <w:tcPr>
            <w:tcW w:w="84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xml:space="preserve"> 控制在150万元以内 </w:t>
            </w:r>
          </w:p>
        </w:tc>
        <w:tc>
          <w:tcPr>
            <w:tcW w:w="1057"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xml:space="preserve">146万 </w:t>
            </w:r>
          </w:p>
        </w:tc>
      </w:tr>
      <w:tr>
        <w:tblPrEx>
          <w:tblCellMar>
            <w:top w:w="0" w:type="dxa"/>
            <w:left w:w="108" w:type="dxa"/>
            <w:bottom w:w="0" w:type="dxa"/>
            <w:right w:w="108" w:type="dxa"/>
          </w:tblCellMar>
        </w:tblPrEx>
        <w:trPr>
          <w:trHeight w:val="857" w:hRule="atLeast"/>
          <w:jc w:val="center"/>
        </w:trPr>
        <w:tc>
          <w:tcPr>
            <w:tcW w:w="351" w:type="pct"/>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58" w:type="pct"/>
            <w:vMerge w:val="restar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效益</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792"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社会效益</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指标</w:t>
            </w:r>
          </w:p>
        </w:tc>
        <w:tc>
          <w:tcPr>
            <w:tcW w:w="129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xml:space="preserve">促进地方经济社会高质量发展 </w:t>
            </w:r>
          </w:p>
        </w:tc>
        <w:tc>
          <w:tcPr>
            <w:tcW w:w="84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促进地方经济社会高质量发展</w:t>
            </w:r>
          </w:p>
        </w:tc>
        <w:tc>
          <w:tcPr>
            <w:tcW w:w="1057"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xml:space="preserve"> 促进地方经济社会高质量发展</w:t>
            </w:r>
          </w:p>
        </w:tc>
      </w:tr>
      <w:tr>
        <w:tblPrEx>
          <w:tblCellMar>
            <w:top w:w="0" w:type="dxa"/>
            <w:left w:w="108" w:type="dxa"/>
            <w:bottom w:w="0" w:type="dxa"/>
            <w:right w:w="108" w:type="dxa"/>
          </w:tblCellMar>
        </w:tblPrEx>
        <w:trPr>
          <w:trHeight w:val="857" w:hRule="atLeast"/>
          <w:jc w:val="center"/>
        </w:trPr>
        <w:tc>
          <w:tcPr>
            <w:tcW w:w="351" w:type="pct"/>
            <w:vMerge w:val="continue"/>
            <w:tcBorders>
              <w:left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58" w:type="pct"/>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792"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可持续影响指标</w:t>
            </w:r>
          </w:p>
        </w:tc>
        <w:tc>
          <w:tcPr>
            <w:tcW w:w="129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xml:space="preserve">推动全省营商环境建设再上新台阶 </w:t>
            </w:r>
          </w:p>
        </w:tc>
        <w:tc>
          <w:tcPr>
            <w:tcW w:w="84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xml:space="preserve">推动全省营商环境建设再上新台阶 </w:t>
            </w:r>
          </w:p>
        </w:tc>
        <w:tc>
          <w:tcPr>
            <w:tcW w:w="1057"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xml:space="preserve">推动全省营商环境建设再上新台阶 </w:t>
            </w:r>
          </w:p>
        </w:tc>
      </w:tr>
      <w:tr>
        <w:tblPrEx>
          <w:tblCellMar>
            <w:top w:w="0" w:type="dxa"/>
            <w:left w:w="108" w:type="dxa"/>
            <w:bottom w:w="0" w:type="dxa"/>
            <w:right w:w="108" w:type="dxa"/>
          </w:tblCellMar>
        </w:tblPrEx>
        <w:trPr>
          <w:trHeight w:val="584" w:hRule="atLeast"/>
          <w:jc w:val="center"/>
        </w:trPr>
        <w:tc>
          <w:tcPr>
            <w:tcW w:w="351" w:type="pct"/>
            <w:vMerge w:val="continue"/>
            <w:tcBorders>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58"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满意度指标</w:t>
            </w:r>
          </w:p>
        </w:tc>
        <w:tc>
          <w:tcPr>
            <w:tcW w:w="792"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满意度</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指标</w:t>
            </w:r>
          </w:p>
        </w:tc>
        <w:tc>
          <w:tcPr>
            <w:tcW w:w="129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xml:space="preserve"> 满意度</w:t>
            </w:r>
          </w:p>
        </w:tc>
        <w:tc>
          <w:tcPr>
            <w:tcW w:w="84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100%</w:t>
            </w:r>
          </w:p>
        </w:tc>
        <w:tc>
          <w:tcPr>
            <w:tcW w:w="1057"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100%</w:t>
            </w:r>
          </w:p>
        </w:tc>
      </w:tr>
    </w:tbl>
    <w:p>
      <w:pPr>
        <w:rPr>
          <w:rFonts w:hint="default" w:ascii="Times New Roman" w:hAnsi="Times New Roman" w:cs="Times New Roman"/>
          <w:color w:val="auto"/>
        </w:rPr>
      </w:pPr>
    </w:p>
    <w:tbl>
      <w:tblPr>
        <w:tblStyle w:val="21"/>
        <w:tblpPr w:leftFromText="180" w:rightFromText="180" w:vertAnchor="text" w:horzAnchor="page" w:tblpX="1361" w:tblpY="913"/>
        <w:tblOverlap w:val="never"/>
        <w:tblW w:w="5198" w:type="pct"/>
        <w:jc w:val="center"/>
        <w:tblLayout w:type="fixed"/>
        <w:tblCellMar>
          <w:top w:w="0" w:type="dxa"/>
          <w:left w:w="108" w:type="dxa"/>
          <w:bottom w:w="0" w:type="dxa"/>
          <w:right w:w="108" w:type="dxa"/>
        </w:tblCellMar>
      </w:tblPr>
      <w:tblGrid>
        <w:gridCol w:w="699"/>
        <w:gridCol w:w="1090"/>
        <w:gridCol w:w="1202"/>
        <w:gridCol w:w="2391"/>
        <w:gridCol w:w="1488"/>
        <w:gridCol w:w="2550"/>
      </w:tblGrid>
      <w:tr>
        <w:tblPrEx>
          <w:tblCellMar>
            <w:top w:w="0" w:type="dxa"/>
            <w:left w:w="108" w:type="dxa"/>
            <w:bottom w:w="0" w:type="dxa"/>
            <w:right w:w="108" w:type="dxa"/>
          </w:tblCellMar>
        </w:tblPrEx>
        <w:trPr>
          <w:trHeight w:val="1765" w:hRule="atLeast"/>
          <w:jc w:val="center"/>
        </w:trPr>
        <w:tc>
          <w:tcPr>
            <w:tcW w:w="5000" w:type="pct"/>
            <w:gridSpan w:val="6"/>
            <w:tcBorders>
              <w:top w:val="nil"/>
              <w:left w:val="nil"/>
              <w:bottom w:val="nil"/>
              <w:right w:val="nil"/>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方正小标宋简体" w:cs="Times New Roman"/>
                <w:bCs/>
                <w:color w:val="auto"/>
                <w:sz w:val="32"/>
                <w:szCs w:val="32"/>
              </w:rPr>
            </w:pPr>
            <w:r>
              <w:rPr>
                <w:rFonts w:hint="default" w:ascii="Times New Roman" w:hAnsi="Times New Roman" w:eastAsia="方正小标宋简体" w:cs="Times New Roman"/>
                <w:bCs/>
                <w:color w:val="auto"/>
                <w:sz w:val="28"/>
                <w:szCs w:val="28"/>
              </w:rPr>
              <w:t>2021年100万以上（含）特定目标类部门预算项目绩效目标自评</w:t>
            </w:r>
          </w:p>
          <w:p>
            <w:pPr>
              <w:pageBreakBefore w:val="0"/>
              <w:widowControl/>
              <w:kinsoku/>
              <w:wordWrap/>
              <w:overflowPunct/>
              <w:topLinePunct w:val="0"/>
              <w:bidi w:val="0"/>
              <w:spacing w:line="240" w:lineRule="auto"/>
              <w:jc w:val="center"/>
              <w:textAlignment w:val="center"/>
              <w:rPr>
                <w:rFonts w:hint="default" w:ascii="Times New Roman" w:hAnsi="Times New Roman" w:cs="Times New Roman"/>
                <w:b/>
                <w:color w:val="auto"/>
                <w:sz w:val="32"/>
                <w:szCs w:val="32"/>
              </w:rPr>
            </w:pPr>
            <w:r>
              <w:rPr>
                <w:rFonts w:hint="default" w:ascii="Times New Roman" w:hAnsi="Times New Roman" w:eastAsia="仿宋_GB2312" w:cs="Times New Roman"/>
                <w:bCs/>
                <w:color w:val="auto"/>
                <w:sz w:val="28"/>
                <w:szCs w:val="28"/>
              </w:rPr>
              <w:t>〔</w:t>
            </w:r>
            <w:r>
              <w:rPr>
                <w:rFonts w:hint="default" w:ascii="Times New Roman" w:hAnsi="Times New Roman" w:eastAsia="方正小标宋简体" w:cs="Times New Roman"/>
                <w:bCs/>
                <w:color w:val="auto"/>
                <w:sz w:val="28"/>
                <w:szCs w:val="28"/>
              </w:rPr>
              <w:t>省直机关办公用房维修专项项目（上年结转）</w:t>
            </w:r>
            <w:r>
              <w:rPr>
                <w:rFonts w:hint="default" w:ascii="Times New Roman" w:hAnsi="Times New Roman" w:eastAsia="仿宋_GB2312" w:cs="Times New Roman"/>
                <w:bCs/>
                <w:color w:val="auto"/>
                <w:sz w:val="28"/>
                <w:szCs w:val="28"/>
              </w:rPr>
              <w:t>〕</w:t>
            </w:r>
          </w:p>
        </w:tc>
      </w:tr>
      <w:tr>
        <w:tblPrEx>
          <w:tblCellMar>
            <w:top w:w="0" w:type="dxa"/>
            <w:left w:w="108" w:type="dxa"/>
            <w:bottom w:w="0" w:type="dxa"/>
            <w:right w:w="108" w:type="dxa"/>
          </w:tblCellMar>
        </w:tblPrEx>
        <w:trPr>
          <w:trHeight w:val="598" w:hRule="atLeast"/>
          <w:jc w:val="center"/>
        </w:trPr>
        <w:tc>
          <w:tcPr>
            <w:tcW w:w="949" w:type="pct"/>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主管部门及代码</w:t>
            </w:r>
          </w:p>
        </w:tc>
        <w:tc>
          <w:tcPr>
            <w:tcW w:w="1907" w:type="pct"/>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303-四川省发展和改革委员会</w:t>
            </w:r>
          </w:p>
        </w:tc>
        <w:tc>
          <w:tcPr>
            <w:tcW w:w="78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实施单位</w:t>
            </w:r>
          </w:p>
        </w:tc>
        <w:tc>
          <w:tcPr>
            <w:tcW w:w="1353"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四川省发展和改革委员会机关</w:t>
            </w:r>
          </w:p>
        </w:tc>
      </w:tr>
      <w:tr>
        <w:tblPrEx>
          <w:tblCellMar>
            <w:top w:w="0" w:type="dxa"/>
            <w:left w:w="108" w:type="dxa"/>
            <w:bottom w:w="0" w:type="dxa"/>
            <w:right w:w="108" w:type="dxa"/>
          </w:tblCellMar>
        </w:tblPrEx>
        <w:trPr>
          <w:trHeight w:val="304" w:hRule="atLeast"/>
          <w:jc w:val="center"/>
        </w:trPr>
        <w:tc>
          <w:tcPr>
            <w:tcW w:w="949" w:type="pct"/>
            <w:gridSpan w:val="2"/>
            <w:vMerge w:val="restar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项目预算</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执行情况</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（万元）</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预算数：</w:t>
            </w:r>
          </w:p>
        </w:tc>
        <w:tc>
          <w:tcPr>
            <w:tcW w:w="126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1058.61</w:t>
            </w:r>
          </w:p>
        </w:tc>
        <w:tc>
          <w:tcPr>
            <w:tcW w:w="78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执行数：</w:t>
            </w:r>
          </w:p>
        </w:tc>
        <w:tc>
          <w:tcPr>
            <w:tcW w:w="1353"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1011.25</w:t>
            </w:r>
          </w:p>
        </w:tc>
      </w:tr>
      <w:tr>
        <w:tblPrEx>
          <w:tblCellMar>
            <w:top w:w="0" w:type="dxa"/>
            <w:left w:w="108" w:type="dxa"/>
            <w:bottom w:w="0" w:type="dxa"/>
            <w:right w:w="108" w:type="dxa"/>
          </w:tblCellMar>
        </w:tblPrEx>
        <w:trPr>
          <w:trHeight w:val="598" w:hRule="atLeast"/>
          <w:jc w:val="center"/>
        </w:trPr>
        <w:tc>
          <w:tcPr>
            <w:tcW w:w="949"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38"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其中：</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财政拨款</w:t>
            </w:r>
          </w:p>
        </w:tc>
        <w:tc>
          <w:tcPr>
            <w:tcW w:w="126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1058.61</w:t>
            </w:r>
          </w:p>
        </w:tc>
        <w:tc>
          <w:tcPr>
            <w:tcW w:w="78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其中：</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财政拨款</w:t>
            </w:r>
          </w:p>
        </w:tc>
        <w:tc>
          <w:tcPr>
            <w:tcW w:w="1353"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1011.25</w:t>
            </w:r>
          </w:p>
        </w:tc>
      </w:tr>
      <w:tr>
        <w:tblPrEx>
          <w:tblCellMar>
            <w:top w:w="0" w:type="dxa"/>
            <w:left w:w="108" w:type="dxa"/>
            <w:bottom w:w="0" w:type="dxa"/>
            <w:right w:w="108" w:type="dxa"/>
          </w:tblCellMar>
        </w:tblPrEx>
        <w:trPr>
          <w:trHeight w:val="304" w:hRule="atLeast"/>
          <w:jc w:val="center"/>
        </w:trPr>
        <w:tc>
          <w:tcPr>
            <w:tcW w:w="949"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38"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其他资金</w:t>
            </w:r>
          </w:p>
        </w:tc>
        <w:tc>
          <w:tcPr>
            <w:tcW w:w="126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p>
        </w:tc>
        <w:tc>
          <w:tcPr>
            <w:tcW w:w="78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其他资金</w:t>
            </w:r>
          </w:p>
        </w:tc>
        <w:tc>
          <w:tcPr>
            <w:tcW w:w="1353"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p>
        </w:tc>
      </w:tr>
      <w:tr>
        <w:tblPrEx>
          <w:tblCellMar>
            <w:top w:w="0" w:type="dxa"/>
            <w:left w:w="108" w:type="dxa"/>
            <w:bottom w:w="0" w:type="dxa"/>
            <w:right w:w="108" w:type="dxa"/>
          </w:tblCellMar>
        </w:tblPrEx>
        <w:trPr>
          <w:trHeight w:val="304" w:hRule="atLeast"/>
          <w:jc w:val="center"/>
        </w:trPr>
        <w:tc>
          <w:tcPr>
            <w:tcW w:w="371" w:type="pct"/>
            <w:vMerge w:val="restar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年度总体目标完成情况</w:t>
            </w:r>
          </w:p>
        </w:tc>
        <w:tc>
          <w:tcPr>
            <w:tcW w:w="2485" w:type="pct"/>
            <w:gridSpan w:val="3"/>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预期目标</w:t>
            </w:r>
          </w:p>
        </w:tc>
        <w:tc>
          <w:tcPr>
            <w:tcW w:w="2143" w:type="pct"/>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目标实际完成情况</w:t>
            </w:r>
          </w:p>
        </w:tc>
      </w:tr>
      <w:tr>
        <w:tblPrEx>
          <w:tblCellMar>
            <w:top w:w="0" w:type="dxa"/>
            <w:left w:w="108" w:type="dxa"/>
            <w:bottom w:w="0" w:type="dxa"/>
            <w:right w:w="108" w:type="dxa"/>
          </w:tblCellMar>
        </w:tblPrEx>
        <w:trPr>
          <w:trHeight w:val="2068" w:hRule="atLeast"/>
          <w:jc w:val="center"/>
        </w:trPr>
        <w:tc>
          <w:tcPr>
            <w:tcW w:w="371" w:type="pct"/>
            <w:vMerge w:val="continue"/>
            <w:tcBorders>
              <w:top w:val="single" w:color="000000" w:sz="4" w:space="0"/>
              <w:left w:val="single" w:color="000000" w:sz="4" w:space="0"/>
              <w:bottom w:val="single" w:color="auto" w:sz="4" w:space="0"/>
              <w:right w:val="single" w:color="000000"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2485" w:type="pct"/>
            <w:gridSpan w:val="3"/>
            <w:tcBorders>
              <w:top w:val="single" w:color="000000" w:sz="4" w:space="0"/>
              <w:left w:val="single" w:color="000000" w:sz="4" w:space="0"/>
              <w:bottom w:val="single" w:color="auto" w:sz="4" w:space="0"/>
              <w:right w:val="single" w:color="000000" w:sz="4" w:space="0"/>
            </w:tcBorders>
            <w:noWrap/>
            <w:vAlign w:val="center"/>
          </w:tcPr>
          <w:p>
            <w:pPr>
              <w:pageBreakBefore w:val="0"/>
              <w:widowControl/>
              <w:kinsoku/>
              <w:wordWrap/>
              <w:overflowPunct/>
              <w:topLinePunct w:val="0"/>
              <w:bidi w:val="0"/>
              <w:spacing w:line="240" w:lineRule="auto"/>
              <w:ind w:firstLine="420" w:firstLineChars="200"/>
              <w:jc w:val="left"/>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都会风尚地下停车场改造：原混凝土地面维修、拉毛、环氧树脂地坪面层施工，停车场智能系统改造升级；发展大厦大楼内墙面装饰装修：对出现开裂、变形、霉变的墙体部位进行维修翻新；发展大厦中央空调：优化调整发展大厦中央空调整体布局，更换老化的设备、配件及盘管，新增中央空调智能运行控制系统。</w:t>
            </w:r>
          </w:p>
        </w:tc>
        <w:tc>
          <w:tcPr>
            <w:tcW w:w="2143" w:type="pct"/>
            <w:gridSpan w:val="2"/>
            <w:tcBorders>
              <w:top w:val="single" w:color="000000" w:sz="4" w:space="0"/>
              <w:left w:val="single" w:color="000000" w:sz="4" w:space="0"/>
              <w:bottom w:val="single" w:color="auto" w:sz="4" w:space="0"/>
              <w:right w:val="single" w:color="000000" w:sz="4" w:space="0"/>
            </w:tcBorders>
            <w:noWrap/>
            <w:vAlign w:val="center"/>
          </w:tcPr>
          <w:p>
            <w:pPr>
              <w:pageBreakBefore w:val="0"/>
              <w:widowControl/>
              <w:kinsoku/>
              <w:wordWrap/>
              <w:overflowPunct/>
              <w:topLinePunct w:val="0"/>
              <w:bidi w:val="0"/>
              <w:spacing w:line="240" w:lineRule="auto"/>
              <w:ind w:firstLine="420" w:firstLineChars="200"/>
              <w:jc w:val="left"/>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全部按照既定计划全面完成。</w:t>
            </w:r>
          </w:p>
        </w:tc>
      </w:tr>
      <w:tr>
        <w:tblPrEx>
          <w:tblCellMar>
            <w:top w:w="0" w:type="dxa"/>
            <w:left w:w="108" w:type="dxa"/>
            <w:bottom w:w="0" w:type="dxa"/>
            <w:right w:w="108" w:type="dxa"/>
          </w:tblCellMar>
        </w:tblPrEx>
        <w:trPr>
          <w:trHeight w:val="598" w:hRule="atLeast"/>
          <w:jc w:val="center"/>
        </w:trPr>
        <w:tc>
          <w:tcPr>
            <w:tcW w:w="371" w:type="pct"/>
            <w:vMerge w:val="restar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年度绩效指标完成情况</w:t>
            </w:r>
          </w:p>
        </w:tc>
        <w:tc>
          <w:tcPr>
            <w:tcW w:w="578"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一级</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638"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二级</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126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三级</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78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预期指</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标值</w:t>
            </w:r>
          </w:p>
        </w:tc>
        <w:tc>
          <w:tcPr>
            <w:tcW w:w="1353"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实际完成指标值</w:t>
            </w:r>
          </w:p>
        </w:tc>
      </w:tr>
      <w:tr>
        <w:tblPrEx>
          <w:tblCellMar>
            <w:top w:w="0" w:type="dxa"/>
            <w:left w:w="108" w:type="dxa"/>
            <w:bottom w:w="0" w:type="dxa"/>
            <w:right w:w="108" w:type="dxa"/>
          </w:tblCellMar>
        </w:tblPrEx>
        <w:trPr>
          <w:trHeight w:val="1186" w:hRule="atLeast"/>
          <w:jc w:val="center"/>
        </w:trPr>
        <w:tc>
          <w:tcPr>
            <w:tcW w:w="371"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578" w:type="pct"/>
            <w:vMerge w:val="restar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完成</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638" w:type="pct"/>
            <w:vMerge w:val="restar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数量指标</w:t>
            </w:r>
          </w:p>
        </w:tc>
        <w:tc>
          <w:tcPr>
            <w:tcW w:w="126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都会风尚地下停车场面积</w:t>
            </w:r>
          </w:p>
        </w:tc>
        <w:tc>
          <w:tcPr>
            <w:tcW w:w="78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负2楼、负3楼</w:t>
            </w:r>
          </w:p>
        </w:tc>
        <w:tc>
          <w:tcPr>
            <w:tcW w:w="1353"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负2楼、负3楼及出口全部完成，完成面积8975.97平方米。</w:t>
            </w:r>
          </w:p>
        </w:tc>
      </w:tr>
      <w:tr>
        <w:tblPrEx>
          <w:tblCellMar>
            <w:top w:w="0" w:type="dxa"/>
            <w:left w:w="108" w:type="dxa"/>
            <w:bottom w:w="0" w:type="dxa"/>
            <w:right w:w="108" w:type="dxa"/>
          </w:tblCellMar>
        </w:tblPrEx>
        <w:trPr>
          <w:trHeight w:val="598" w:hRule="atLeast"/>
          <w:jc w:val="center"/>
        </w:trPr>
        <w:tc>
          <w:tcPr>
            <w:tcW w:w="371"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578"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38"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p>
        </w:tc>
        <w:tc>
          <w:tcPr>
            <w:tcW w:w="126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内墙面面积</w:t>
            </w:r>
          </w:p>
        </w:tc>
        <w:tc>
          <w:tcPr>
            <w:tcW w:w="78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36400平方米</w:t>
            </w:r>
          </w:p>
        </w:tc>
        <w:tc>
          <w:tcPr>
            <w:tcW w:w="1353"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实施完成44593.81平方米。</w:t>
            </w:r>
          </w:p>
        </w:tc>
      </w:tr>
      <w:tr>
        <w:tblPrEx>
          <w:tblCellMar>
            <w:top w:w="0" w:type="dxa"/>
            <w:left w:w="108" w:type="dxa"/>
            <w:bottom w:w="0" w:type="dxa"/>
            <w:right w:w="108" w:type="dxa"/>
          </w:tblCellMar>
        </w:tblPrEx>
        <w:trPr>
          <w:trHeight w:val="598" w:hRule="atLeast"/>
          <w:jc w:val="center"/>
        </w:trPr>
        <w:tc>
          <w:tcPr>
            <w:tcW w:w="371"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578"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38"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p>
        </w:tc>
        <w:tc>
          <w:tcPr>
            <w:tcW w:w="126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中央空调楼层</w:t>
            </w:r>
          </w:p>
        </w:tc>
        <w:tc>
          <w:tcPr>
            <w:tcW w:w="78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发展大厦1-23楼</w:t>
            </w:r>
          </w:p>
        </w:tc>
        <w:tc>
          <w:tcPr>
            <w:tcW w:w="1353"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按照设计及财政评审全部完成。</w:t>
            </w:r>
          </w:p>
        </w:tc>
      </w:tr>
      <w:tr>
        <w:tblPrEx>
          <w:tblCellMar>
            <w:top w:w="0" w:type="dxa"/>
            <w:left w:w="108" w:type="dxa"/>
            <w:bottom w:w="0" w:type="dxa"/>
            <w:right w:w="108" w:type="dxa"/>
          </w:tblCellMar>
        </w:tblPrEx>
        <w:trPr>
          <w:trHeight w:val="1153" w:hRule="atLeast"/>
          <w:jc w:val="center"/>
        </w:trPr>
        <w:tc>
          <w:tcPr>
            <w:tcW w:w="371"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578"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38" w:type="pct"/>
            <w:vMerge w:val="restart"/>
            <w:tcBorders>
              <w:top w:val="single" w:color="auto" w:sz="4" w:space="0"/>
              <w:left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质量指标</w:t>
            </w:r>
          </w:p>
        </w:tc>
        <w:tc>
          <w:tcPr>
            <w:tcW w:w="126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成都市房屋建筑和市政基础设施工程质量监督管理实施细则</w:t>
            </w:r>
          </w:p>
        </w:tc>
        <w:tc>
          <w:tcPr>
            <w:tcW w:w="78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符合基础设施工程质量相关规定标准</w:t>
            </w:r>
          </w:p>
        </w:tc>
        <w:tc>
          <w:tcPr>
            <w:tcW w:w="1353"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满足国家相关规范要求。</w:t>
            </w:r>
          </w:p>
        </w:tc>
      </w:tr>
      <w:tr>
        <w:tblPrEx>
          <w:tblCellMar>
            <w:top w:w="0" w:type="dxa"/>
            <w:left w:w="108" w:type="dxa"/>
            <w:bottom w:w="0" w:type="dxa"/>
            <w:right w:w="108" w:type="dxa"/>
          </w:tblCellMar>
        </w:tblPrEx>
        <w:trPr>
          <w:trHeight w:val="1153" w:hRule="atLeast"/>
          <w:jc w:val="center"/>
        </w:trPr>
        <w:tc>
          <w:tcPr>
            <w:tcW w:w="371"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578"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38" w:type="pct"/>
            <w:vMerge w:val="continue"/>
            <w:tcBorders>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p>
        </w:tc>
        <w:tc>
          <w:tcPr>
            <w:tcW w:w="126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成都市建设工程质量标准化监督管理规程</w:t>
            </w:r>
          </w:p>
        </w:tc>
        <w:tc>
          <w:tcPr>
            <w:tcW w:w="78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符合基础设施工程质量相关规定标准</w:t>
            </w:r>
          </w:p>
        </w:tc>
        <w:tc>
          <w:tcPr>
            <w:tcW w:w="1353"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满足国家相关规范要求。</w:t>
            </w:r>
          </w:p>
        </w:tc>
      </w:tr>
      <w:tr>
        <w:tblPrEx>
          <w:tblCellMar>
            <w:top w:w="0" w:type="dxa"/>
            <w:left w:w="108" w:type="dxa"/>
            <w:bottom w:w="0" w:type="dxa"/>
            <w:right w:w="108" w:type="dxa"/>
          </w:tblCellMar>
        </w:tblPrEx>
        <w:trPr>
          <w:trHeight w:val="598" w:hRule="atLeast"/>
          <w:jc w:val="center"/>
        </w:trPr>
        <w:tc>
          <w:tcPr>
            <w:tcW w:w="371"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578"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38"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时效指标</w:t>
            </w:r>
          </w:p>
        </w:tc>
        <w:tc>
          <w:tcPr>
            <w:tcW w:w="126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2021年年底前竣工</w:t>
            </w:r>
          </w:p>
        </w:tc>
        <w:tc>
          <w:tcPr>
            <w:tcW w:w="78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按时竣工</w:t>
            </w:r>
          </w:p>
        </w:tc>
        <w:tc>
          <w:tcPr>
            <w:tcW w:w="1353"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按照合同约定完成。</w:t>
            </w:r>
          </w:p>
        </w:tc>
      </w:tr>
      <w:tr>
        <w:tblPrEx>
          <w:tblCellMar>
            <w:top w:w="0" w:type="dxa"/>
            <w:left w:w="108" w:type="dxa"/>
            <w:bottom w:w="0" w:type="dxa"/>
            <w:right w:w="108" w:type="dxa"/>
          </w:tblCellMar>
        </w:tblPrEx>
        <w:trPr>
          <w:trHeight w:val="892" w:hRule="atLeast"/>
          <w:jc w:val="center"/>
        </w:trPr>
        <w:tc>
          <w:tcPr>
            <w:tcW w:w="371"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578" w:type="pct"/>
            <w:vMerge w:val="restart"/>
            <w:tcBorders>
              <w:top w:val="single" w:color="auto" w:sz="4" w:space="0"/>
              <w:left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效益</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638" w:type="pct"/>
            <w:vMerge w:val="restart"/>
            <w:tcBorders>
              <w:top w:val="single" w:color="auto" w:sz="4" w:space="0"/>
              <w:left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可持续影响指标</w:t>
            </w:r>
          </w:p>
        </w:tc>
        <w:tc>
          <w:tcPr>
            <w:tcW w:w="126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停车场改造，延长使用寿命，增加通勤停车效率</w:t>
            </w:r>
          </w:p>
        </w:tc>
        <w:tc>
          <w:tcPr>
            <w:tcW w:w="78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5年</w:t>
            </w:r>
          </w:p>
        </w:tc>
        <w:tc>
          <w:tcPr>
            <w:tcW w:w="1353"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8年以上。</w:t>
            </w:r>
          </w:p>
        </w:tc>
      </w:tr>
      <w:tr>
        <w:tblPrEx>
          <w:tblCellMar>
            <w:top w:w="0" w:type="dxa"/>
            <w:left w:w="108" w:type="dxa"/>
            <w:bottom w:w="0" w:type="dxa"/>
            <w:right w:w="108" w:type="dxa"/>
          </w:tblCellMar>
        </w:tblPrEx>
        <w:trPr>
          <w:trHeight w:val="598" w:hRule="atLeast"/>
          <w:jc w:val="center"/>
        </w:trPr>
        <w:tc>
          <w:tcPr>
            <w:tcW w:w="371"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ind w:firstLine="555"/>
              <w:jc w:val="left"/>
              <w:textAlignment w:val="bottom"/>
              <w:rPr>
                <w:rFonts w:hint="default" w:ascii="Times New Roman" w:hAnsi="Times New Roman" w:eastAsia="仿宋_GB2312" w:cs="Times New Roman"/>
                <w:color w:val="auto"/>
                <w:sz w:val="32"/>
                <w:szCs w:val="32"/>
              </w:rPr>
            </w:pPr>
          </w:p>
        </w:tc>
        <w:tc>
          <w:tcPr>
            <w:tcW w:w="578" w:type="pct"/>
            <w:vMerge w:val="continue"/>
            <w:tcBorders>
              <w:left w:val="single" w:color="auto" w:sz="4" w:space="0"/>
              <w:right w:val="single" w:color="auto" w:sz="4" w:space="0"/>
            </w:tcBorders>
            <w:noWrap/>
            <w:vAlign w:val="center"/>
          </w:tcPr>
          <w:p>
            <w:pPr>
              <w:pageBreakBefore w:val="0"/>
              <w:widowControl/>
              <w:kinsoku/>
              <w:wordWrap/>
              <w:overflowPunct/>
              <w:topLinePunct w:val="0"/>
              <w:bidi w:val="0"/>
              <w:spacing w:line="240" w:lineRule="auto"/>
              <w:ind w:firstLine="555"/>
              <w:jc w:val="left"/>
              <w:textAlignment w:val="bottom"/>
              <w:rPr>
                <w:rFonts w:hint="default" w:ascii="Times New Roman" w:hAnsi="Times New Roman" w:eastAsia="仿宋_GB2312" w:cs="Times New Roman"/>
                <w:color w:val="auto"/>
                <w:sz w:val="32"/>
                <w:szCs w:val="32"/>
              </w:rPr>
            </w:pPr>
          </w:p>
        </w:tc>
        <w:tc>
          <w:tcPr>
            <w:tcW w:w="638" w:type="pct"/>
            <w:vMerge w:val="continue"/>
            <w:tcBorders>
              <w:left w:val="single" w:color="auto" w:sz="4" w:space="0"/>
              <w:right w:val="single" w:color="auto" w:sz="4" w:space="0"/>
            </w:tcBorders>
            <w:noWrap/>
            <w:vAlign w:val="center"/>
          </w:tcPr>
          <w:p>
            <w:pPr>
              <w:pageBreakBefore w:val="0"/>
              <w:widowControl/>
              <w:kinsoku/>
              <w:wordWrap/>
              <w:overflowPunct/>
              <w:topLinePunct w:val="0"/>
              <w:bidi w:val="0"/>
              <w:spacing w:line="240" w:lineRule="auto"/>
              <w:ind w:firstLine="555"/>
              <w:jc w:val="left"/>
              <w:textAlignment w:val="bottom"/>
              <w:rPr>
                <w:rFonts w:hint="default" w:ascii="Times New Roman" w:hAnsi="Times New Roman" w:eastAsia="仿宋_GB2312" w:cs="Times New Roman"/>
                <w:color w:val="auto"/>
                <w:sz w:val="32"/>
                <w:szCs w:val="32"/>
              </w:rPr>
            </w:pPr>
          </w:p>
        </w:tc>
        <w:tc>
          <w:tcPr>
            <w:tcW w:w="126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内墙面改造，满足办公需要</w:t>
            </w:r>
          </w:p>
        </w:tc>
        <w:tc>
          <w:tcPr>
            <w:tcW w:w="78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5年</w:t>
            </w:r>
          </w:p>
        </w:tc>
        <w:tc>
          <w:tcPr>
            <w:tcW w:w="1353"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ind w:firstLine="764" w:firstLineChars="364"/>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8-10年。</w:t>
            </w:r>
          </w:p>
        </w:tc>
      </w:tr>
      <w:tr>
        <w:tblPrEx>
          <w:tblCellMar>
            <w:top w:w="0" w:type="dxa"/>
            <w:left w:w="108" w:type="dxa"/>
            <w:bottom w:w="0" w:type="dxa"/>
            <w:right w:w="108" w:type="dxa"/>
          </w:tblCellMar>
        </w:tblPrEx>
        <w:trPr>
          <w:trHeight w:val="892" w:hRule="atLeast"/>
          <w:jc w:val="center"/>
        </w:trPr>
        <w:tc>
          <w:tcPr>
            <w:tcW w:w="371" w:type="pct"/>
            <w:vMerge w:val="continue"/>
            <w:tcBorders>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ind w:firstLine="555"/>
              <w:jc w:val="left"/>
              <w:textAlignment w:val="bottom"/>
              <w:rPr>
                <w:rFonts w:hint="default" w:ascii="Times New Roman" w:hAnsi="Times New Roman" w:eastAsia="仿宋_GB2312" w:cs="Times New Roman"/>
                <w:color w:val="auto"/>
                <w:szCs w:val="21"/>
              </w:rPr>
            </w:pPr>
          </w:p>
        </w:tc>
        <w:tc>
          <w:tcPr>
            <w:tcW w:w="578" w:type="pct"/>
            <w:vMerge w:val="continue"/>
            <w:tcBorders>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ind w:firstLine="555"/>
              <w:jc w:val="left"/>
              <w:textAlignment w:val="bottom"/>
              <w:rPr>
                <w:rFonts w:hint="default" w:ascii="Times New Roman" w:hAnsi="Times New Roman" w:eastAsia="仿宋_GB2312" w:cs="Times New Roman"/>
                <w:color w:val="auto"/>
                <w:szCs w:val="21"/>
              </w:rPr>
            </w:pPr>
          </w:p>
        </w:tc>
        <w:tc>
          <w:tcPr>
            <w:tcW w:w="638" w:type="pct"/>
            <w:vMerge w:val="continue"/>
            <w:tcBorders>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ind w:firstLine="555"/>
              <w:jc w:val="left"/>
              <w:textAlignment w:val="bottom"/>
              <w:rPr>
                <w:rFonts w:hint="default" w:ascii="Times New Roman" w:hAnsi="Times New Roman" w:eastAsia="仿宋_GB2312" w:cs="Times New Roman"/>
                <w:color w:val="auto"/>
                <w:szCs w:val="21"/>
              </w:rPr>
            </w:pPr>
          </w:p>
        </w:tc>
        <w:tc>
          <w:tcPr>
            <w:tcW w:w="126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中央空调改造，增加使用功率，节能及安全达到标准</w:t>
            </w:r>
          </w:p>
        </w:tc>
        <w:tc>
          <w:tcPr>
            <w:tcW w:w="78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5年</w:t>
            </w:r>
          </w:p>
        </w:tc>
        <w:tc>
          <w:tcPr>
            <w:tcW w:w="1353"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ind w:firstLine="555"/>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主机10年，其他5年以上。</w:t>
            </w:r>
          </w:p>
        </w:tc>
      </w:tr>
      <w:tr>
        <w:tblPrEx>
          <w:tblCellMar>
            <w:top w:w="0" w:type="dxa"/>
            <w:left w:w="108" w:type="dxa"/>
            <w:bottom w:w="0" w:type="dxa"/>
            <w:right w:w="108" w:type="dxa"/>
          </w:tblCellMar>
        </w:tblPrEx>
        <w:trPr>
          <w:trHeight w:val="607" w:hRule="atLeast"/>
          <w:jc w:val="center"/>
        </w:trPr>
        <w:tc>
          <w:tcPr>
            <w:tcW w:w="371"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578"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满意度</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638"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满意度</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126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服务对象满意度</w:t>
            </w:r>
          </w:p>
        </w:tc>
        <w:tc>
          <w:tcPr>
            <w:tcW w:w="78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100%</w:t>
            </w:r>
          </w:p>
        </w:tc>
        <w:tc>
          <w:tcPr>
            <w:tcW w:w="1353"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100%</w:t>
            </w:r>
          </w:p>
        </w:tc>
      </w:tr>
    </w:tbl>
    <w:p>
      <w:pPr>
        <w:pageBreakBefore w:val="0"/>
        <w:widowControl/>
        <w:kinsoku/>
        <w:wordWrap/>
        <w:overflowPunct/>
        <w:topLinePunct w:val="0"/>
        <w:bidi w:val="0"/>
        <w:spacing w:line="240" w:lineRule="auto"/>
        <w:jc w:val="center"/>
        <w:textAlignment w:val="center"/>
        <w:rPr>
          <w:rFonts w:hint="default" w:ascii="Times New Roman" w:hAnsi="Times New Roman" w:eastAsia="方正小标宋简体" w:cs="Times New Roman"/>
          <w:bCs/>
          <w:color w:val="auto"/>
          <w:sz w:val="28"/>
          <w:szCs w:val="28"/>
        </w:rPr>
      </w:pPr>
    </w:p>
    <w:tbl>
      <w:tblPr>
        <w:tblStyle w:val="21"/>
        <w:tblpPr w:leftFromText="180" w:rightFromText="180" w:vertAnchor="text" w:horzAnchor="page" w:tblpX="1556" w:tblpY="1060"/>
        <w:tblOverlap w:val="never"/>
        <w:tblW w:w="5000" w:type="pct"/>
        <w:jc w:val="center"/>
        <w:tblLayout w:type="fixed"/>
        <w:tblCellMar>
          <w:top w:w="0" w:type="dxa"/>
          <w:left w:w="108" w:type="dxa"/>
          <w:bottom w:w="0" w:type="dxa"/>
          <w:right w:w="108" w:type="dxa"/>
        </w:tblCellMar>
      </w:tblPr>
      <w:tblGrid>
        <w:gridCol w:w="660"/>
        <w:gridCol w:w="855"/>
        <w:gridCol w:w="1005"/>
        <w:gridCol w:w="2235"/>
        <w:gridCol w:w="1740"/>
        <w:gridCol w:w="2566"/>
      </w:tblGrid>
      <w:tr>
        <w:tblPrEx>
          <w:tblCellMar>
            <w:top w:w="0" w:type="dxa"/>
            <w:left w:w="108" w:type="dxa"/>
            <w:bottom w:w="0" w:type="dxa"/>
            <w:right w:w="108" w:type="dxa"/>
          </w:tblCellMar>
        </w:tblPrEx>
        <w:trPr>
          <w:trHeight w:val="675" w:hRule="atLeast"/>
          <w:jc w:val="center"/>
        </w:trPr>
        <w:tc>
          <w:tcPr>
            <w:tcW w:w="5000" w:type="pct"/>
            <w:gridSpan w:val="6"/>
            <w:tcBorders>
              <w:top w:val="nil"/>
              <w:left w:val="nil"/>
              <w:bottom w:val="nil"/>
              <w:right w:val="nil"/>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方正小标宋简体" w:cs="Times New Roman"/>
                <w:bCs/>
                <w:color w:val="auto"/>
                <w:sz w:val="32"/>
                <w:szCs w:val="32"/>
              </w:rPr>
            </w:pPr>
            <w:r>
              <w:rPr>
                <w:rFonts w:hint="default" w:ascii="Times New Roman" w:hAnsi="Times New Roman" w:eastAsia="方正小标宋简体" w:cs="Times New Roman"/>
                <w:bCs/>
                <w:color w:val="auto"/>
                <w:sz w:val="28"/>
                <w:szCs w:val="28"/>
              </w:rPr>
              <w:t>2021年100万以上（含）特定目标类部门预算项目绩效目标自评</w:t>
            </w:r>
          </w:p>
          <w:p>
            <w:pPr>
              <w:pageBreakBefore w:val="0"/>
              <w:widowControl/>
              <w:kinsoku/>
              <w:wordWrap/>
              <w:overflowPunct/>
              <w:topLinePunct w:val="0"/>
              <w:bidi w:val="0"/>
              <w:spacing w:line="240" w:lineRule="auto"/>
              <w:jc w:val="center"/>
              <w:textAlignment w:val="center"/>
              <w:rPr>
                <w:rFonts w:hint="default" w:ascii="Times New Roman" w:hAnsi="Times New Roman" w:eastAsia="方正小标宋简体" w:cs="Times New Roman"/>
                <w:b/>
                <w:color w:val="auto"/>
                <w:sz w:val="32"/>
                <w:szCs w:val="32"/>
              </w:rPr>
            </w:pPr>
            <w:r>
              <w:rPr>
                <w:rFonts w:hint="default" w:ascii="Times New Roman" w:hAnsi="Times New Roman" w:eastAsia="方正小标宋简体" w:cs="Times New Roman"/>
                <w:bCs/>
                <w:color w:val="auto"/>
                <w:sz w:val="28"/>
                <w:szCs w:val="28"/>
              </w:rPr>
              <w:t>（日元贷款还本付息项目）</w:t>
            </w:r>
          </w:p>
        </w:tc>
      </w:tr>
      <w:tr>
        <w:tblPrEx>
          <w:tblCellMar>
            <w:top w:w="0" w:type="dxa"/>
            <w:left w:w="108" w:type="dxa"/>
            <w:bottom w:w="0" w:type="dxa"/>
            <w:right w:w="108" w:type="dxa"/>
          </w:tblCellMar>
        </w:tblPrEx>
        <w:trPr>
          <w:trHeight w:val="254" w:hRule="atLeast"/>
          <w:jc w:val="center"/>
        </w:trPr>
        <w:tc>
          <w:tcPr>
            <w:tcW w:w="836" w:type="pct"/>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主管部门及代码</w:t>
            </w:r>
          </w:p>
        </w:tc>
        <w:tc>
          <w:tcPr>
            <w:tcW w:w="1787" w:type="pct"/>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303-四川省发展和改革委员会</w:t>
            </w:r>
          </w:p>
        </w:tc>
        <w:tc>
          <w:tcPr>
            <w:tcW w:w="96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实施单位</w:t>
            </w:r>
          </w:p>
        </w:tc>
        <w:tc>
          <w:tcPr>
            <w:tcW w:w="141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四川省县域经济研究中心</w:t>
            </w:r>
          </w:p>
        </w:tc>
      </w:tr>
      <w:tr>
        <w:tblPrEx>
          <w:tblCellMar>
            <w:top w:w="0" w:type="dxa"/>
            <w:left w:w="108" w:type="dxa"/>
            <w:bottom w:w="0" w:type="dxa"/>
            <w:right w:w="108" w:type="dxa"/>
          </w:tblCellMar>
        </w:tblPrEx>
        <w:trPr>
          <w:trHeight w:val="341" w:hRule="atLeast"/>
          <w:jc w:val="center"/>
        </w:trPr>
        <w:tc>
          <w:tcPr>
            <w:tcW w:w="836" w:type="pct"/>
            <w:gridSpan w:val="2"/>
            <w:vMerge w:val="restar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项目预算</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执行情况</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（万元）</w:t>
            </w:r>
          </w:p>
        </w:tc>
        <w:tc>
          <w:tcPr>
            <w:tcW w:w="554"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预算数：</w:t>
            </w:r>
          </w:p>
        </w:tc>
        <w:tc>
          <w:tcPr>
            <w:tcW w:w="1233"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400</w:t>
            </w:r>
          </w:p>
        </w:tc>
        <w:tc>
          <w:tcPr>
            <w:tcW w:w="96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执行数：</w:t>
            </w:r>
          </w:p>
        </w:tc>
        <w:tc>
          <w:tcPr>
            <w:tcW w:w="141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309</w:t>
            </w:r>
          </w:p>
        </w:tc>
      </w:tr>
      <w:tr>
        <w:tblPrEx>
          <w:tblCellMar>
            <w:top w:w="0" w:type="dxa"/>
            <w:left w:w="108" w:type="dxa"/>
            <w:bottom w:w="0" w:type="dxa"/>
            <w:right w:w="108" w:type="dxa"/>
          </w:tblCellMar>
        </w:tblPrEx>
        <w:trPr>
          <w:trHeight w:val="577" w:hRule="atLeast"/>
          <w:jc w:val="center"/>
        </w:trPr>
        <w:tc>
          <w:tcPr>
            <w:tcW w:w="836"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其中：</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财政拨款</w:t>
            </w:r>
          </w:p>
        </w:tc>
        <w:tc>
          <w:tcPr>
            <w:tcW w:w="1233"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0</w:t>
            </w:r>
          </w:p>
        </w:tc>
        <w:tc>
          <w:tcPr>
            <w:tcW w:w="96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其中：</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财政拨款</w:t>
            </w:r>
          </w:p>
        </w:tc>
        <w:tc>
          <w:tcPr>
            <w:tcW w:w="141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0</w:t>
            </w:r>
          </w:p>
        </w:tc>
      </w:tr>
      <w:tr>
        <w:tblPrEx>
          <w:tblCellMar>
            <w:top w:w="0" w:type="dxa"/>
            <w:left w:w="108" w:type="dxa"/>
            <w:bottom w:w="0" w:type="dxa"/>
            <w:right w:w="108" w:type="dxa"/>
          </w:tblCellMar>
        </w:tblPrEx>
        <w:trPr>
          <w:trHeight w:val="341" w:hRule="atLeast"/>
          <w:jc w:val="center"/>
        </w:trPr>
        <w:tc>
          <w:tcPr>
            <w:tcW w:w="836"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554"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其他资金</w:t>
            </w:r>
          </w:p>
        </w:tc>
        <w:tc>
          <w:tcPr>
            <w:tcW w:w="1233"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400</w:t>
            </w:r>
          </w:p>
        </w:tc>
        <w:tc>
          <w:tcPr>
            <w:tcW w:w="96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其他资金</w:t>
            </w:r>
          </w:p>
        </w:tc>
        <w:tc>
          <w:tcPr>
            <w:tcW w:w="141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309</w:t>
            </w:r>
          </w:p>
        </w:tc>
      </w:tr>
      <w:tr>
        <w:tblPrEx>
          <w:tblCellMar>
            <w:top w:w="0" w:type="dxa"/>
            <w:left w:w="108" w:type="dxa"/>
            <w:bottom w:w="0" w:type="dxa"/>
            <w:right w:w="108" w:type="dxa"/>
          </w:tblCellMar>
        </w:tblPrEx>
        <w:trPr>
          <w:trHeight w:val="217" w:hRule="atLeast"/>
          <w:jc w:val="center"/>
        </w:trPr>
        <w:tc>
          <w:tcPr>
            <w:tcW w:w="364" w:type="pct"/>
            <w:vMerge w:val="restar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年度总体目标完成情况</w:t>
            </w:r>
          </w:p>
        </w:tc>
        <w:tc>
          <w:tcPr>
            <w:tcW w:w="2259" w:type="pct"/>
            <w:gridSpan w:val="3"/>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预期目标</w:t>
            </w:r>
          </w:p>
        </w:tc>
        <w:tc>
          <w:tcPr>
            <w:tcW w:w="2376" w:type="pct"/>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目标实际完成情况</w:t>
            </w:r>
          </w:p>
        </w:tc>
      </w:tr>
      <w:tr>
        <w:tblPrEx>
          <w:tblCellMar>
            <w:top w:w="0" w:type="dxa"/>
            <w:left w:w="108" w:type="dxa"/>
            <w:bottom w:w="0" w:type="dxa"/>
            <w:right w:w="108" w:type="dxa"/>
          </w:tblCellMar>
        </w:tblPrEx>
        <w:trPr>
          <w:trHeight w:val="1480" w:hRule="atLeast"/>
          <w:jc w:val="center"/>
        </w:trPr>
        <w:tc>
          <w:tcPr>
            <w:tcW w:w="364" w:type="pct"/>
            <w:vMerge w:val="continue"/>
            <w:tcBorders>
              <w:top w:val="single" w:color="000000" w:sz="4" w:space="0"/>
              <w:left w:val="single" w:color="000000" w:sz="4" w:space="0"/>
              <w:bottom w:val="single" w:color="auto" w:sz="4" w:space="0"/>
              <w:right w:val="single" w:color="000000"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2259" w:type="pct"/>
            <w:gridSpan w:val="3"/>
            <w:tcBorders>
              <w:top w:val="single" w:color="000000" w:sz="4" w:space="0"/>
              <w:left w:val="single" w:color="000000" w:sz="4" w:space="0"/>
              <w:bottom w:val="single" w:color="auto" w:sz="4" w:space="0"/>
              <w:right w:val="single" w:color="000000" w:sz="4" w:space="0"/>
            </w:tcBorders>
            <w:noWrap/>
            <w:vAlign w:val="center"/>
          </w:tcPr>
          <w:p>
            <w:pPr>
              <w:pageBreakBefore w:val="0"/>
              <w:widowControl/>
              <w:kinsoku/>
              <w:wordWrap/>
              <w:overflowPunct/>
              <w:topLinePunct w:val="0"/>
              <w:bidi w:val="0"/>
              <w:spacing w:line="240" w:lineRule="auto"/>
              <w:ind w:firstLine="420" w:firstLineChars="200"/>
              <w:jc w:val="left"/>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项目总体日元贷款9.84亿日元，合同金额9.68亿日元，贷款以支持我省经济信息系统的建设。总共涉及24个单位。包括我省的17个市州、3个厅局和我中心以及重庆的3个区。</w:t>
            </w:r>
          </w:p>
        </w:tc>
        <w:tc>
          <w:tcPr>
            <w:tcW w:w="2376" w:type="pct"/>
            <w:gridSpan w:val="2"/>
            <w:tcBorders>
              <w:top w:val="single" w:color="000000" w:sz="4" w:space="0"/>
              <w:left w:val="single" w:color="000000" w:sz="4" w:space="0"/>
              <w:bottom w:val="single" w:color="auto" w:sz="4" w:space="0"/>
              <w:right w:val="single" w:color="000000" w:sz="4" w:space="0"/>
            </w:tcBorders>
            <w:noWrap/>
            <w:vAlign w:val="center"/>
          </w:tcPr>
          <w:p>
            <w:pPr>
              <w:pageBreakBefore w:val="0"/>
              <w:widowControl/>
              <w:kinsoku/>
              <w:wordWrap/>
              <w:overflowPunct/>
              <w:topLinePunct w:val="0"/>
              <w:bidi w:val="0"/>
              <w:spacing w:line="240" w:lineRule="auto"/>
              <w:ind w:firstLine="420" w:firstLineChars="200"/>
              <w:jc w:val="left"/>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项目总体日元贷款9.84亿日元，合同金额9.68亿日元，贷款以支持我省经济信息系统的建设。总共涉及24个单位。包括我省的17个市州、3个厅局和我中心以及重庆的3个区。</w:t>
            </w:r>
          </w:p>
        </w:tc>
      </w:tr>
      <w:tr>
        <w:tblPrEx>
          <w:tblCellMar>
            <w:top w:w="0" w:type="dxa"/>
            <w:left w:w="108" w:type="dxa"/>
            <w:bottom w:w="0" w:type="dxa"/>
            <w:right w:w="108" w:type="dxa"/>
          </w:tblCellMar>
        </w:tblPrEx>
        <w:trPr>
          <w:trHeight w:val="578" w:hRule="atLeast"/>
          <w:jc w:val="center"/>
        </w:trPr>
        <w:tc>
          <w:tcPr>
            <w:tcW w:w="364" w:type="pct"/>
            <w:vMerge w:val="restar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年度绩效指标完成情况</w:t>
            </w:r>
          </w:p>
        </w:tc>
        <w:tc>
          <w:tcPr>
            <w:tcW w:w="471"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一级</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554"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二级</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1233"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三级</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96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预期指</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标值</w:t>
            </w:r>
          </w:p>
        </w:tc>
        <w:tc>
          <w:tcPr>
            <w:tcW w:w="1415"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实际完成指标值</w:t>
            </w:r>
          </w:p>
        </w:tc>
      </w:tr>
      <w:tr>
        <w:tblPrEx>
          <w:tblCellMar>
            <w:top w:w="0" w:type="dxa"/>
            <w:left w:w="108" w:type="dxa"/>
            <w:bottom w:w="0" w:type="dxa"/>
            <w:right w:w="108" w:type="dxa"/>
          </w:tblCellMar>
        </w:tblPrEx>
        <w:trPr>
          <w:trHeight w:val="397" w:hRule="atLeast"/>
          <w:jc w:val="center"/>
        </w:trPr>
        <w:tc>
          <w:tcPr>
            <w:tcW w:w="364"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471" w:type="pct"/>
            <w:vMerge w:val="restart"/>
            <w:tcBorders>
              <w:top w:val="single" w:color="auto" w:sz="4" w:space="0"/>
              <w:left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完成</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554" w:type="pct"/>
            <w:vMerge w:val="restart"/>
            <w:tcBorders>
              <w:top w:val="single" w:color="auto" w:sz="4" w:space="0"/>
              <w:left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数量指标</w:t>
            </w:r>
          </w:p>
        </w:tc>
        <w:tc>
          <w:tcPr>
            <w:tcW w:w="1233"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还款次数</w:t>
            </w:r>
          </w:p>
        </w:tc>
        <w:tc>
          <w:tcPr>
            <w:tcW w:w="96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一年四次</w:t>
            </w:r>
          </w:p>
        </w:tc>
        <w:tc>
          <w:tcPr>
            <w:tcW w:w="1415"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一年四次</w:t>
            </w:r>
          </w:p>
        </w:tc>
      </w:tr>
      <w:tr>
        <w:tblPrEx>
          <w:tblCellMar>
            <w:top w:w="0" w:type="dxa"/>
            <w:left w:w="108" w:type="dxa"/>
            <w:bottom w:w="0" w:type="dxa"/>
            <w:right w:w="108" w:type="dxa"/>
          </w:tblCellMar>
        </w:tblPrEx>
        <w:trPr>
          <w:trHeight w:val="397" w:hRule="atLeast"/>
          <w:jc w:val="center"/>
        </w:trPr>
        <w:tc>
          <w:tcPr>
            <w:tcW w:w="364"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471" w:type="pct"/>
            <w:vMerge w:val="continue"/>
            <w:tcBorders>
              <w:left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554" w:type="pct"/>
            <w:vMerge w:val="continue"/>
            <w:tcBorders>
              <w:left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p>
        </w:tc>
        <w:tc>
          <w:tcPr>
            <w:tcW w:w="1233"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还款金额</w:t>
            </w:r>
          </w:p>
        </w:tc>
        <w:tc>
          <w:tcPr>
            <w:tcW w:w="96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309万元人民币</w:t>
            </w:r>
          </w:p>
        </w:tc>
        <w:tc>
          <w:tcPr>
            <w:tcW w:w="1415"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309万元人民币</w:t>
            </w:r>
          </w:p>
        </w:tc>
      </w:tr>
      <w:tr>
        <w:tblPrEx>
          <w:tblCellMar>
            <w:top w:w="0" w:type="dxa"/>
            <w:left w:w="108" w:type="dxa"/>
            <w:bottom w:w="0" w:type="dxa"/>
            <w:right w:w="108" w:type="dxa"/>
          </w:tblCellMar>
        </w:tblPrEx>
        <w:trPr>
          <w:trHeight w:val="397" w:hRule="atLeast"/>
          <w:jc w:val="center"/>
        </w:trPr>
        <w:tc>
          <w:tcPr>
            <w:tcW w:w="364"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471" w:type="pct"/>
            <w:vMerge w:val="continue"/>
            <w:tcBorders>
              <w:left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554" w:type="pct"/>
            <w:vMerge w:val="continue"/>
            <w:tcBorders>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p>
        </w:tc>
        <w:tc>
          <w:tcPr>
            <w:tcW w:w="1233"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项目参加单位</w:t>
            </w:r>
          </w:p>
        </w:tc>
        <w:tc>
          <w:tcPr>
            <w:tcW w:w="96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23个</w:t>
            </w:r>
          </w:p>
        </w:tc>
        <w:tc>
          <w:tcPr>
            <w:tcW w:w="1415"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23个</w:t>
            </w:r>
          </w:p>
        </w:tc>
      </w:tr>
      <w:tr>
        <w:tblPrEx>
          <w:tblCellMar>
            <w:top w:w="0" w:type="dxa"/>
            <w:left w:w="108" w:type="dxa"/>
            <w:bottom w:w="0" w:type="dxa"/>
            <w:right w:w="108" w:type="dxa"/>
          </w:tblCellMar>
        </w:tblPrEx>
        <w:trPr>
          <w:trHeight w:val="397" w:hRule="atLeast"/>
          <w:jc w:val="center"/>
        </w:trPr>
        <w:tc>
          <w:tcPr>
            <w:tcW w:w="364"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471" w:type="pct"/>
            <w:vMerge w:val="continue"/>
            <w:tcBorders>
              <w:left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554" w:type="pct"/>
            <w:vMerge w:val="restart"/>
            <w:tcBorders>
              <w:top w:val="single" w:color="auto" w:sz="4" w:space="0"/>
              <w:left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质量指标</w:t>
            </w:r>
          </w:p>
        </w:tc>
        <w:tc>
          <w:tcPr>
            <w:tcW w:w="1233"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left"/>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全省提款额度</w:t>
            </w:r>
          </w:p>
        </w:tc>
        <w:tc>
          <w:tcPr>
            <w:tcW w:w="96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968620107日元</w:t>
            </w:r>
          </w:p>
        </w:tc>
        <w:tc>
          <w:tcPr>
            <w:tcW w:w="1415"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968620107日元</w:t>
            </w:r>
          </w:p>
        </w:tc>
      </w:tr>
      <w:tr>
        <w:tblPrEx>
          <w:tblCellMar>
            <w:top w:w="0" w:type="dxa"/>
            <w:left w:w="108" w:type="dxa"/>
            <w:bottom w:w="0" w:type="dxa"/>
            <w:right w:w="108" w:type="dxa"/>
          </w:tblCellMar>
        </w:tblPrEx>
        <w:trPr>
          <w:trHeight w:val="397" w:hRule="atLeast"/>
          <w:jc w:val="center"/>
        </w:trPr>
        <w:tc>
          <w:tcPr>
            <w:tcW w:w="364"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471" w:type="pct"/>
            <w:vMerge w:val="continue"/>
            <w:tcBorders>
              <w:left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554" w:type="pct"/>
            <w:vMerge w:val="continue"/>
            <w:tcBorders>
              <w:left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p>
        </w:tc>
        <w:tc>
          <w:tcPr>
            <w:tcW w:w="1233"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left"/>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省本级用款额度</w:t>
            </w:r>
          </w:p>
        </w:tc>
        <w:tc>
          <w:tcPr>
            <w:tcW w:w="96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392927696日元</w:t>
            </w:r>
          </w:p>
        </w:tc>
        <w:tc>
          <w:tcPr>
            <w:tcW w:w="1415"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392927696日元</w:t>
            </w:r>
          </w:p>
        </w:tc>
      </w:tr>
      <w:tr>
        <w:tblPrEx>
          <w:tblCellMar>
            <w:top w:w="0" w:type="dxa"/>
            <w:left w:w="108" w:type="dxa"/>
            <w:bottom w:w="0" w:type="dxa"/>
            <w:right w:w="108" w:type="dxa"/>
          </w:tblCellMar>
        </w:tblPrEx>
        <w:trPr>
          <w:trHeight w:val="397" w:hRule="atLeast"/>
          <w:jc w:val="center"/>
        </w:trPr>
        <w:tc>
          <w:tcPr>
            <w:tcW w:w="364"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471" w:type="pct"/>
            <w:vMerge w:val="continue"/>
            <w:tcBorders>
              <w:left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554" w:type="pct"/>
            <w:vMerge w:val="continue"/>
            <w:tcBorders>
              <w:left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p>
        </w:tc>
        <w:tc>
          <w:tcPr>
            <w:tcW w:w="1233"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left"/>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各市州用款额度</w:t>
            </w:r>
          </w:p>
        </w:tc>
        <w:tc>
          <w:tcPr>
            <w:tcW w:w="96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276805770日元</w:t>
            </w:r>
          </w:p>
        </w:tc>
        <w:tc>
          <w:tcPr>
            <w:tcW w:w="1415"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276805770日元</w:t>
            </w:r>
          </w:p>
        </w:tc>
      </w:tr>
      <w:tr>
        <w:tblPrEx>
          <w:tblCellMar>
            <w:top w:w="0" w:type="dxa"/>
            <w:left w:w="108" w:type="dxa"/>
            <w:bottom w:w="0" w:type="dxa"/>
            <w:right w:w="108" w:type="dxa"/>
          </w:tblCellMar>
        </w:tblPrEx>
        <w:trPr>
          <w:trHeight w:val="397" w:hRule="atLeast"/>
          <w:jc w:val="center"/>
        </w:trPr>
        <w:tc>
          <w:tcPr>
            <w:tcW w:w="364"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471" w:type="pct"/>
            <w:vMerge w:val="continue"/>
            <w:tcBorders>
              <w:left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554" w:type="pct"/>
            <w:vMerge w:val="continue"/>
            <w:tcBorders>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p>
        </w:tc>
        <w:tc>
          <w:tcPr>
            <w:tcW w:w="1233"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left"/>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成都市贷款额度</w:t>
            </w:r>
          </w:p>
        </w:tc>
        <w:tc>
          <w:tcPr>
            <w:tcW w:w="96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298886641日元</w:t>
            </w:r>
          </w:p>
        </w:tc>
        <w:tc>
          <w:tcPr>
            <w:tcW w:w="1415"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298886641日元</w:t>
            </w:r>
          </w:p>
        </w:tc>
      </w:tr>
      <w:tr>
        <w:tblPrEx>
          <w:tblCellMar>
            <w:top w:w="0" w:type="dxa"/>
            <w:left w:w="108" w:type="dxa"/>
            <w:bottom w:w="0" w:type="dxa"/>
            <w:right w:w="108" w:type="dxa"/>
          </w:tblCellMar>
        </w:tblPrEx>
        <w:trPr>
          <w:trHeight w:val="893" w:hRule="atLeast"/>
          <w:jc w:val="center"/>
        </w:trPr>
        <w:tc>
          <w:tcPr>
            <w:tcW w:w="364"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471" w:type="pct"/>
            <w:vMerge w:val="continue"/>
            <w:tcBorders>
              <w:left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554" w:type="pct"/>
            <w:vMerge w:val="restart"/>
            <w:tcBorders>
              <w:top w:val="single" w:color="auto" w:sz="4" w:space="0"/>
              <w:left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时效指标</w:t>
            </w:r>
          </w:p>
        </w:tc>
        <w:tc>
          <w:tcPr>
            <w:tcW w:w="1233"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项目完成节点</w:t>
            </w:r>
          </w:p>
        </w:tc>
        <w:tc>
          <w:tcPr>
            <w:tcW w:w="96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当年支付利息，到2025年本息全部付清</w:t>
            </w:r>
          </w:p>
        </w:tc>
        <w:tc>
          <w:tcPr>
            <w:tcW w:w="1415"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当年支付利息，到2025年本息全部付清</w:t>
            </w:r>
          </w:p>
        </w:tc>
      </w:tr>
      <w:tr>
        <w:tblPrEx>
          <w:tblCellMar>
            <w:top w:w="0" w:type="dxa"/>
            <w:left w:w="108" w:type="dxa"/>
            <w:bottom w:w="0" w:type="dxa"/>
            <w:right w:w="108" w:type="dxa"/>
          </w:tblCellMar>
        </w:tblPrEx>
        <w:trPr>
          <w:trHeight w:val="430" w:hRule="atLeast"/>
          <w:jc w:val="center"/>
        </w:trPr>
        <w:tc>
          <w:tcPr>
            <w:tcW w:w="364"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471" w:type="pct"/>
            <w:vMerge w:val="continue"/>
            <w:tcBorders>
              <w:left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554" w:type="pct"/>
            <w:vMerge w:val="continue"/>
            <w:tcBorders>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p>
        </w:tc>
        <w:tc>
          <w:tcPr>
            <w:tcW w:w="1233"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资金支付进度</w:t>
            </w:r>
          </w:p>
        </w:tc>
        <w:tc>
          <w:tcPr>
            <w:tcW w:w="96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按贷款需求</w:t>
            </w:r>
          </w:p>
        </w:tc>
        <w:tc>
          <w:tcPr>
            <w:tcW w:w="1415"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按贷款需求</w:t>
            </w:r>
          </w:p>
        </w:tc>
      </w:tr>
      <w:tr>
        <w:tblPrEx>
          <w:tblCellMar>
            <w:top w:w="0" w:type="dxa"/>
            <w:left w:w="108" w:type="dxa"/>
            <w:bottom w:w="0" w:type="dxa"/>
            <w:right w:w="108" w:type="dxa"/>
          </w:tblCellMar>
        </w:tblPrEx>
        <w:trPr>
          <w:trHeight w:val="420" w:hRule="atLeast"/>
          <w:jc w:val="center"/>
        </w:trPr>
        <w:tc>
          <w:tcPr>
            <w:tcW w:w="364"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471" w:type="pct"/>
            <w:vMerge w:val="continue"/>
            <w:tcBorders>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p>
        </w:tc>
        <w:tc>
          <w:tcPr>
            <w:tcW w:w="554"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成本指标</w:t>
            </w:r>
          </w:p>
        </w:tc>
        <w:tc>
          <w:tcPr>
            <w:tcW w:w="1233"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支付利息</w:t>
            </w:r>
          </w:p>
        </w:tc>
        <w:tc>
          <w:tcPr>
            <w:tcW w:w="96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年息2.3%</w:t>
            </w:r>
          </w:p>
        </w:tc>
        <w:tc>
          <w:tcPr>
            <w:tcW w:w="1415"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b/>
                <w:bCs/>
                <w:color w:val="auto"/>
                <w:kern w:val="0"/>
                <w:szCs w:val="21"/>
              </w:rPr>
            </w:pPr>
            <w:r>
              <w:rPr>
                <w:rFonts w:hint="default" w:ascii="Times New Roman" w:hAnsi="Times New Roman" w:eastAsia="仿宋_GB2312" w:cs="Times New Roman"/>
                <w:color w:val="auto"/>
                <w:kern w:val="0"/>
                <w:szCs w:val="21"/>
              </w:rPr>
              <w:t>年息2.3%</w:t>
            </w:r>
          </w:p>
        </w:tc>
      </w:tr>
      <w:tr>
        <w:tblPrEx>
          <w:tblCellMar>
            <w:top w:w="0" w:type="dxa"/>
            <w:left w:w="108" w:type="dxa"/>
            <w:bottom w:w="0" w:type="dxa"/>
            <w:right w:w="108" w:type="dxa"/>
          </w:tblCellMar>
        </w:tblPrEx>
        <w:trPr>
          <w:trHeight w:val="1000" w:hRule="atLeast"/>
          <w:jc w:val="center"/>
        </w:trPr>
        <w:tc>
          <w:tcPr>
            <w:tcW w:w="364"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471" w:type="pct"/>
            <w:vMerge w:val="restart"/>
            <w:tcBorders>
              <w:top w:val="single" w:color="auto" w:sz="4" w:space="0"/>
              <w:left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效益指标</w:t>
            </w:r>
          </w:p>
        </w:tc>
        <w:tc>
          <w:tcPr>
            <w:tcW w:w="554" w:type="pct"/>
            <w:vMerge w:val="restart"/>
            <w:tcBorders>
              <w:top w:val="single" w:color="auto" w:sz="4" w:space="0"/>
              <w:left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经济效益指标</w:t>
            </w:r>
          </w:p>
        </w:tc>
        <w:tc>
          <w:tcPr>
            <w:tcW w:w="1233"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提升信息化水平</w:t>
            </w:r>
          </w:p>
        </w:tc>
        <w:tc>
          <w:tcPr>
            <w:tcW w:w="96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left"/>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各市州使用日元贷款购置硬件软件设备等</w:t>
            </w:r>
          </w:p>
        </w:tc>
        <w:tc>
          <w:tcPr>
            <w:tcW w:w="1415"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left"/>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各市州使用日元贷款购置硬件软件设备等</w:t>
            </w:r>
          </w:p>
        </w:tc>
      </w:tr>
      <w:tr>
        <w:tblPrEx>
          <w:tblCellMar>
            <w:top w:w="0" w:type="dxa"/>
            <w:left w:w="108" w:type="dxa"/>
            <w:bottom w:w="0" w:type="dxa"/>
            <w:right w:w="108" w:type="dxa"/>
          </w:tblCellMar>
        </w:tblPrEx>
        <w:trPr>
          <w:trHeight w:val="1475" w:hRule="atLeast"/>
          <w:jc w:val="center"/>
        </w:trPr>
        <w:tc>
          <w:tcPr>
            <w:tcW w:w="364"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471" w:type="pct"/>
            <w:vMerge w:val="continue"/>
            <w:tcBorders>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p>
        </w:tc>
        <w:tc>
          <w:tcPr>
            <w:tcW w:w="554" w:type="pct"/>
            <w:vMerge w:val="continue"/>
            <w:tcBorders>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p>
        </w:tc>
        <w:tc>
          <w:tcPr>
            <w:tcW w:w="1233"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提供资金保障</w:t>
            </w:r>
          </w:p>
        </w:tc>
        <w:tc>
          <w:tcPr>
            <w:tcW w:w="96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left"/>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本项目的执行，为四川省经济信息建设的设备采购和技术人员培训提供了资金</w:t>
            </w:r>
          </w:p>
        </w:tc>
        <w:tc>
          <w:tcPr>
            <w:tcW w:w="1415"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left"/>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本项目的执行，为四川省经济信息建设的设备采购和技术人员培训提供了资金</w:t>
            </w:r>
          </w:p>
        </w:tc>
      </w:tr>
      <w:tr>
        <w:tblPrEx>
          <w:tblCellMar>
            <w:top w:w="0" w:type="dxa"/>
            <w:left w:w="108" w:type="dxa"/>
            <w:bottom w:w="0" w:type="dxa"/>
            <w:right w:w="108" w:type="dxa"/>
          </w:tblCellMar>
        </w:tblPrEx>
        <w:trPr>
          <w:trHeight w:val="990" w:hRule="atLeast"/>
          <w:jc w:val="center"/>
        </w:trPr>
        <w:tc>
          <w:tcPr>
            <w:tcW w:w="364"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471" w:type="pct"/>
            <w:vMerge w:val="restart"/>
            <w:tcBorders>
              <w:top w:val="single" w:color="auto" w:sz="4" w:space="0"/>
              <w:left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效益指标</w:t>
            </w:r>
          </w:p>
        </w:tc>
        <w:tc>
          <w:tcPr>
            <w:tcW w:w="554" w:type="pct"/>
            <w:vMerge w:val="restart"/>
            <w:tcBorders>
              <w:top w:val="single" w:color="auto" w:sz="4" w:space="0"/>
              <w:left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社会效益指标</w:t>
            </w:r>
          </w:p>
        </w:tc>
        <w:tc>
          <w:tcPr>
            <w:tcW w:w="1233"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为政府宏观决策服务</w:t>
            </w:r>
          </w:p>
        </w:tc>
        <w:tc>
          <w:tcPr>
            <w:tcW w:w="96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left"/>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贷款为国家中心汇总分析全国宏观经济运行状况提供了有力支持，特别是每季度的经济形势分析、我省经济发展中重大问题的研究、经济走势的预测分析等信息，为省内各级政府和国家有关部门的宏观决策和调控服务起到了积极作用</w:t>
            </w:r>
          </w:p>
        </w:tc>
        <w:tc>
          <w:tcPr>
            <w:tcW w:w="1415"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left"/>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贷款为国家中心汇总分析全国宏观经济运行状况提供了有力支持，特别是每季度的经济形势分析、我省经济发展中重大问题的研究、经济走势的预测分析等信息，为省内各级政府和国家有关部门的宏观决策和调控服务起到了积极作用</w:t>
            </w:r>
          </w:p>
        </w:tc>
      </w:tr>
      <w:tr>
        <w:tblPrEx>
          <w:tblCellMar>
            <w:top w:w="0" w:type="dxa"/>
            <w:left w:w="108" w:type="dxa"/>
            <w:bottom w:w="0" w:type="dxa"/>
            <w:right w:w="108" w:type="dxa"/>
          </w:tblCellMar>
        </w:tblPrEx>
        <w:trPr>
          <w:trHeight w:val="760" w:hRule="atLeast"/>
          <w:jc w:val="center"/>
        </w:trPr>
        <w:tc>
          <w:tcPr>
            <w:tcW w:w="364"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471" w:type="pct"/>
            <w:vMerge w:val="continue"/>
            <w:tcBorders>
              <w:left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p>
        </w:tc>
        <w:tc>
          <w:tcPr>
            <w:tcW w:w="554" w:type="pct"/>
            <w:vMerge w:val="continue"/>
            <w:tcBorders>
              <w:left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p>
        </w:tc>
        <w:tc>
          <w:tcPr>
            <w:tcW w:w="1233"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促进全省经济信息工作开展</w:t>
            </w:r>
          </w:p>
        </w:tc>
        <w:tc>
          <w:tcPr>
            <w:tcW w:w="96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left"/>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支持全省经济信息系统建设</w:t>
            </w:r>
          </w:p>
        </w:tc>
        <w:tc>
          <w:tcPr>
            <w:tcW w:w="1415"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left"/>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支持全省经济信息系统建设</w:t>
            </w:r>
          </w:p>
        </w:tc>
      </w:tr>
      <w:tr>
        <w:tblPrEx>
          <w:tblCellMar>
            <w:top w:w="0" w:type="dxa"/>
            <w:left w:w="108" w:type="dxa"/>
            <w:bottom w:w="0" w:type="dxa"/>
            <w:right w:w="108" w:type="dxa"/>
          </w:tblCellMar>
        </w:tblPrEx>
        <w:trPr>
          <w:trHeight w:val="990" w:hRule="atLeast"/>
          <w:jc w:val="center"/>
        </w:trPr>
        <w:tc>
          <w:tcPr>
            <w:tcW w:w="364"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471" w:type="pct"/>
            <w:vMerge w:val="continue"/>
            <w:tcBorders>
              <w:left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p>
        </w:tc>
        <w:tc>
          <w:tcPr>
            <w:tcW w:w="554" w:type="pct"/>
            <w:vMerge w:val="continue"/>
            <w:tcBorders>
              <w:left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p>
        </w:tc>
        <w:tc>
          <w:tcPr>
            <w:tcW w:w="1233"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使管理手段更现代化</w:t>
            </w:r>
          </w:p>
        </w:tc>
        <w:tc>
          <w:tcPr>
            <w:tcW w:w="96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left"/>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利用贷款建设的信息平台对我省经济信息管理手段现代化和管理方法科学化具有促进作用</w:t>
            </w:r>
          </w:p>
        </w:tc>
        <w:tc>
          <w:tcPr>
            <w:tcW w:w="1415"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left"/>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利用贷款建设的信息平台对我省经济信息管理手段现代化和管理方法科学化具有促进作用</w:t>
            </w:r>
          </w:p>
        </w:tc>
      </w:tr>
      <w:tr>
        <w:tblPrEx>
          <w:tblCellMar>
            <w:top w:w="0" w:type="dxa"/>
            <w:left w:w="108" w:type="dxa"/>
            <w:bottom w:w="0" w:type="dxa"/>
            <w:right w:w="108" w:type="dxa"/>
          </w:tblCellMar>
        </w:tblPrEx>
        <w:trPr>
          <w:trHeight w:val="990" w:hRule="atLeast"/>
          <w:jc w:val="center"/>
        </w:trPr>
        <w:tc>
          <w:tcPr>
            <w:tcW w:w="364"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471" w:type="pct"/>
            <w:vMerge w:val="continue"/>
            <w:tcBorders>
              <w:left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p>
        </w:tc>
        <w:tc>
          <w:tcPr>
            <w:tcW w:w="554" w:type="pct"/>
            <w:vMerge w:val="continue"/>
            <w:tcBorders>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p>
        </w:tc>
        <w:tc>
          <w:tcPr>
            <w:tcW w:w="1233"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加快电子政务建设</w:t>
            </w:r>
          </w:p>
        </w:tc>
        <w:tc>
          <w:tcPr>
            <w:tcW w:w="96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left"/>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利用资金为政务公开提供网络支持</w:t>
            </w:r>
          </w:p>
        </w:tc>
        <w:tc>
          <w:tcPr>
            <w:tcW w:w="1415"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left"/>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利用资金为政务公开提供网络支持</w:t>
            </w:r>
          </w:p>
        </w:tc>
      </w:tr>
      <w:tr>
        <w:tblPrEx>
          <w:tblCellMar>
            <w:top w:w="0" w:type="dxa"/>
            <w:left w:w="108" w:type="dxa"/>
            <w:bottom w:w="0" w:type="dxa"/>
            <w:right w:w="108" w:type="dxa"/>
          </w:tblCellMar>
        </w:tblPrEx>
        <w:trPr>
          <w:trHeight w:val="990" w:hRule="atLeast"/>
          <w:jc w:val="center"/>
        </w:trPr>
        <w:tc>
          <w:tcPr>
            <w:tcW w:w="364"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471" w:type="pct"/>
            <w:vMerge w:val="continue"/>
            <w:tcBorders>
              <w:left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p>
        </w:tc>
        <w:tc>
          <w:tcPr>
            <w:tcW w:w="554"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生态效益</w:t>
            </w:r>
          </w:p>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指标</w:t>
            </w:r>
          </w:p>
        </w:tc>
        <w:tc>
          <w:tcPr>
            <w:tcW w:w="1233"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无纸化办公</w:t>
            </w:r>
          </w:p>
        </w:tc>
        <w:tc>
          <w:tcPr>
            <w:tcW w:w="96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left"/>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建设办公平台，购买计算机硬件推进无纸化办公</w:t>
            </w:r>
          </w:p>
        </w:tc>
        <w:tc>
          <w:tcPr>
            <w:tcW w:w="1415"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left"/>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建设办公平台，购买计算机硬件推进无纸化办公</w:t>
            </w:r>
          </w:p>
        </w:tc>
      </w:tr>
      <w:tr>
        <w:tblPrEx>
          <w:tblCellMar>
            <w:top w:w="0" w:type="dxa"/>
            <w:left w:w="108" w:type="dxa"/>
            <w:bottom w:w="0" w:type="dxa"/>
            <w:right w:w="108" w:type="dxa"/>
          </w:tblCellMar>
        </w:tblPrEx>
        <w:trPr>
          <w:trHeight w:val="397" w:hRule="atLeast"/>
          <w:jc w:val="center"/>
        </w:trPr>
        <w:tc>
          <w:tcPr>
            <w:tcW w:w="364"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471" w:type="pct"/>
            <w:vMerge w:val="continue"/>
            <w:tcBorders>
              <w:left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p>
        </w:tc>
        <w:tc>
          <w:tcPr>
            <w:tcW w:w="554" w:type="pct"/>
            <w:vMerge w:val="restart"/>
            <w:tcBorders>
              <w:top w:val="single" w:color="auto" w:sz="4" w:space="0"/>
              <w:left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可持续影响指标</w:t>
            </w:r>
          </w:p>
        </w:tc>
        <w:tc>
          <w:tcPr>
            <w:tcW w:w="1233"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运行情况</w:t>
            </w:r>
          </w:p>
        </w:tc>
        <w:tc>
          <w:tcPr>
            <w:tcW w:w="96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良好</w:t>
            </w:r>
          </w:p>
        </w:tc>
        <w:tc>
          <w:tcPr>
            <w:tcW w:w="1415"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ind w:firstLine="420" w:firstLineChars="200"/>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良好</w:t>
            </w:r>
          </w:p>
        </w:tc>
      </w:tr>
      <w:tr>
        <w:tblPrEx>
          <w:tblCellMar>
            <w:top w:w="0" w:type="dxa"/>
            <w:left w:w="108" w:type="dxa"/>
            <w:bottom w:w="0" w:type="dxa"/>
            <w:right w:w="108" w:type="dxa"/>
          </w:tblCellMar>
        </w:tblPrEx>
        <w:trPr>
          <w:trHeight w:val="397" w:hRule="atLeast"/>
          <w:jc w:val="center"/>
        </w:trPr>
        <w:tc>
          <w:tcPr>
            <w:tcW w:w="364"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471" w:type="pct"/>
            <w:vMerge w:val="continue"/>
            <w:tcBorders>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p>
        </w:tc>
        <w:tc>
          <w:tcPr>
            <w:tcW w:w="554" w:type="pct"/>
            <w:vMerge w:val="continue"/>
            <w:tcBorders>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p>
        </w:tc>
        <w:tc>
          <w:tcPr>
            <w:tcW w:w="1233"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剩余持续年限</w:t>
            </w:r>
          </w:p>
        </w:tc>
        <w:tc>
          <w:tcPr>
            <w:tcW w:w="96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5年</w:t>
            </w:r>
          </w:p>
        </w:tc>
        <w:tc>
          <w:tcPr>
            <w:tcW w:w="1415"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ind w:firstLine="420" w:firstLineChars="200"/>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5年</w:t>
            </w:r>
          </w:p>
        </w:tc>
      </w:tr>
      <w:tr>
        <w:tblPrEx>
          <w:tblCellMar>
            <w:top w:w="0" w:type="dxa"/>
            <w:left w:w="108" w:type="dxa"/>
            <w:bottom w:w="0" w:type="dxa"/>
            <w:right w:w="108" w:type="dxa"/>
          </w:tblCellMar>
        </w:tblPrEx>
        <w:trPr>
          <w:trHeight w:val="685" w:hRule="atLeast"/>
          <w:jc w:val="center"/>
        </w:trPr>
        <w:tc>
          <w:tcPr>
            <w:tcW w:w="364"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471"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满意度</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554"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满意度</w:t>
            </w:r>
          </w:p>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指标</w:t>
            </w:r>
          </w:p>
        </w:tc>
        <w:tc>
          <w:tcPr>
            <w:tcW w:w="1233"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服务对象满意度</w:t>
            </w:r>
          </w:p>
        </w:tc>
        <w:tc>
          <w:tcPr>
            <w:tcW w:w="960"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100%</w:t>
            </w:r>
          </w:p>
        </w:tc>
        <w:tc>
          <w:tcPr>
            <w:tcW w:w="1415"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ind w:firstLine="420" w:firstLineChars="200"/>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100%</w:t>
            </w:r>
          </w:p>
        </w:tc>
      </w:tr>
    </w:tbl>
    <w:p>
      <w:pPr>
        <w:pStyle w:val="7"/>
        <w:pageBreakBefore w:val="0"/>
        <w:kinsoku/>
        <w:wordWrap/>
        <w:overflowPunct/>
        <w:topLinePunct w:val="0"/>
        <w:bidi w:val="0"/>
        <w:spacing w:line="560" w:lineRule="exact"/>
        <w:rPr>
          <w:rFonts w:hint="default" w:ascii="Times New Roman" w:hAnsi="Times New Roman" w:cs="Times New Roman"/>
          <w:color w:val="auto"/>
        </w:rPr>
      </w:pPr>
    </w:p>
    <w:p>
      <w:pPr>
        <w:rPr>
          <w:rFonts w:hint="default" w:ascii="Times New Roman" w:hAnsi="Times New Roman" w:cs="Times New Roman"/>
          <w:color w:val="auto"/>
        </w:rPr>
      </w:pPr>
    </w:p>
    <w:tbl>
      <w:tblPr>
        <w:tblStyle w:val="21"/>
        <w:tblpPr w:leftFromText="180" w:rightFromText="180" w:vertAnchor="text" w:horzAnchor="page" w:tblpXSpec="center" w:tblpY="221"/>
        <w:tblOverlap w:val="never"/>
        <w:tblW w:w="5000" w:type="pct"/>
        <w:jc w:val="center"/>
        <w:tblLayout w:type="fixed"/>
        <w:tblCellMar>
          <w:top w:w="0" w:type="dxa"/>
          <w:left w:w="108" w:type="dxa"/>
          <w:bottom w:w="0" w:type="dxa"/>
          <w:right w:w="108" w:type="dxa"/>
        </w:tblCellMar>
      </w:tblPr>
      <w:tblGrid>
        <w:gridCol w:w="641"/>
        <w:gridCol w:w="710"/>
        <w:gridCol w:w="217"/>
        <w:gridCol w:w="1029"/>
        <w:gridCol w:w="120"/>
        <w:gridCol w:w="2153"/>
        <w:gridCol w:w="1629"/>
        <w:gridCol w:w="2562"/>
      </w:tblGrid>
      <w:tr>
        <w:tblPrEx>
          <w:tblCellMar>
            <w:top w:w="0" w:type="dxa"/>
            <w:left w:w="108" w:type="dxa"/>
            <w:bottom w:w="0" w:type="dxa"/>
            <w:right w:w="108" w:type="dxa"/>
          </w:tblCellMar>
        </w:tblPrEx>
        <w:trPr>
          <w:trHeight w:val="900" w:hRule="atLeast"/>
          <w:jc w:val="center"/>
        </w:trPr>
        <w:tc>
          <w:tcPr>
            <w:tcW w:w="5000" w:type="pct"/>
            <w:gridSpan w:val="8"/>
            <w:tcBorders>
              <w:top w:val="nil"/>
              <w:left w:val="nil"/>
              <w:bottom w:val="nil"/>
              <w:right w:val="nil"/>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方正小标宋简体" w:cs="Times New Roman"/>
                <w:bCs/>
                <w:color w:val="auto"/>
                <w:sz w:val="32"/>
                <w:szCs w:val="32"/>
              </w:rPr>
            </w:pPr>
            <w:r>
              <w:rPr>
                <w:rFonts w:hint="default" w:ascii="Times New Roman" w:hAnsi="Times New Roman" w:eastAsia="方正小标宋简体" w:cs="Times New Roman"/>
                <w:bCs/>
                <w:color w:val="auto"/>
                <w:sz w:val="28"/>
                <w:szCs w:val="28"/>
              </w:rPr>
              <w:t>2021年100万以上（含）特定目标类部门预算项目绩效目标自评</w:t>
            </w:r>
          </w:p>
          <w:p>
            <w:pPr>
              <w:pageBreakBefore w:val="0"/>
              <w:widowControl/>
              <w:kinsoku/>
              <w:wordWrap/>
              <w:overflowPunct/>
              <w:topLinePunct w:val="0"/>
              <w:bidi w:val="0"/>
              <w:spacing w:line="240" w:lineRule="auto"/>
              <w:jc w:val="center"/>
              <w:textAlignment w:val="center"/>
              <w:rPr>
                <w:rFonts w:hint="default" w:ascii="Times New Roman" w:hAnsi="Times New Roman" w:eastAsia="方正小标宋简体" w:cs="Times New Roman"/>
                <w:b/>
                <w:color w:val="auto"/>
                <w:sz w:val="32"/>
                <w:szCs w:val="32"/>
              </w:rPr>
            </w:pPr>
            <w:r>
              <w:rPr>
                <w:rFonts w:hint="default" w:ascii="Times New Roman" w:hAnsi="Times New Roman" w:eastAsia="方正小标宋简体" w:cs="Times New Roman"/>
                <w:bCs/>
                <w:color w:val="auto"/>
                <w:sz w:val="28"/>
                <w:szCs w:val="28"/>
              </w:rPr>
              <w:t>（信息化建设项目）</w:t>
            </w:r>
          </w:p>
        </w:tc>
      </w:tr>
      <w:tr>
        <w:tblPrEx>
          <w:tblCellMar>
            <w:top w:w="0" w:type="dxa"/>
            <w:left w:w="108" w:type="dxa"/>
            <w:bottom w:w="0" w:type="dxa"/>
            <w:right w:w="108" w:type="dxa"/>
          </w:tblCellMar>
        </w:tblPrEx>
        <w:trPr>
          <w:trHeight w:val="254" w:hRule="atLeast"/>
          <w:jc w:val="center"/>
        </w:trPr>
        <w:tc>
          <w:tcPr>
            <w:tcW w:w="745" w:type="pct"/>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主管部门及代码</w:t>
            </w:r>
          </w:p>
        </w:tc>
        <w:tc>
          <w:tcPr>
            <w:tcW w:w="1942" w:type="pct"/>
            <w:gridSpan w:val="4"/>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303-四川省发展和改革委员会</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实施单位</w:t>
            </w:r>
          </w:p>
        </w:tc>
        <w:tc>
          <w:tcPr>
            <w:tcW w:w="1412"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四川省县域经济研究中心</w:t>
            </w:r>
          </w:p>
        </w:tc>
      </w:tr>
      <w:tr>
        <w:tblPrEx>
          <w:tblCellMar>
            <w:top w:w="0" w:type="dxa"/>
            <w:left w:w="108" w:type="dxa"/>
            <w:bottom w:w="0" w:type="dxa"/>
            <w:right w:w="108" w:type="dxa"/>
          </w:tblCellMar>
        </w:tblPrEx>
        <w:trPr>
          <w:trHeight w:val="341" w:hRule="atLeast"/>
          <w:jc w:val="center"/>
        </w:trPr>
        <w:tc>
          <w:tcPr>
            <w:tcW w:w="745" w:type="pct"/>
            <w:gridSpan w:val="2"/>
            <w:vMerge w:val="restar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项目预算</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执行情况</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（万元）</w:t>
            </w:r>
          </w:p>
        </w:tc>
        <w:tc>
          <w:tcPr>
            <w:tcW w:w="688" w:type="pct"/>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预算数：</w:t>
            </w:r>
          </w:p>
        </w:tc>
        <w:tc>
          <w:tcPr>
            <w:tcW w:w="1253" w:type="pct"/>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750.32</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执行数：</w:t>
            </w:r>
          </w:p>
        </w:tc>
        <w:tc>
          <w:tcPr>
            <w:tcW w:w="1412"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748.12</w:t>
            </w:r>
          </w:p>
        </w:tc>
      </w:tr>
      <w:tr>
        <w:tblPrEx>
          <w:tblCellMar>
            <w:top w:w="0" w:type="dxa"/>
            <w:left w:w="108" w:type="dxa"/>
            <w:bottom w:w="0" w:type="dxa"/>
            <w:right w:w="108" w:type="dxa"/>
          </w:tblCellMar>
        </w:tblPrEx>
        <w:trPr>
          <w:trHeight w:val="577" w:hRule="atLeast"/>
          <w:jc w:val="center"/>
        </w:trPr>
        <w:tc>
          <w:tcPr>
            <w:tcW w:w="745"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88" w:type="pct"/>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其中：</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财政拨款</w:t>
            </w:r>
          </w:p>
        </w:tc>
        <w:tc>
          <w:tcPr>
            <w:tcW w:w="1253" w:type="pct"/>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750.32</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其中：</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财政拨款</w:t>
            </w:r>
          </w:p>
        </w:tc>
        <w:tc>
          <w:tcPr>
            <w:tcW w:w="1412"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748.12</w:t>
            </w:r>
          </w:p>
        </w:tc>
      </w:tr>
      <w:tr>
        <w:tblPrEx>
          <w:tblCellMar>
            <w:top w:w="0" w:type="dxa"/>
            <w:left w:w="108" w:type="dxa"/>
            <w:bottom w:w="0" w:type="dxa"/>
            <w:right w:w="108" w:type="dxa"/>
          </w:tblCellMar>
        </w:tblPrEx>
        <w:trPr>
          <w:trHeight w:val="341" w:hRule="atLeast"/>
          <w:jc w:val="center"/>
        </w:trPr>
        <w:tc>
          <w:tcPr>
            <w:tcW w:w="745"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88" w:type="pct"/>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其他资金</w:t>
            </w:r>
          </w:p>
        </w:tc>
        <w:tc>
          <w:tcPr>
            <w:tcW w:w="1253" w:type="pct"/>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p>
        </w:tc>
        <w:tc>
          <w:tcPr>
            <w:tcW w:w="899"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其他资金</w:t>
            </w:r>
          </w:p>
        </w:tc>
        <w:tc>
          <w:tcPr>
            <w:tcW w:w="1412"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p>
        </w:tc>
      </w:tr>
      <w:tr>
        <w:tblPrEx>
          <w:tblCellMar>
            <w:top w:w="0" w:type="dxa"/>
            <w:left w:w="108" w:type="dxa"/>
            <w:bottom w:w="0" w:type="dxa"/>
            <w:right w:w="108" w:type="dxa"/>
          </w:tblCellMar>
        </w:tblPrEx>
        <w:trPr>
          <w:trHeight w:val="217" w:hRule="atLeast"/>
          <w:jc w:val="center"/>
        </w:trPr>
        <w:tc>
          <w:tcPr>
            <w:tcW w:w="353" w:type="pct"/>
            <w:vMerge w:val="restar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年度总体目标完成情况</w:t>
            </w:r>
          </w:p>
        </w:tc>
        <w:tc>
          <w:tcPr>
            <w:tcW w:w="2334" w:type="pct"/>
            <w:gridSpan w:val="5"/>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预期目标</w:t>
            </w:r>
          </w:p>
        </w:tc>
        <w:tc>
          <w:tcPr>
            <w:tcW w:w="2312" w:type="pct"/>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目标实际完成情况</w:t>
            </w:r>
          </w:p>
        </w:tc>
      </w:tr>
      <w:tr>
        <w:tblPrEx>
          <w:tblCellMar>
            <w:top w:w="0" w:type="dxa"/>
            <w:left w:w="108" w:type="dxa"/>
            <w:bottom w:w="0" w:type="dxa"/>
            <w:right w:w="108" w:type="dxa"/>
          </w:tblCellMar>
        </w:tblPrEx>
        <w:trPr>
          <w:trHeight w:val="1835" w:hRule="atLeast"/>
          <w:jc w:val="center"/>
        </w:trPr>
        <w:tc>
          <w:tcPr>
            <w:tcW w:w="353" w:type="pct"/>
            <w:vMerge w:val="continue"/>
            <w:tcBorders>
              <w:top w:val="single" w:color="000000" w:sz="4" w:space="0"/>
              <w:left w:val="single" w:color="000000" w:sz="4" w:space="0"/>
              <w:bottom w:val="single" w:color="auto" w:sz="4" w:space="0"/>
              <w:right w:val="single" w:color="000000"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2334" w:type="pct"/>
            <w:gridSpan w:val="5"/>
            <w:tcBorders>
              <w:top w:val="single" w:color="000000" w:sz="4" w:space="0"/>
              <w:left w:val="single" w:color="000000" w:sz="4" w:space="0"/>
              <w:bottom w:val="single" w:color="auto" w:sz="4" w:space="0"/>
              <w:right w:val="single" w:color="000000" w:sz="4" w:space="0"/>
            </w:tcBorders>
            <w:noWrap/>
            <w:vAlign w:val="center"/>
          </w:tcPr>
          <w:p>
            <w:pPr>
              <w:pageBreakBefore w:val="0"/>
              <w:widowControl/>
              <w:kinsoku/>
              <w:wordWrap/>
              <w:overflowPunct/>
              <w:topLinePunct w:val="0"/>
              <w:bidi w:val="0"/>
              <w:spacing w:line="240" w:lineRule="auto"/>
              <w:ind w:firstLine="420" w:firstLineChars="200"/>
              <w:jc w:val="left"/>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1.经济热点、难点分析工作；2.编制年度四川经济展望；3.省发改委门户网站、微博、微信、OA系统等系统运行维护、安全保障及信息采编；4.委信息系统开发建设、升级改造。</w:t>
            </w:r>
          </w:p>
        </w:tc>
        <w:tc>
          <w:tcPr>
            <w:tcW w:w="2312" w:type="pct"/>
            <w:gridSpan w:val="2"/>
            <w:tcBorders>
              <w:top w:val="single" w:color="000000" w:sz="4" w:space="0"/>
              <w:left w:val="single" w:color="000000" w:sz="4" w:space="0"/>
              <w:bottom w:val="single" w:color="auto" w:sz="4" w:space="0"/>
              <w:right w:val="single" w:color="000000" w:sz="4" w:space="0"/>
            </w:tcBorders>
            <w:noWrap/>
            <w:vAlign w:val="center"/>
          </w:tcPr>
          <w:p>
            <w:pPr>
              <w:pageBreakBefore w:val="0"/>
              <w:widowControl/>
              <w:kinsoku/>
              <w:wordWrap/>
              <w:overflowPunct/>
              <w:topLinePunct w:val="0"/>
              <w:bidi w:val="0"/>
              <w:spacing w:line="240" w:lineRule="auto"/>
              <w:ind w:firstLine="420" w:firstLineChars="200"/>
              <w:jc w:val="left"/>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1.完成经济热点、难点分析工作；2.完成年度四川经济展望编制；3.完成省发改委门户网站、微博、微信、OA系统等系统运行维护、安全保障及信息采编；4.基本完成委信息系统开发建设、升级改造。</w:t>
            </w:r>
          </w:p>
        </w:tc>
      </w:tr>
      <w:tr>
        <w:tblPrEx>
          <w:tblCellMar>
            <w:top w:w="0" w:type="dxa"/>
            <w:left w:w="108" w:type="dxa"/>
            <w:bottom w:w="0" w:type="dxa"/>
            <w:right w:w="108" w:type="dxa"/>
          </w:tblCellMar>
        </w:tblPrEx>
        <w:trPr>
          <w:trHeight w:val="738" w:hRule="atLeast"/>
          <w:jc w:val="center"/>
        </w:trPr>
        <w:tc>
          <w:tcPr>
            <w:tcW w:w="353" w:type="pct"/>
            <w:vMerge w:val="restar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年度绩效指标完成情况</w:t>
            </w:r>
          </w:p>
        </w:tc>
        <w:tc>
          <w:tcPr>
            <w:tcW w:w="512" w:type="pct"/>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一级</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634" w:type="pct"/>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二级</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1188"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三级</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89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预期指</w:t>
            </w:r>
          </w:p>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标值</w:t>
            </w:r>
          </w:p>
        </w:tc>
        <w:tc>
          <w:tcPr>
            <w:tcW w:w="1412"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实际完成指标值</w:t>
            </w:r>
          </w:p>
        </w:tc>
      </w:tr>
      <w:tr>
        <w:tblPrEx>
          <w:tblCellMar>
            <w:top w:w="0" w:type="dxa"/>
            <w:left w:w="108" w:type="dxa"/>
            <w:bottom w:w="0" w:type="dxa"/>
            <w:right w:w="108" w:type="dxa"/>
          </w:tblCellMar>
        </w:tblPrEx>
        <w:trPr>
          <w:trHeight w:val="1285" w:hRule="atLeast"/>
          <w:jc w:val="center"/>
        </w:trPr>
        <w:tc>
          <w:tcPr>
            <w:tcW w:w="353"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512" w:type="pct"/>
            <w:gridSpan w:val="2"/>
            <w:vMerge w:val="restart"/>
            <w:tcBorders>
              <w:top w:val="single" w:color="auto" w:sz="4" w:space="0"/>
              <w:left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完成</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634" w:type="pct"/>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数量指标</w:t>
            </w:r>
          </w:p>
        </w:tc>
        <w:tc>
          <w:tcPr>
            <w:tcW w:w="1188"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left"/>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1.完成2个经济研究项目；2.2个信息刊物编辑；3.发改委网络系统安全运维；4.8个系统的招投标。</w:t>
            </w:r>
          </w:p>
        </w:tc>
        <w:tc>
          <w:tcPr>
            <w:tcW w:w="89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75%完成</w:t>
            </w:r>
          </w:p>
        </w:tc>
        <w:tc>
          <w:tcPr>
            <w:tcW w:w="1412"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100%</w:t>
            </w:r>
          </w:p>
        </w:tc>
      </w:tr>
      <w:tr>
        <w:tblPrEx>
          <w:tblCellMar>
            <w:top w:w="0" w:type="dxa"/>
            <w:left w:w="108" w:type="dxa"/>
            <w:bottom w:w="0" w:type="dxa"/>
            <w:right w:w="108" w:type="dxa"/>
          </w:tblCellMar>
        </w:tblPrEx>
        <w:trPr>
          <w:trHeight w:val="519" w:hRule="atLeast"/>
          <w:jc w:val="center"/>
        </w:trPr>
        <w:tc>
          <w:tcPr>
            <w:tcW w:w="353"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512" w:type="pct"/>
            <w:gridSpan w:val="2"/>
            <w:vMerge w:val="continue"/>
            <w:tcBorders>
              <w:left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34" w:type="pct"/>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质量指标</w:t>
            </w:r>
          </w:p>
        </w:tc>
        <w:tc>
          <w:tcPr>
            <w:tcW w:w="1188"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按期完成率</w:t>
            </w:r>
          </w:p>
        </w:tc>
        <w:tc>
          <w:tcPr>
            <w:tcW w:w="89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100%</w:t>
            </w:r>
          </w:p>
        </w:tc>
        <w:tc>
          <w:tcPr>
            <w:tcW w:w="1412"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100%</w:t>
            </w:r>
          </w:p>
        </w:tc>
      </w:tr>
      <w:tr>
        <w:tblPrEx>
          <w:tblCellMar>
            <w:top w:w="0" w:type="dxa"/>
            <w:left w:w="108" w:type="dxa"/>
            <w:bottom w:w="0" w:type="dxa"/>
            <w:right w:w="108" w:type="dxa"/>
          </w:tblCellMar>
        </w:tblPrEx>
        <w:trPr>
          <w:trHeight w:val="685" w:hRule="atLeast"/>
          <w:jc w:val="center"/>
        </w:trPr>
        <w:tc>
          <w:tcPr>
            <w:tcW w:w="353"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512" w:type="pct"/>
            <w:gridSpan w:val="2"/>
            <w:vMerge w:val="continue"/>
            <w:tcBorders>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634" w:type="pct"/>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成本指标</w:t>
            </w:r>
          </w:p>
        </w:tc>
        <w:tc>
          <w:tcPr>
            <w:tcW w:w="1188"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完成计划项目工作</w:t>
            </w:r>
          </w:p>
        </w:tc>
        <w:tc>
          <w:tcPr>
            <w:tcW w:w="89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项目费用不高于预算</w:t>
            </w:r>
          </w:p>
        </w:tc>
        <w:tc>
          <w:tcPr>
            <w:tcW w:w="1412"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项目费用不高于预算</w:t>
            </w:r>
          </w:p>
        </w:tc>
      </w:tr>
      <w:tr>
        <w:tblPrEx>
          <w:tblCellMar>
            <w:top w:w="0" w:type="dxa"/>
            <w:left w:w="108" w:type="dxa"/>
            <w:bottom w:w="0" w:type="dxa"/>
            <w:right w:w="108" w:type="dxa"/>
          </w:tblCellMar>
        </w:tblPrEx>
        <w:trPr>
          <w:trHeight w:val="1165" w:hRule="atLeast"/>
          <w:jc w:val="center"/>
        </w:trPr>
        <w:tc>
          <w:tcPr>
            <w:tcW w:w="353"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512" w:type="pct"/>
            <w:gridSpan w:val="2"/>
            <w:vMerge w:val="restart"/>
            <w:tcBorders>
              <w:top w:val="single" w:color="auto" w:sz="4" w:space="0"/>
              <w:left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效益</w:t>
            </w:r>
          </w:p>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指标</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p>
        </w:tc>
        <w:tc>
          <w:tcPr>
            <w:tcW w:w="634" w:type="pct"/>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社会效益指标</w:t>
            </w:r>
          </w:p>
        </w:tc>
        <w:tc>
          <w:tcPr>
            <w:tcW w:w="1188"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left"/>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1.经济研究项目符合课题要求；2.信息刊物获得领导签批；3.发改委网络系统安全运行；4.承担的系统开发验收合格。</w:t>
            </w:r>
          </w:p>
        </w:tc>
        <w:tc>
          <w:tcPr>
            <w:tcW w:w="89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合格</w:t>
            </w:r>
            <w:r>
              <w:rPr>
                <w:rFonts w:hint="eastAsia" w:eastAsia="仿宋_GB2312" w:cs="Times New Roman"/>
                <w:color w:val="auto"/>
                <w:kern w:val="0"/>
                <w:szCs w:val="21"/>
                <w:lang w:eastAsia="zh-CN"/>
              </w:rPr>
              <w:t>率</w:t>
            </w:r>
            <w:r>
              <w:rPr>
                <w:rFonts w:hint="default" w:ascii="Times New Roman" w:hAnsi="Times New Roman" w:eastAsia="仿宋_GB2312" w:cs="Times New Roman"/>
                <w:color w:val="auto"/>
                <w:kern w:val="0"/>
                <w:szCs w:val="21"/>
              </w:rPr>
              <w:t>100%</w:t>
            </w:r>
          </w:p>
        </w:tc>
        <w:tc>
          <w:tcPr>
            <w:tcW w:w="1412"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100%</w:t>
            </w:r>
          </w:p>
        </w:tc>
      </w:tr>
      <w:tr>
        <w:tblPrEx>
          <w:tblCellMar>
            <w:top w:w="0" w:type="dxa"/>
            <w:left w:w="108" w:type="dxa"/>
            <w:bottom w:w="0" w:type="dxa"/>
            <w:right w:w="108" w:type="dxa"/>
          </w:tblCellMar>
        </w:tblPrEx>
        <w:trPr>
          <w:trHeight w:val="713" w:hRule="atLeast"/>
          <w:jc w:val="center"/>
        </w:trPr>
        <w:tc>
          <w:tcPr>
            <w:tcW w:w="353"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512" w:type="pct"/>
            <w:gridSpan w:val="2"/>
            <w:vMerge w:val="continue"/>
            <w:tcBorders>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p>
        </w:tc>
        <w:tc>
          <w:tcPr>
            <w:tcW w:w="634" w:type="pct"/>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可持续影响指标</w:t>
            </w:r>
          </w:p>
        </w:tc>
        <w:tc>
          <w:tcPr>
            <w:tcW w:w="1188"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持续发挥作用的期限</w:t>
            </w:r>
          </w:p>
        </w:tc>
        <w:tc>
          <w:tcPr>
            <w:tcW w:w="89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≥10年</w:t>
            </w:r>
          </w:p>
        </w:tc>
        <w:tc>
          <w:tcPr>
            <w:tcW w:w="1412"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≥10年</w:t>
            </w:r>
          </w:p>
        </w:tc>
      </w:tr>
      <w:tr>
        <w:tblPrEx>
          <w:tblCellMar>
            <w:top w:w="0" w:type="dxa"/>
            <w:left w:w="108" w:type="dxa"/>
            <w:bottom w:w="0" w:type="dxa"/>
            <w:right w:w="108" w:type="dxa"/>
          </w:tblCellMar>
        </w:tblPrEx>
        <w:trPr>
          <w:trHeight w:val="777" w:hRule="atLeast"/>
          <w:jc w:val="center"/>
        </w:trPr>
        <w:tc>
          <w:tcPr>
            <w:tcW w:w="353"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rPr>
                <w:rFonts w:hint="default" w:ascii="Times New Roman" w:hAnsi="Times New Roman" w:eastAsia="仿宋_GB2312" w:cs="Times New Roman"/>
                <w:color w:val="auto"/>
                <w:szCs w:val="21"/>
              </w:rPr>
            </w:pPr>
          </w:p>
        </w:tc>
        <w:tc>
          <w:tcPr>
            <w:tcW w:w="512" w:type="pct"/>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满意度</w:t>
            </w:r>
          </w:p>
          <w:p>
            <w:pPr>
              <w:pageBreakBefore w:val="0"/>
              <w:widowControl/>
              <w:kinsoku/>
              <w:wordWrap/>
              <w:overflowPunct/>
              <w:topLinePunct w:val="0"/>
              <w:bidi w:val="0"/>
              <w:spacing w:line="240" w:lineRule="auto"/>
              <w:jc w:val="center"/>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指标</w:t>
            </w:r>
          </w:p>
        </w:tc>
        <w:tc>
          <w:tcPr>
            <w:tcW w:w="634" w:type="pct"/>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满意度</w:t>
            </w:r>
          </w:p>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指标</w:t>
            </w:r>
          </w:p>
        </w:tc>
        <w:tc>
          <w:tcPr>
            <w:tcW w:w="1188"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承担的各项工作按照计划完成</w:t>
            </w:r>
          </w:p>
        </w:tc>
        <w:tc>
          <w:tcPr>
            <w:tcW w:w="899"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项目使用方满意率≥90%</w:t>
            </w:r>
          </w:p>
        </w:tc>
        <w:tc>
          <w:tcPr>
            <w:tcW w:w="1412"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240" w:lineRule="auto"/>
              <w:ind w:firstLine="420" w:firstLineChars="200"/>
              <w:jc w:val="center"/>
              <w:textAlignment w:val="top"/>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使用方满意率≥95%</w:t>
            </w:r>
          </w:p>
        </w:tc>
      </w:tr>
    </w:tbl>
    <w:p>
      <w:pPr>
        <w:pageBreakBefore w:val="0"/>
        <w:widowControl/>
        <w:kinsoku/>
        <w:wordWrap/>
        <w:overflowPunct/>
        <w:topLinePunct w:val="0"/>
        <w:bidi w:val="0"/>
        <w:spacing w:line="560" w:lineRule="exact"/>
        <w:textAlignment w:val="top"/>
        <w:rPr>
          <w:rFonts w:hint="default" w:ascii="Times New Roman" w:hAnsi="Times New Roman" w:eastAsia="仿宋_GB2312" w:cs="Times New Roman"/>
          <w:color w:val="auto"/>
          <w:kern w:val="0"/>
          <w:szCs w:val="21"/>
        </w:rPr>
      </w:pPr>
    </w:p>
    <w:p>
      <w:pPr>
        <w:pageBreakBefore w:val="0"/>
        <w:kinsoku/>
        <w:wordWrap/>
        <w:overflowPunct/>
        <w:topLinePunct w:val="0"/>
        <w:bidi w:val="0"/>
        <w:spacing w:line="560" w:lineRule="exact"/>
        <w:rPr>
          <w:rFonts w:hint="default" w:ascii="Times New Roman" w:hAnsi="Times New Roman" w:eastAsia="仿宋_GB2312" w:cs="Times New Roman"/>
          <w:color w:val="auto"/>
          <w:szCs w:val="21"/>
          <w:lang w:val="zh-CN"/>
        </w:rPr>
      </w:pPr>
    </w:p>
    <w:p>
      <w:pPr>
        <w:pageBreakBefore w:val="0"/>
        <w:kinsoku/>
        <w:wordWrap/>
        <w:overflowPunct/>
        <w:topLinePunct w:val="0"/>
        <w:bidi w:val="0"/>
        <w:spacing w:line="560" w:lineRule="exact"/>
        <w:jc w:val="center"/>
        <w:outlineLvl w:val="0"/>
        <w:rPr>
          <w:rFonts w:hint="default" w:ascii="Times New Roman" w:hAnsi="Times New Roman" w:eastAsia="黑体" w:cs="Times New Roman"/>
          <w:color w:val="auto"/>
          <w:sz w:val="44"/>
          <w:szCs w:val="44"/>
        </w:rPr>
      </w:pPr>
      <w:bookmarkStart w:id="103" w:name="_Toc15396618"/>
      <w:bookmarkStart w:id="104" w:name="_Toc112248422"/>
    </w:p>
    <w:p>
      <w:pPr>
        <w:pStyle w:val="7"/>
        <w:rPr>
          <w:rFonts w:hint="default" w:ascii="Times New Roman" w:hAnsi="Times New Roman" w:cs="Times New Roman"/>
          <w:color w:val="auto"/>
        </w:rPr>
      </w:pPr>
    </w:p>
    <w:p>
      <w:pPr>
        <w:pageBreakBefore w:val="0"/>
        <w:kinsoku/>
        <w:wordWrap/>
        <w:overflowPunct/>
        <w:topLinePunct w:val="0"/>
        <w:bidi w:val="0"/>
        <w:spacing w:line="560" w:lineRule="exact"/>
        <w:jc w:val="center"/>
        <w:outlineLvl w:val="0"/>
        <w:rPr>
          <w:rFonts w:hint="default" w:ascii="Times New Roman" w:hAnsi="Times New Roman" w:eastAsia="黑体" w:cs="Times New Roman"/>
          <w:color w:val="auto"/>
          <w:sz w:val="44"/>
          <w:szCs w:val="44"/>
        </w:rPr>
      </w:pPr>
    </w:p>
    <w:p>
      <w:pPr>
        <w:pageBreakBefore w:val="0"/>
        <w:kinsoku/>
        <w:wordWrap/>
        <w:overflowPunct/>
        <w:topLinePunct w:val="0"/>
        <w:bidi w:val="0"/>
        <w:spacing w:line="560" w:lineRule="exact"/>
        <w:jc w:val="center"/>
        <w:outlineLvl w:val="0"/>
        <w:rPr>
          <w:rFonts w:hint="default" w:ascii="Times New Roman" w:hAnsi="Times New Roman" w:eastAsia="黑体" w:cs="Times New Roman"/>
          <w:color w:val="auto"/>
          <w:sz w:val="44"/>
          <w:szCs w:val="44"/>
        </w:rPr>
      </w:pPr>
    </w:p>
    <w:p>
      <w:pPr>
        <w:pageBreakBefore w:val="0"/>
        <w:kinsoku/>
        <w:wordWrap/>
        <w:overflowPunct/>
        <w:topLinePunct w:val="0"/>
        <w:bidi w:val="0"/>
        <w:spacing w:line="560" w:lineRule="exact"/>
        <w:jc w:val="center"/>
        <w:outlineLvl w:val="0"/>
        <w:rPr>
          <w:rStyle w:val="33"/>
          <w:rFonts w:hint="default" w:ascii="Times New Roman" w:hAnsi="Times New Roman" w:eastAsia="黑体" w:cs="Times New Roman"/>
          <w:b w:val="0"/>
          <w:color w:val="auto"/>
        </w:rPr>
      </w:pPr>
      <w:r>
        <w:rPr>
          <w:rFonts w:hint="default" w:ascii="Times New Roman" w:hAnsi="Times New Roman" w:eastAsia="黑体" w:cs="Times New Roman"/>
          <w:color w:val="auto"/>
          <w:sz w:val="44"/>
          <w:szCs w:val="44"/>
        </w:rPr>
        <w:t>第</w:t>
      </w:r>
      <w:r>
        <w:rPr>
          <w:rStyle w:val="33"/>
          <w:rFonts w:hint="default" w:ascii="Times New Roman" w:hAnsi="Times New Roman" w:eastAsia="黑体" w:cs="Times New Roman"/>
          <w:b w:val="0"/>
          <w:color w:val="auto"/>
        </w:rPr>
        <w:t>五部分 附表</w:t>
      </w:r>
      <w:bookmarkEnd w:id="100"/>
      <w:bookmarkEnd w:id="103"/>
      <w:bookmarkEnd w:id="104"/>
      <w:bookmarkStart w:id="105" w:name="_Toc15396619"/>
    </w:p>
    <w:p>
      <w:pPr>
        <w:pStyle w:val="4"/>
        <w:pageBreakBefore w:val="0"/>
        <w:widowControl w:val="0"/>
        <w:kinsoku/>
        <w:wordWrap/>
        <w:overflowPunct/>
        <w:topLinePunct w:val="0"/>
        <w:autoSpaceDE/>
        <w:autoSpaceDN/>
        <w:bidi w:val="0"/>
        <w:adjustRightInd/>
        <w:snapToGrid w:val="0"/>
        <w:spacing w:before="0" w:after="0" w:line="560" w:lineRule="exact"/>
        <w:textAlignment w:val="auto"/>
        <w:rPr>
          <w:rFonts w:hint="default" w:ascii="Times New Roman" w:hAnsi="Times New Roman" w:eastAsia="仿宋" w:cs="Times New Roman"/>
          <w:b w:val="0"/>
          <w:color w:val="auto"/>
        </w:rPr>
      </w:pPr>
      <w:bookmarkStart w:id="106" w:name="_Toc112248423"/>
    </w:p>
    <w:p>
      <w:pPr>
        <w:pStyle w:val="4"/>
        <w:pageBreakBefore w:val="0"/>
        <w:widowControl w:val="0"/>
        <w:kinsoku/>
        <w:wordWrap/>
        <w:overflowPunct/>
        <w:topLinePunct w:val="0"/>
        <w:autoSpaceDE/>
        <w:autoSpaceDN/>
        <w:bidi w:val="0"/>
        <w:adjustRightInd/>
        <w:snapToGrid w:val="0"/>
        <w:spacing w:before="0" w:after="0" w:line="560" w:lineRule="exact"/>
        <w:textAlignment w:val="auto"/>
        <w:rPr>
          <w:rStyle w:val="34"/>
          <w:rFonts w:hint="eastAsia" w:ascii="仿宋_GB2312" w:hAnsi="仿宋_GB2312" w:eastAsia="仿宋_GB2312" w:cs="仿宋_GB2312"/>
          <w:b w:val="0"/>
          <w:bCs w:val="0"/>
          <w:color w:val="auto"/>
        </w:rPr>
      </w:pPr>
      <w:r>
        <w:rPr>
          <w:rFonts w:hint="eastAsia" w:ascii="仿宋_GB2312" w:hAnsi="仿宋_GB2312" w:eastAsia="仿宋_GB2312" w:cs="仿宋_GB2312"/>
          <w:b w:val="0"/>
          <w:color w:val="auto"/>
        </w:rPr>
        <w:t>一、收</w:t>
      </w:r>
      <w:r>
        <w:rPr>
          <w:rStyle w:val="34"/>
          <w:rFonts w:hint="eastAsia" w:ascii="仿宋_GB2312" w:hAnsi="仿宋_GB2312" w:eastAsia="仿宋_GB2312" w:cs="仿宋_GB2312"/>
          <w:b w:val="0"/>
          <w:bCs w:val="0"/>
          <w:color w:val="auto"/>
        </w:rPr>
        <w:t>入支出决算总表</w:t>
      </w:r>
      <w:bookmarkEnd w:id="105"/>
      <w:bookmarkEnd w:id="106"/>
      <w:bookmarkStart w:id="107" w:name="_Toc112248424"/>
      <w:bookmarkStart w:id="108" w:name="_Toc15396620"/>
    </w:p>
    <w:p>
      <w:pPr>
        <w:pStyle w:val="4"/>
        <w:pageBreakBefore w:val="0"/>
        <w:widowControl w:val="0"/>
        <w:kinsoku/>
        <w:wordWrap/>
        <w:overflowPunct/>
        <w:topLinePunct w:val="0"/>
        <w:autoSpaceDE/>
        <w:autoSpaceDN/>
        <w:bidi w:val="0"/>
        <w:adjustRightInd/>
        <w:snapToGrid w:val="0"/>
        <w:spacing w:before="0" w:after="0" w:line="56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b w:val="0"/>
          <w:color w:val="auto"/>
        </w:rPr>
        <w:t>二、收</w:t>
      </w:r>
      <w:r>
        <w:rPr>
          <w:rStyle w:val="34"/>
          <w:rFonts w:hint="eastAsia" w:ascii="仿宋_GB2312" w:hAnsi="仿宋_GB2312" w:eastAsia="仿宋_GB2312" w:cs="仿宋_GB2312"/>
          <w:b w:val="0"/>
          <w:bCs w:val="0"/>
          <w:color w:val="auto"/>
        </w:rPr>
        <w:t>入决算表</w:t>
      </w:r>
      <w:bookmarkEnd w:id="107"/>
      <w:bookmarkEnd w:id="108"/>
    </w:p>
    <w:p>
      <w:pPr>
        <w:pStyle w:val="4"/>
        <w:pageBreakBefore w:val="0"/>
        <w:widowControl w:val="0"/>
        <w:kinsoku/>
        <w:wordWrap/>
        <w:overflowPunct/>
        <w:topLinePunct w:val="0"/>
        <w:autoSpaceDE/>
        <w:autoSpaceDN/>
        <w:bidi w:val="0"/>
        <w:adjustRightInd/>
        <w:snapToGrid w:val="0"/>
        <w:spacing w:before="0" w:after="0" w:line="560" w:lineRule="exact"/>
        <w:textAlignment w:val="auto"/>
        <w:rPr>
          <w:rFonts w:hint="eastAsia" w:ascii="仿宋_GB2312" w:hAnsi="仿宋_GB2312" w:eastAsia="仿宋_GB2312" w:cs="仿宋_GB2312"/>
          <w:color w:val="auto"/>
        </w:rPr>
      </w:pPr>
      <w:bookmarkStart w:id="109" w:name="_Toc112248425"/>
      <w:bookmarkStart w:id="110" w:name="_Toc15396621"/>
      <w:r>
        <w:rPr>
          <w:rStyle w:val="34"/>
          <w:rFonts w:hint="eastAsia" w:ascii="仿宋_GB2312" w:hAnsi="仿宋_GB2312" w:eastAsia="仿宋_GB2312" w:cs="仿宋_GB2312"/>
          <w:b w:val="0"/>
          <w:bCs w:val="0"/>
          <w:color w:val="auto"/>
        </w:rPr>
        <w:t>三、</w:t>
      </w:r>
      <w:r>
        <w:rPr>
          <w:rFonts w:hint="eastAsia" w:ascii="仿宋_GB2312" w:hAnsi="仿宋_GB2312" w:eastAsia="仿宋_GB2312" w:cs="仿宋_GB2312"/>
          <w:b w:val="0"/>
          <w:color w:val="auto"/>
        </w:rPr>
        <w:t>支</w:t>
      </w:r>
      <w:r>
        <w:rPr>
          <w:rStyle w:val="34"/>
          <w:rFonts w:hint="eastAsia" w:ascii="仿宋_GB2312" w:hAnsi="仿宋_GB2312" w:eastAsia="仿宋_GB2312" w:cs="仿宋_GB2312"/>
          <w:b w:val="0"/>
          <w:bCs w:val="0"/>
          <w:color w:val="auto"/>
        </w:rPr>
        <w:t>出决算表</w:t>
      </w:r>
      <w:bookmarkEnd w:id="109"/>
      <w:bookmarkEnd w:id="110"/>
    </w:p>
    <w:p>
      <w:pPr>
        <w:pStyle w:val="4"/>
        <w:pageBreakBefore w:val="0"/>
        <w:widowControl w:val="0"/>
        <w:kinsoku/>
        <w:wordWrap/>
        <w:overflowPunct/>
        <w:topLinePunct w:val="0"/>
        <w:autoSpaceDE/>
        <w:autoSpaceDN/>
        <w:bidi w:val="0"/>
        <w:adjustRightInd/>
        <w:snapToGrid w:val="0"/>
        <w:spacing w:before="0" w:after="0" w:line="560" w:lineRule="exact"/>
        <w:textAlignment w:val="auto"/>
        <w:rPr>
          <w:rFonts w:hint="eastAsia" w:ascii="仿宋_GB2312" w:hAnsi="仿宋_GB2312" w:eastAsia="仿宋_GB2312" w:cs="仿宋_GB2312"/>
          <w:b w:val="0"/>
          <w:color w:val="auto"/>
        </w:rPr>
      </w:pPr>
      <w:bookmarkStart w:id="111" w:name="_Toc15396622"/>
      <w:bookmarkStart w:id="112" w:name="_Toc112248426"/>
      <w:r>
        <w:rPr>
          <w:rStyle w:val="34"/>
          <w:rFonts w:hint="eastAsia" w:ascii="仿宋_GB2312" w:hAnsi="仿宋_GB2312" w:eastAsia="仿宋_GB2312" w:cs="仿宋_GB2312"/>
          <w:b w:val="0"/>
          <w:bCs w:val="0"/>
          <w:color w:val="auto"/>
        </w:rPr>
        <w:t>四、</w:t>
      </w:r>
      <w:r>
        <w:rPr>
          <w:rFonts w:hint="eastAsia" w:ascii="仿宋_GB2312" w:hAnsi="仿宋_GB2312" w:eastAsia="仿宋_GB2312" w:cs="仿宋_GB2312"/>
          <w:b w:val="0"/>
          <w:color w:val="auto"/>
        </w:rPr>
        <w:t>财</w:t>
      </w:r>
      <w:r>
        <w:rPr>
          <w:rStyle w:val="34"/>
          <w:rFonts w:hint="eastAsia" w:ascii="仿宋_GB2312" w:hAnsi="仿宋_GB2312" w:eastAsia="仿宋_GB2312" w:cs="仿宋_GB2312"/>
          <w:b w:val="0"/>
          <w:bCs w:val="0"/>
          <w:color w:val="auto"/>
        </w:rPr>
        <w:t>政拨款收入支出决算总表</w:t>
      </w:r>
      <w:bookmarkEnd w:id="111"/>
      <w:bookmarkEnd w:id="112"/>
    </w:p>
    <w:p>
      <w:pPr>
        <w:pStyle w:val="4"/>
        <w:pageBreakBefore w:val="0"/>
        <w:widowControl w:val="0"/>
        <w:kinsoku/>
        <w:wordWrap/>
        <w:overflowPunct/>
        <w:topLinePunct w:val="0"/>
        <w:autoSpaceDE/>
        <w:autoSpaceDN/>
        <w:bidi w:val="0"/>
        <w:adjustRightInd/>
        <w:snapToGrid w:val="0"/>
        <w:spacing w:before="0" w:after="0" w:line="560" w:lineRule="exact"/>
        <w:textAlignment w:val="auto"/>
        <w:rPr>
          <w:rStyle w:val="34"/>
          <w:rFonts w:hint="eastAsia" w:ascii="仿宋_GB2312" w:hAnsi="仿宋_GB2312" w:eastAsia="仿宋_GB2312" w:cs="仿宋_GB2312"/>
          <w:b w:val="0"/>
          <w:bCs w:val="0"/>
          <w:color w:val="auto"/>
        </w:rPr>
      </w:pPr>
      <w:bookmarkStart w:id="113" w:name="_Toc112248427"/>
      <w:bookmarkStart w:id="114" w:name="_Toc15396623"/>
      <w:r>
        <w:rPr>
          <w:rStyle w:val="34"/>
          <w:rFonts w:hint="eastAsia" w:ascii="仿宋_GB2312" w:hAnsi="仿宋_GB2312" w:eastAsia="仿宋_GB2312" w:cs="仿宋_GB2312"/>
          <w:b w:val="0"/>
          <w:bCs w:val="0"/>
          <w:color w:val="auto"/>
        </w:rPr>
        <w:t>五、</w:t>
      </w:r>
      <w:r>
        <w:rPr>
          <w:rFonts w:hint="eastAsia" w:ascii="仿宋_GB2312" w:hAnsi="仿宋_GB2312" w:eastAsia="仿宋_GB2312" w:cs="仿宋_GB2312"/>
          <w:b w:val="0"/>
          <w:color w:val="auto"/>
        </w:rPr>
        <w:t>财</w:t>
      </w:r>
      <w:r>
        <w:rPr>
          <w:rStyle w:val="34"/>
          <w:rFonts w:hint="eastAsia" w:ascii="仿宋_GB2312" w:hAnsi="仿宋_GB2312" w:eastAsia="仿宋_GB2312" w:cs="仿宋_GB2312"/>
          <w:b w:val="0"/>
          <w:bCs w:val="0"/>
          <w:color w:val="auto"/>
        </w:rPr>
        <w:t>政拨款支出决算明细表</w:t>
      </w:r>
      <w:bookmarkEnd w:id="113"/>
      <w:bookmarkEnd w:id="114"/>
      <w:bookmarkStart w:id="115" w:name="_Toc15396624"/>
    </w:p>
    <w:p>
      <w:pPr>
        <w:pStyle w:val="4"/>
        <w:pageBreakBefore w:val="0"/>
        <w:widowControl w:val="0"/>
        <w:kinsoku/>
        <w:wordWrap/>
        <w:overflowPunct/>
        <w:topLinePunct w:val="0"/>
        <w:autoSpaceDE/>
        <w:autoSpaceDN/>
        <w:bidi w:val="0"/>
        <w:adjustRightInd/>
        <w:snapToGrid w:val="0"/>
        <w:spacing w:before="0" w:after="0" w:line="560" w:lineRule="exact"/>
        <w:textAlignment w:val="auto"/>
        <w:rPr>
          <w:rFonts w:hint="eastAsia" w:ascii="仿宋_GB2312" w:hAnsi="仿宋_GB2312" w:eastAsia="仿宋_GB2312" w:cs="仿宋_GB2312"/>
          <w:color w:val="auto"/>
        </w:rPr>
      </w:pPr>
      <w:bookmarkStart w:id="116" w:name="_Toc112248428"/>
      <w:r>
        <w:rPr>
          <w:rStyle w:val="34"/>
          <w:rFonts w:hint="eastAsia" w:ascii="仿宋_GB2312" w:hAnsi="仿宋_GB2312" w:eastAsia="仿宋_GB2312" w:cs="仿宋_GB2312"/>
          <w:b w:val="0"/>
          <w:bCs w:val="0"/>
          <w:color w:val="auto"/>
        </w:rPr>
        <w:t>六、</w:t>
      </w:r>
      <w:r>
        <w:rPr>
          <w:rFonts w:hint="eastAsia" w:ascii="仿宋_GB2312" w:hAnsi="仿宋_GB2312" w:eastAsia="仿宋_GB2312" w:cs="仿宋_GB2312"/>
          <w:b w:val="0"/>
          <w:color w:val="auto"/>
        </w:rPr>
        <w:t>一</w:t>
      </w:r>
      <w:r>
        <w:rPr>
          <w:rStyle w:val="34"/>
          <w:rFonts w:hint="eastAsia" w:ascii="仿宋_GB2312" w:hAnsi="仿宋_GB2312" w:eastAsia="仿宋_GB2312" w:cs="仿宋_GB2312"/>
          <w:b w:val="0"/>
          <w:bCs w:val="0"/>
          <w:color w:val="auto"/>
        </w:rPr>
        <w:t>般公共预算财政拨款支出决算表</w:t>
      </w:r>
      <w:bookmarkEnd w:id="115"/>
      <w:bookmarkEnd w:id="116"/>
    </w:p>
    <w:p>
      <w:pPr>
        <w:pStyle w:val="4"/>
        <w:pageBreakBefore w:val="0"/>
        <w:widowControl w:val="0"/>
        <w:kinsoku/>
        <w:wordWrap/>
        <w:overflowPunct/>
        <w:topLinePunct w:val="0"/>
        <w:autoSpaceDE/>
        <w:autoSpaceDN/>
        <w:bidi w:val="0"/>
        <w:adjustRightInd/>
        <w:snapToGrid w:val="0"/>
        <w:spacing w:before="0" w:after="0" w:line="560" w:lineRule="exact"/>
        <w:textAlignment w:val="auto"/>
        <w:rPr>
          <w:rFonts w:hint="eastAsia" w:ascii="仿宋_GB2312" w:hAnsi="仿宋_GB2312" w:eastAsia="仿宋_GB2312" w:cs="仿宋_GB2312"/>
          <w:color w:val="auto"/>
        </w:rPr>
      </w:pPr>
      <w:bookmarkStart w:id="117" w:name="_Toc112248429"/>
      <w:bookmarkStart w:id="118" w:name="_Toc15396625"/>
      <w:r>
        <w:rPr>
          <w:rStyle w:val="34"/>
          <w:rFonts w:hint="eastAsia" w:ascii="仿宋_GB2312" w:hAnsi="仿宋_GB2312" w:eastAsia="仿宋_GB2312" w:cs="仿宋_GB2312"/>
          <w:b w:val="0"/>
          <w:bCs w:val="0"/>
          <w:color w:val="auto"/>
        </w:rPr>
        <w:t>七、</w:t>
      </w:r>
      <w:r>
        <w:rPr>
          <w:rFonts w:hint="eastAsia" w:ascii="仿宋_GB2312" w:hAnsi="仿宋_GB2312" w:eastAsia="仿宋_GB2312" w:cs="仿宋_GB2312"/>
          <w:b w:val="0"/>
          <w:color w:val="auto"/>
        </w:rPr>
        <w:t>一</w:t>
      </w:r>
      <w:r>
        <w:rPr>
          <w:rStyle w:val="34"/>
          <w:rFonts w:hint="eastAsia" w:ascii="仿宋_GB2312" w:hAnsi="仿宋_GB2312" w:eastAsia="仿宋_GB2312" w:cs="仿宋_GB2312"/>
          <w:b w:val="0"/>
          <w:bCs w:val="0"/>
          <w:color w:val="auto"/>
        </w:rPr>
        <w:t>般公共预算财政拨款支出决算明细表</w:t>
      </w:r>
      <w:bookmarkEnd w:id="117"/>
      <w:bookmarkEnd w:id="118"/>
    </w:p>
    <w:p>
      <w:pPr>
        <w:pStyle w:val="4"/>
        <w:pageBreakBefore w:val="0"/>
        <w:widowControl w:val="0"/>
        <w:kinsoku/>
        <w:wordWrap/>
        <w:overflowPunct/>
        <w:topLinePunct w:val="0"/>
        <w:autoSpaceDE/>
        <w:autoSpaceDN/>
        <w:bidi w:val="0"/>
        <w:adjustRightInd/>
        <w:snapToGrid w:val="0"/>
        <w:spacing w:before="0" w:after="0" w:line="560" w:lineRule="exact"/>
        <w:textAlignment w:val="auto"/>
        <w:rPr>
          <w:rFonts w:hint="eastAsia" w:ascii="仿宋_GB2312" w:hAnsi="仿宋_GB2312" w:eastAsia="仿宋_GB2312" w:cs="仿宋_GB2312"/>
          <w:color w:val="auto"/>
        </w:rPr>
      </w:pPr>
      <w:bookmarkStart w:id="119" w:name="_Toc112248430"/>
      <w:bookmarkStart w:id="120" w:name="_Toc15396626"/>
      <w:r>
        <w:rPr>
          <w:rStyle w:val="34"/>
          <w:rFonts w:hint="eastAsia" w:ascii="仿宋_GB2312" w:hAnsi="仿宋_GB2312" w:eastAsia="仿宋_GB2312" w:cs="仿宋_GB2312"/>
          <w:b w:val="0"/>
          <w:bCs w:val="0"/>
          <w:color w:val="auto"/>
        </w:rPr>
        <w:t>八、</w:t>
      </w:r>
      <w:r>
        <w:rPr>
          <w:rFonts w:hint="eastAsia" w:ascii="仿宋_GB2312" w:hAnsi="仿宋_GB2312" w:eastAsia="仿宋_GB2312" w:cs="仿宋_GB2312"/>
          <w:b w:val="0"/>
          <w:color w:val="auto"/>
        </w:rPr>
        <w:t>一</w:t>
      </w:r>
      <w:r>
        <w:rPr>
          <w:rStyle w:val="34"/>
          <w:rFonts w:hint="eastAsia" w:ascii="仿宋_GB2312" w:hAnsi="仿宋_GB2312" w:eastAsia="仿宋_GB2312" w:cs="仿宋_GB2312"/>
          <w:b w:val="0"/>
          <w:bCs w:val="0"/>
          <w:color w:val="auto"/>
        </w:rPr>
        <w:t>般公共预算财政拨款基本支出决算表</w:t>
      </w:r>
      <w:bookmarkEnd w:id="119"/>
      <w:bookmarkEnd w:id="120"/>
    </w:p>
    <w:p>
      <w:pPr>
        <w:pStyle w:val="4"/>
        <w:pageBreakBefore w:val="0"/>
        <w:widowControl w:val="0"/>
        <w:kinsoku/>
        <w:wordWrap/>
        <w:overflowPunct/>
        <w:topLinePunct w:val="0"/>
        <w:autoSpaceDE/>
        <w:autoSpaceDN/>
        <w:bidi w:val="0"/>
        <w:adjustRightInd/>
        <w:snapToGrid w:val="0"/>
        <w:spacing w:before="0" w:after="0" w:line="560" w:lineRule="exact"/>
        <w:textAlignment w:val="auto"/>
        <w:rPr>
          <w:rFonts w:hint="eastAsia" w:ascii="仿宋_GB2312" w:hAnsi="仿宋_GB2312" w:eastAsia="仿宋_GB2312" w:cs="仿宋_GB2312"/>
          <w:color w:val="auto"/>
        </w:rPr>
      </w:pPr>
      <w:bookmarkStart w:id="121" w:name="_Toc112248431"/>
      <w:bookmarkStart w:id="122" w:name="_Toc15396627"/>
      <w:r>
        <w:rPr>
          <w:rStyle w:val="34"/>
          <w:rFonts w:hint="eastAsia" w:ascii="仿宋_GB2312" w:hAnsi="仿宋_GB2312" w:eastAsia="仿宋_GB2312" w:cs="仿宋_GB2312"/>
          <w:b w:val="0"/>
          <w:bCs w:val="0"/>
          <w:color w:val="auto"/>
        </w:rPr>
        <w:t>九、</w:t>
      </w:r>
      <w:r>
        <w:rPr>
          <w:rFonts w:hint="eastAsia" w:ascii="仿宋_GB2312" w:hAnsi="仿宋_GB2312" w:eastAsia="仿宋_GB2312" w:cs="仿宋_GB2312"/>
          <w:b w:val="0"/>
          <w:color w:val="auto"/>
        </w:rPr>
        <w:t>一</w:t>
      </w:r>
      <w:r>
        <w:rPr>
          <w:rStyle w:val="34"/>
          <w:rFonts w:hint="eastAsia" w:ascii="仿宋_GB2312" w:hAnsi="仿宋_GB2312" w:eastAsia="仿宋_GB2312" w:cs="仿宋_GB2312"/>
          <w:b w:val="0"/>
          <w:bCs w:val="0"/>
          <w:color w:val="auto"/>
        </w:rPr>
        <w:t>般公共预算财政拨款项目支出决算表</w:t>
      </w:r>
      <w:bookmarkEnd w:id="121"/>
      <w:bookmarkEnd w:id="122"/>
    </w:p>
    <w:p>
      <w:pPr>
        <w:pStyle w:val="4"/>
        <w:pageBreakBefore w:val="0"/>
        <w:widowControl w:val="0"/>
        <w:kinsoku/>
        <w:wordWrap/>
        <w:overflowPunct/>
        <w:topLinePunct w:val="0"/>
        <w:autoSpaceDE/>
        <w:autoSpaceDN/>
        <w:bidi w:val="0"/>
        <w:adjustRightInd/>
        <w:snapToGrid w:val="0"/>
        <w:spacing w:before="0" w:after="0" w:line="560" w:lineRule="exact"/>
        <w:textAlignment w:val="auto"/>
        <w:rPr>
          <w:rFonts w:hint="eastAsia" w:ascii="仿宋_GB2312" w:hAnsi="仿宋_GB2312" w:eastAsia="仿宋_GB2312" w:cs="仿宋_GB2312"/>
          <w:color w:val="auto"/>
        </w:rPr>
      </w:pPr>
      <w:bookmarkStart w:id="123" w:name="_Toc112248432"/>
      <w:bookmarkStart w:id="124" w:name="_Toc15396628"/>
      <w:r>
        <w:rPr>
          <w:rStyle w:val="34"/>
          <w:rFonts w:hint="eastAsia" w:ascii="仿宋_GB2312" w:hAnsi="仿宋_GB2312" w:eastAsia="仿宋_GB2312" w:cs="仿宋_GB2312"/>
          <w:b w:val="0"/>
          <w:bCs w:val="0"/>
          <w:color w:val="auto"/>
        </w:rPr>
        <w:t>十、</w:t>
      </w:r>
      <w:r>
        <w:rPr>
          <w:rFonts w:hint="eastAsia" w:ascii="仿宋_GB2312" w:hAnsi="仿宋_GB2312" w:eastAsia="仿宋_GB2312" w:cs="仿宋_GB2312"/>
          <w:b w:val="0"/>
          <w:color w:val="auto"/>
        </w:rPr>
        <w:t>一</w:t>
      </w:r>
      <w:r>
        <w:rPr>
          <w:rStyle w:val="34"/>
          <w:rFonts w:hint="eastAsia" w:ascii="仿宋_GB2312" w:hAnsi="仿宋_GB2312" w:eastAsia="仿宋_GB2312" w:cs="仿宋_GB2312"/>
          <w:b w:val="0"/>
          <w:bCs w:val="0"/>
          <w:color w:val="auto"/>
        </w:rPr>
        <w:t>般公共预算财政拨款“三公”经费支出决算表</w:t>
      </w:r>
      <w:bookmarkEnd w:id="123"/>
      <w:bookmarkEnd w:id="124"/>
    </w:p>
    <w:p>
      <w:pPr>
        <w:pStyle w:val="4"/>
        <w:pageBreakBefore w:val="0"/>
        <w:widowControl w:val="0"/>
        <w:kinsoku/>
        <w:wordWrap/>
        <w:overflowPunct/>
        <w:topLinePunct w:val="0"/>
        <w:autoSpaceDE/>
        <w:autoSpaceDN/>
        <w:bidi w:val="0"/>
        <w:adjustRightInd/>
        <w:snapToGrid w:val="0"/>
        <w:spacing w:before="0" w:after="0" w:line="560" w:lineRule="exact"/>
        <w:textAlignment w:val="auto"/>
        <w:rPr>
          <w:rFonts w:hint="eastAsia" w:ascii="仿宋_GB2312" w:hAnsi="仿宋_GB2312" w:eastAsia="仿宋_GB2312" w:cs="仿宋_GB2312"/>
          <w:color w:val="auto"/>
        </w:rPr>
      </w:pPr>
      <w:bookmarkStart w:id="125" w:name="_Toc112248433"/>
      <w:bookmarkStart w:id="126" w:name="_Toc15396629"/>
      <w:r>
        <w:rPr>
          <w:rStyle w:val="34"/>
          <w:rFonts w:hint="eastAsia" w:ascii="仿宋_GB2312" w:hAnsi="仿宋_GB2312" w:eastAsia="仿宋_GB2312" w:cs="仿宋_GB2312"/>
          <w:b w:val="0"/>
          <w:bCs w:val="0"/>
          <w:color w:val="auto"/>
        </w:rPr>
        <w:t>十一、</w:t>
      </w:r>
      <w:r>
        <w:rPr>
          <w:rFonts w:hint="eastAsia" w:ascii="仿宋_GB2312" w:hAnsi="仿宋_GB2312" w:eastAsia="仿宋_GB2312" w:cs="仿宋_GB2312"/>
          <w:b w:val="0"/>
          <w:color w:val="auto"/>
        </w:rPr>
        <w:t>政</w:t>
      </w:r>
      <w:r>
        <w:rPr>
          <w:rStyle w:val="34"/>
          <w:rFonts w:hint="eastAsia" w:ascii="仿宋_GB2312" w:hAnsi="仿宋_GB2312" w:eastAsia="仿宋_GB2312" w:cs="仿宋_GB2312"/>
          <w:b w:val="0"/>
          <w:bCs w:val="0"/>
          <w:color w:val="auto"/>
        </w:rPr>
        <w:t>府性基金预算财政拨款收入支出决算表</w:t>
      </w:r>
      <w:bookmarkEnd w:id="125"/>
      <w:bookmarkEnd w:id="126"/>
    </w:p>
    <w:p>
      <w:pPr>
        <w:pStyle w:val="4"/>
        <w:pageBreakBefore w:val="0"/>
        <w:widowControl w:val="0"/>
        <w:kinsoku/>
        <w:wordWrap/>
        <w:overflowPunct/>
        <w:topLinePunct w:val="0"/>
        <w:autoSpaceDE/>
        <w:autoSpaceDN/>
        <w:bidi w:val="0"/>
        <w:adjustRightInd/>
        <w:snapToGrid w:val="0"/>
        <w:spacing w:before="0" w:after="0" w:line="560" w:lineRule="exact"/>
        <w:textAlignment w:val="auto"/>
        <w:rPr>
          <w:rFonts w:hint="eastAsia" w:ascii="仿宋_GB2312" w:hAnsi="仿宋_GB2312" w:eastAsia="仿宋_GB2312" w:cs="仿宋_GB2312"/>
          <w:color w:val="auto"/>
        </w:rPr>
      </w:pPr>
      <w:bookmarkStart w:id="127" w:name="_Toc112248434"/>
      <w:bookmarkStart w:id="128" w:name="_Toc15396630"/>
      <w:r>
        <w:rPr>
          <w:rStyle w:val="34"/>
          <w:rFonts w:hint="eastAsia" w:ascii="仿宋_GB2312" w:hAnsi="仿宋_GB2312" w:eastAsia="仿宋_GB2312" w:cs="仿宋_GB2312"/>
          <w:b w:val="0"/>
          <w:bCs w:val="0"/>
          <w:color w:val="auto"/>
        </w:rPr>
        <w:t>十二、</w:t>
      </w:r>
      <w:r>
        <w:rPr>
          <w:rFonts w:hint="eastAsia" w:ascii="仿宋_GB2312" w:hAnsi="仿宋_GB2312" w:eastAsia="仿宋_GB2312" w:cs="仿宋_GB2312"/>
          <w:b w:val="0"/>
          <w:color w:val="auto"/>
        </w:rPr>
        <w:t>政</w:t>
      </w:r>
      <w:r>
        <w:rPr>
          <w:rStyle w:val="34"/>
          <w:rFonts w:hint="eastAsia" w:ascii="仿宋_GB2312" w:hAnsi="仿宋_GB2312" w:eastAsia="仿宋_GB2312" w:cs="仿宋_GB2312"/>
          <w:b w:val="0"/>
          <w:bCs w:val="0"/>
          <w:color w:val="auto"/>
        </w:rPr>
        <w:t>府性基金预算财政拨款“三公”经费支出决算表</w:t>
      </w:r>
      <w:bookmarkEnd w:id="127"/>
      <w:bookmarkEnd w:id="128"/>
    </w:p>
    <w:p>
      <w:pPr>
        <w:pStyle w:val="4"/>
        <w:pageBreakBefore w:val="0"/>
        <w:widowControl w:val="0"/>
        <w:kinsoku/>
        <w:wordWrap/>
        <w:overflowPunct/>
        <w:topLinePunct w:val="0"/>
        <w:autoSpaceDE/>
        <w:autoSpaceDN/>
        <w:bidi w:val="0"/>
        <w:adjustRightInd/>
        <w:snapToGrid w:val="0"/>
        <w:spacing w:before="0" w:after="0" w:line="560" w:lineRule="exact"/>
        <w:textAlignment w:val="auto"/>
        <w:rPr>
          <w:rStyle w:val="34"/>
          <w:rFonts w:hint="eastAsia" w:ascii="仿宋_GB2312" w:hAnsi="仿宋_GB2312" w:eastAsia="仿宋_GB2312" w:cs="仿宋_GB2312"/>
          <w:b w:val="0"/>
          <w:bCs w:val="0"/>
          <w:color w:val="auto"/>
        </w:rPr>
      </w:pPr>
      <w:bookmarkStart w:id="129" w:name="_Toc15396631"/>
      <w:bookmarkStart w:id="130" w:name="_Toc112248435"/>
      <w:r>
        <w:rPr>
          <w:rStyle w:val="34"/>
          <w:rFonts w:hint="eastAsia" w:ascii="仿宋_GB2312" w:hAnsi="仿宋_GB2312" w:eastAsia="仿宋_GB2312" w:cs="仿宋_GB2312"/>
          <w:b w:val="0"/>
          <w:bCs w:val="0"/>
          <w:color w:val="auto"/>
        </w:rPr>
        <w:t>十三、</w:t>
      </w:r>
      <w:r>
        <w:rPr>
          <w:rFonts w:hint="eastAsia" w:ascii="仿宋_GB2312" w:hAnsi="仿宋_GB2312" w:eastAsia="仿宋_GB2312" w:cs="仿宋_GB2312"/>
          <w:b w:val="0"/>
          <w:color w:val="auto"/>
        </w:rPr>
        <w:t>国</w:t>
      </w:r>
      <w:r>
        <w:rPr>
          <w:rStyle w:val="34"/>
          <w:rFonts w:hint="eastAsia" w:ascii="仿宋_GB2312" w:hAnsi="仿宋_GB2312" w:eastAsia="仿宋_GB2312" w:cs="仿宋_GB2312"/>
          <w:b w:val="0"/>
          <w:bCs w:val="0"/>
          <w:color w:val="auto"/>
        </w:rPr>
        <w:t>有资本经营预算财政拨款收入支出决算表</w:t>
      </w:r>
      <w:bookmarkEnd w:id="129"/>
      <w:bookmarkEnd w:id="130"/>
    </w:p>
    <w:p>
      <w:pPr>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auto"/>
        </w:rPr>
      </w:pPr>
      <w:bookmarkStart w:id="131" w:name="_Toc112248436"/>
      <w:r>
        <w:rPr>
          <w:rStyle w:val="34"/>
          <w:rFonts w:hint="eastAsia" w:ascii="仿宋_GB2312" w:hAnsi="仿宋_GB2312" w:eastAsia="仿宋_GB2312" w:cs="仿宋_GB2312"/>
          <w:b w:val="0"/>
          <w:bCs w:val="0"/>
          <w:color w:val="auto"/>
        </w:rPr>
        <w:t>十四、国有资本经营预算财政拨款支出决算表</w:t>
      </w:r>
      <w:bookmarkEnd w:id="131"/>
    </w:p>
    <w:sectPr>
      <w:footerReference r:id="rId6" w:type="first"/>
      <w:headerReference r:id="rId4" w:type="default"/>
      <w:footerReference r:id="rId5" w:type="default"/>
      <w:pgSz w:w="11906" w:h="16838"/>
      <w:pgMar w:top="2098" w:right="1474" w:bottom="1984" w:left="1587" w:header="851" w:footer="992" w:gutter="0"/>
      <w:pgNumType w:fmt="decimal"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3"/>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t xml:space="preserve"> —</w:t>
                          </w:r>
                        </w:p>
                      </w:txbxContent>
                    </wps:txbx>
                    <wps:bodyPr vert="horz" wrap="none" lIns="0" tIns="0" rIns="0" bIns="0" anchor="t" anchorCtr="false" upright="fals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9aBHjyAEAAHsDAAAOAAAAAAAA&#10;AAEAIAAAADQBAABkcnMvZTJvRG9jLnhtbFBLBQYAAAAABgAGAFkBAABuBQAAAAA=&#10;">
              <v:fill on="f" focussize="0,0"/>
              <v:stroke on="f"/>
              <v:imagedata o:title=""/>
              <o:lock v:ext="edit" aspectratio="f"/>
              <v:textbox inset="0mm,0mm,0mm,0mm" style="mso-fit-shape-to-text:t;">
                <w:txbxContent>
                  <w:p>
                    <w:pPr>
                      <w:pStyle w:val="13"/>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t xml:space="preserve"> —</w:t>
                    </w:r>
                  </w:p>
                </w:txbxContent>
              </v:textbox>
            </v:shape>
          </w:pict>
        </mc:Fallback>
      </mc:AlternateContent>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13"/>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 xml:space="preserve"> —</w:t>
                          </w:r>
                        </w:p>
                      </w:txbxContent>
                    </wps:txbx>
                    <wps:bodyPr vert="horz" wrap="none" lIns="0" tIns="0" rIns="0" bIns="0" anchor="t" anchorCtr="false" upright="false">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oDbZbdIBAACE&#10;AwAADgAAAAAAAAABACAAAAA0AQAAZHJzL2Uyb0RvYy54bWxQSwUGAAAAAAYABgBZAQAAeAUAAAAA&#10;">
              <v:fill on="f" focussize="0,0"/>
              <v:stroke on="f"/>
              <v:imagedata o:title=""/>
              <o:lock v:ext="edit" aspectratio="f"/>
              <v:textbox inset="0mm,0mm,0mm,0mm" style="mso-fit-shape-to-text:t;">
                <w:txbxContent>
                  <w:p>
                    <w:pPr>
                      <w:pStyle w:val="13"/>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40873109"/>
    <w:multiLevelType w:val="singleLevel"/>
    <w:tmpl w:val="40873109"/>
    <w:lvl w:ilvl="0" w:tentative="0">
      <w:start w:val="1"/>
      <w:numFmt w:val="chineseCounting"/>
      <w:suff w:val="nothing"/>
      <w:lvlText w:val="（%1）"/>
      <w:lvlJc w:val="left"/>
      <w:rPr>
        <w:rFonts w:hint="eastAsia"/>
      </w:rPr>
    </w:lvl>
  </w:abstractNum>
  <w:abstractNum w:abstractNumId="3">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abstractNum w:abstractNumId="4">
    <w:nsid w:val="75BF0947"/>
    <w:multiLevelType w:val="singleLevel"/>
    <w:tmpl w:val="75BF0947"/>
    <w:lvl w:ilvl="0" w:tentative="0">
      <w:start w:val="1"/>
      <w:numFmt w:val="chineseCounting"/>
      <w:suff w:val="nothing"/>
      <w:lvlText w:val="%1、"/>
      <w:lvlJc w:val="left"/>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NWYzN2VlZGU4ZWZkZWNmMjczM2QzYjA5MmU4OWQifQ=="/>
  </w:docVars>
  <w:rsids>
    <w:rsidRoot w:val="00F1361C"/>
    <w:rsid w:val="000222C6"/>
    <w:rsid w:val="00024C46"/>
    <w:rsid w:val="0002549F"/>
    <w:rsid w:val="0003003F"/>
    <w:rsid w:val="000468DB"/>
    <w:rsid w:val="00057A67"/>
    <w:rsid w:val="0006487A"/>
    <w:rsid w:val="00065F8F"/>
    <w:rsid w:val="00070A43"/>
    <w:rsid w:val="000768F2"/>
    <w:rsid w:val="0009184B"/>
    <w:rsid w:val="00094236"/>
    <w:rsid w:val="000949C3"/>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20C09"/>
    <w:rsid w:val="00130590"/>
    <w:rsid w:val="00142216"/>
    <w:rsid w:val="00144D6A"/>
    <w:rsid w:val="0014729F"/>
    <w:rsid w:val="00157BAB"/>
    <w:rsid w:val="00165112"/>
    <w:rsid w:val="001654D1"/>
    <w:rsid w:val="00174518"/>
    <w:rsid w:val="0018106D"/>
    <w:rsid w:val="001877A7"/>
    <w:rsid w:val="00191536"/>
    <w:rsid w:val="00196687"/>
    <w:rsid w:val="001A6A61"/>
    <w:rsid w:val="001C0962"/>
    <w:rsid w:val="001D7531"/>
    <w:rsid w:val="001E737D"/>
    <w:rsid w:val="001F0592"/>
    <w:rsid w:val="001F7506"/>
    <w:rsid w:val="00200494"/>
    <w:rsid w:val="002006CD"/>
    <w:rsid w:val="00202B36"/>
    <w:rsid w:val="00204B7A"/>
    <w:rsid w:val="00204CDE"/>
    <w:rsid w:val="0021101A"/>
    <w:rsid w:val="00214DC1"/>
    <w:rsid w:val="002166A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05E7D"/>
    <w:rsid w:val="003216A9"/>
    <w:rsid w:val="0033309F"/>
    <w:rsid w:val="00335A74"/>
    <w:rsid w:val="00343D3E"/>
    <w:rsid w:val="0036561B"/>
    <w:rsid w:val="0037013F"/>
    <w:rsid w:val="00380C92"/>
    <w:rsid w:val="00384606"/>
    <w:rsid w:val="003846EC"/>
    <w:rsid w:val="003A484F"/>
    <w:rsid w:val="003A4883"/>
    <w:rsid w:val="003B0BE0"/>
    <w:rsid w:val="003B0C1B"/>
    <w:rsid w:val="003B688C"/>
    <w:rsid w:val="003B7BF1"/>
    <w:rsid w:val="003C0291"/>
    <w:rsid w:val="003C39AE"/>
    <w:rsid w:val="003C7B60"/>
    <w:rsid w:val="003D0C0F"/>
    <w:rsid w:val="003D1FB2"/>
    <w:rsid w:val="003D66DA"/>
    <w:rsid w:val="003E1310"/>
    <w:rsid w:val="003E2E75"/>
    <w:rsid w:val="003E6F55"/>
    <w:rsid w:val="003E74D4"/>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822"/>
    <w:rsid w:val="004F0FBD"/>
    <w:rsid w:val="004F47C5"/>
    <w:rsid w:val="004F79D3"/>
    <w:rsid w:val="00505A47"/>
    <w:rsid w:val="00512FDA"/>
    <w:rsid w:val="00516D75"/>
    <w:rsid w:val="00520DA0"/>
    <w:rsid w:val="005664BB"/>
    <w:rsid w:val="00566FFA"/>
    <w:rsid w:val="0057481D"/>
    <w:rsid w:val="0058486E"/>
    <w:rsid w:val="00585B33"/>
    <w:rsid w:val="0059014D"/>
    <w:rsid w:val="00592A44"/>
    <w:rsid w:val="005B5C64"/>
    <w:rsid w:val="005C5337"/>
    <w:rsid w:val="005C5835"/>
    <w:rsid w:val="005C6BD0"/>
    <w:rsid w:val="005D1C8B"/>
    <w:rsid w:val="005D37AC"/>
    <w:rsid w:val="005D468D"/>
    <w:rsid w:val="005D5CED"/>
    <w:rsid w:val="005F1A4C"/>
    <w:rsid w:val="00605688"/>
    <w:rsid w:val="006070AF"/>
    <w:rsid w:val="00607E6C"/>
    <w:rsid w:val="006101B1"/>
    <w:rsid w:val="00614E44"/>
    <w:rsid w:val="0062270A"/>
    <w:rsid w:val="00622830"/>
    <w:rsid w:val="00623DA0"/>
    <w:rsid w:val="00624DC2"/>
    <w:rsid w:val="00626CF4"/>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E450D"/>
    <w:rsid w:val="006F020C"/>
    <w:rsid w:val="007127B7"/>
    <w:rsid w:val="0071798E"/>
    <w:rsid w:val="0073334C"/>
    <w:rsid w:val="00733909"/>
    <w:rsid w:val="007416B6"/>
    <w:rsid w:val="00746945"/>
    <w:rsid w:val="00746F48"/>
    <w:rsid w:val="0075404D"/>
    <w:rsid w:val="007615BE"/>
    <w:rsid w:val="0076182A"/>
    <w:rsid w:val="00767B7E"/>
    <w:rsid w:val="00770B84"/>
    <w:rsid w:val="007770C3"/>
    <w:rsid w:val="00784D24"/>
    <w:rsid w:val="00785FBA"/>
    <w:rsid w:val="00786E4A"/>
    <w:rsid w:val="007875EB"/>
    <w:rsid w:val="0079426B"/>
    <w:rsid w:val="007A46F0"/>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7357"/>
    <w:rsid w:val="00847874"/>
    <w:rsid w:val="00850625"/>
    <w:rsid w:val="00853718"/>
    <w:rsid w:val="00855221"/>
    <w:rsid w:val="00860645"/>
    <w:rsid w:val="00871F71"/>
    <w:rsid w:val="00872FD8"/>
    <w:rsid w:val="00885AF4"/>
    <w:rsid w:val="008939CD"/>
    <w:rsid w:val="008B75CB"/>
    <w:rsid w:val="008B768C"/>
    <w:rsid w:val="008C4DB1"/>
    <w:rsid w:val="008C4EAF"/>
    <w:rsid w:val="008C5176"/>
    <w:rsid w:val="008C7FD0"/>
    <w:rsid w:val="008E1DE7"/>
    <w:rsid w:val="008E707C"/>
    <w:rsid w:val="00900B08"/>
    <w:rsid w:val="00902155"/>
    <w:rsid w:val="00902FA3"/>
    <w:rsid w:val="009113D7"/>
    <w:rsid w:val="00923564"/>
    <w:rsid w:val="0092392E"/>
    <w:rsid w:val="009315F9"/>
    <w:rsid w:val="00933499"/>
    <w:rsid w:val="00935C98"/>
    <w:rsid w:val="00936F5D"/>
    <w:rsid w:val="00946945"/>
    <w:rsid w:val="00951248"/>
    <w:rsid w:val="0095152F"/>
    <w:rsid w:val="00954C49"/>
    <w:rsid w:val="00955E37"/>
    <w:rsid w:val="0097099F"/>
    <w:rsid w:val="00971997"/>
    <w:rsid w:val="00971FFC"/>
    <w:rsid w:val="00975E29"/>
    <w:rsid w:val="00985107"/>
    <w:rsid w:val="0098660A"/>
    <w:rsid w:val="009931C3"/>
    <w:rsid w:val="009B2C43"/>
    <w:rsid w:val="009B4EAE"/>
    <w:rsid w:val="009B7573"/>
    <w:rsid w:val="009C22F4"/>
    <w:rsid w:val="009C2A4B"/>
    <w:rsid w:val="009C2E98"/>
    <w:rsid w:val="009C584D"/>
    <w:rsid w:val="009D3447"/>
    <w:rsid w:val="009D4696"/>
    <w:rsid w:val="009D4711"/>
    <w:rsid w:val="009E2C08"/>
    <w:rsid w:val="009E74D4"/>
    <w:rsid w:val="009F1185"/>
    <w:rsid w:val="009F18CD"/>
    <w:rsid w:val="009F1A5E"/>
    <w:rsid w:val="009F2A13"/>
    <w:rsid w:val="009F7527"/>
    <w:rsid w:val="00A04EB0"/>
    <w:rsid w:val="00A13CC1"/>
    <w:rsid w:val="00A16847"/>
    <w:rsid w:val="00A237D8"/>
    <w:rsid w:val="00A268C4"/>
    <w:rsid w:val="00A307CD"/>
    <w:rsid w:val="00A331C8"/>
    <w:rsid w:val="00A40A00"/>
    <w:rsid w:val="00A4142F"/>
    <w:rsid w:val="00A422EB"/>
    <w:rsid w:val="00A45BB7"/>
    <w:rsid w:val="00A517A3"/>
    <w:rsid w:val="00A56DF2"/>
    <w:rsid w:val="00A56E6E"/>
    <w:rsid w:val="00A67AB5"/>
    <w:rsid w:val="00A733B2"/>
    <w:rsid w:val="00A740CC"/>
    <w:rsid w:val="00A741C2"/>
    <w:rsid w:val="00A84D25"/>
    <w:rsid w:val="00A91760"/>
    <w:rsid w:val="00A93B00"/>
    <w:rsid w:val="00A93C21"/>
    <w:rsid w:val="00AB64C9"/>
    <w:rsid w:val="00AC3C6A"/>
    <w:rsid w:val="00AD5620"/>
    <w:rsid w:val="00AD656B"/>
    <w:rsid w:val="00AD7C1B"/>
    <w:rsid w:val="00AE16BA"/>
    <w:rsid w:val="00AE1EBE"/>
    <w:rsid w:val="00AF7DA4"/>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B6AB8"/>
    <w:rsid w:val="00BC289F"/>
    <w:rsid w:val="00BC2D50"/>
    <w:rsid w:val="00BC5361"/>
    <w:rsid w:val="00BC5460"/>
    <w:rsid w:val="00BC6B50"/>
    <w:rsid w:val="00BD0E25"/>
    <w:rsid w:val="00BF5BD6"/>
    <w:rsid w:val="00C03E31"/>
    <w:rsid w:val="00C303A4"/>
    <w:rsid w:val="00C32C8F"/>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1D76"/>
    <w:rsid w:val="00CC469C"/>
    <w:rsid w:val="00CC666F"/>
    <w:rsid w:val="00CD1E3F"/>
    <w:rsid w:val="00CE1BBC"/>
    <w:rsid w:val="00CE44F6"/>
    <w:rsid w:val="00CE49DA"/>
    <w:rsid w:val="00CE7B61"/>
    <w:rsid w:val="00CF7B9F"/>
    <w:rsid w:val="00D00095"/>
    <w:rsid w:val="00D07A73"/>
    <w:rsid w:val="00D114F0"/>
    <w:rsid w:val="00D17D8F"/>
    <w:rsid w:val="00D20620"/>
    <w:rsid w:val="00D254F7"/>
    <w:rsid w:val="00D26091"/>
    <w:rsid w:val="00D2685C"/>
    <w:rsid w:val="00D34E7C"/>
    <w:rsid w:val="00D35489"/>
    <w:rsid w:val="00D36AFE"/>
    <w:rsid w:val="00D42807"/>
    <w:rsid w:val="00D51276"/>
    <w:rsid w:val="00D7035F"/>
    <w:rsid w:val="00DA634F"/>
    <w:rsid w:val="00DA65AC"/>
    <w:rsid w:val="00DB1913"/>
    <w:rsid w:val="00DC410D"/>
    <w:rsid w:val="00DC5A81"/>
    <w:rsid w:val="00DC68CA"/>
    <w:rsid w:val="00DC7CBA"/>
    <w:rsid w:val="00DD73B7"/>
    <w:rsid w:val="00DE7951"/>
    <w:rsid w:val="00DF28BC"/>
    <w:rsid w:val="00DF34B9"/>
    <w:rsid w:val="00E01053"/>
    <w:rsid w:val="00E07ACF"/>
    <w:rsid w:val="00E331A1"/>
    <w:rsid w:val="00E33202"/>
    <w:rsid w:val="00E336A9"/>
    <w:rsid w:val="00E41244"/>
    <w:rsid w:val="00E472B1"/>
    <w:rsid w:val="00E50624"/>
    <w:rsid w:val="00E5492D"/>
    <w:rsid w:val="00E55D88"/>
    <w:rsid w:val="00E568DF"/>
    <w:rsid w:val="00E64269"/>
    <w:rsid w:val="00E737EA"/>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4503"/>
    <w:rsid w:val="00F156F0"/>
    <w:rsid w:val="00F160C7"/>
    <w:rsid w:val="00F1777A"/>
    <w:rsid w:val="00F2408F"/>
    <w:rsid w:val="00F240E9"/>
    <w:rsid w:val="00F36D8F"/>
    <w:rsid w:val="00F417B1"/>
    <w:rsid w:val="00F45853"/>
    <w:rsid w:val="00F5199E"/>
    <w:rsid w:val="00F602DF"/>
    <w:rsid w:val="00F71E4B"/>
    <w:rsid w:val="00F73BBA"/>
    <w:rsid w:val="00F754A1"/>
    <w:rsid w:val="00F81FD9"/>
    <w:rsid w:val="00F841AA"/>
    <w:rsid w:val="00F84A94"/>
    <w:rsid w:val="00F86CDF"/>
    <w:rsid w:val="00F87E96"/>
    <w:rsid w:val="00FA23E8"/>
    <w:rsid w:val="00FC580A"/>
    <w:rsid w:val="00FD3CC1"/>
    <w:rsid w:val="00FF1E02"/>
    <w:rsid w:val="00FF30B4"/>
    <w:rsid w:val="06026309"/>
    <w:rsid w:val="066E0107"/>
    <w:rsid w:val="073A2B42"/>
    <w:rsid w:val="07996F6E"/>
    <w:rsid w:val="09503B68"/>
    <w:rsid w:val="0A2032A3"/>
    <w:rsid w:val="0ACA0DD9"/>
    <w:rsid w:val="0B093D05"/>
    <w:rsid w:val="0BAE2FD5"/>
    <w:rsid w:val="0DC161D1"/>
    <w:rsid w:val="0DDF3E53"/>
    <w:rsid w:val="0EEF3211"/>
    <w:rsid w:val="101860EC"/>
    <w:rsid w:val="10A71F48"/>
    <w:rsid w:val="10C055FF"/>
    <w:rsid w:val="118107EC"/>
    <w:rsid w:val="1246139A"/>
    <w:rsid w:val="12E80189"/>
    <w:rsid w:val="13C22CA3"/>
    <w:rsid w:val="13D50BC4"/>
    <w:rsid w:val="141C16B6"/>
    <w:rsid w:val="159B19FD"/>
    <w:rsid w:val="162D630C"/>
    <w:rsid w:val="16BB723D"/>
    <w:rsid w:val="16D72C46"/>
    <w:rsid w:val="17E23913"/>
    <w:rsid w:val="18B370C1"/>
    <w:rsid w:val="198A504E"/>
    <w:rsid w:val="1A5125C5"/>
    <w:rsid w:val="1BE8440E"/>
    <w:rsid w:val="1BFF6BEE"/>
    <w:rsid w:val="1C556DAA"/>
    <w:rsid w:val="1D085BCA"/>
    <w:rsid w:val="1D155CEE"/>
    <w:rsid w:val="1D2D21E6"/>
    <w:rsid w:val="1FF7F8E9"/>
    <w:rsid w:val="213B4094"/>
    <w:rsid w:val="213C1917"/>
    <w:rsid w:val="23602029"/>
    <w:rsid w:val="23860B96"/>
    <w:rsid w:val="240371BF"/>
    <w:rsid w:val="24F75C03"/>
    <w:rsid w:val="260333D3"/>
    <w:rsid w:val="26BB5A5B"/>
    <w:rsid w:val="27FBE73B"/>
    <w:rsid w:val="28A11761"/>
    <w:rsid w:val="29FD04D3"/>
    <w:rsid w:val="2A3C5105"/>
    <w:rsid w:val="2B33E5FF"/>
    <w:rsid w:val="2C8A61B5"/>
    <w:rsid w:val="2D173C07"/>
    <w:rsid w:val="2DF04E50"/>
    <w:rsid w:val="2EF7217F"/>
    <w:rsid w:val="2F416D1A"/>
    <w:rsid w:val="2F6C4D73"/>
    <w:rsid w:val="2FFDD6AD"/>
    <w:rsid w:val="319F7F4E"/>
    <w:rsid w:val="31FCCF4E"/>
    <w:rsid w:val="337E678E"/>
    <w:rsid w:val="33DC5263"/>
    <w:rsid w:val="3402116D"/>
    <w:rsid w:val="34D710DE"/>
    <w:rsid w:val="35683252"/>
    <w:rsid w:val="35B9265D"/>
    <w:rsid w:val="36694E60"/>
    <w:rsid w:val="36AA5135"/>
    <w:rsid w:val="36D93CDC"/>
    <w:rsid w:val="36EDA3DA"/>
    <w:rsid w:val="377D7339"/>
    <w:rsid w:val="37E16F03"/>
    <w:rsid w:val="37FCD8B0"/>
    <w:rsid w:val="392D268A"/>
    <w:rsid w:val="3ACD244A"/>
    <w:rsid w:val="3BBE1D0A"/>
    <w:rsid w:val="3BF7221B"/>
    <w:rsid w:val="3C8666B4"/>
    <w:rsid w:val="3C974AA2"/>
    <w:rsid w:val="3D11096C"/>
    <w:rsid w:val="3D98207C"/>
    <w:rsid w:val="3E5FD83A"/>
    <w:rsid w:val="3E611499"/>
    <w:rsid w:val="3E7322D6"/>
    <w:rsid w:val="3E7C7E12"/>
    <w:rsid w:val="3EAA6B30"/>
    <w:rsid w:val="3EAD43CC"/>
    <w:rsid w:val="3F4F0FDF"/>
    <w:rsid w:val="3FBF6DE6"/>
    <w:rsid w:val="3FF7A1FF"/>
    <w:rsid w:val="409A183A"/>
    <w:rsid w:val="43946847"/>
    <w:rsid w:val="44E268DA"/>
    <w:rsid w:val="47675309"/>
    <w:rsid w:val="49E35DD2"/>
    <w:rsid w:val="4A627F82"/>
    <w:rsid w:val="4A7F4E6E"/>
    <w:rsid w:val="4B4F25DA"/>
    <w:rsid w:val="4BE068DB"/>
    <w:rsid w:val="4C061CD9"/>
    <w:rsid w:val="4C1C493F"/>
    <w:rsid w:val="4D577224"/>
    <w:rsid w:val="4E577EB0"/>
    <w:rsid w:val="4EAB630A"/>
    <w:rsid w:val="4ECE2238"/>
    <w:rsid w:val="4F3465F2"/>
    <w:rsid w:val="4F583EE0"/>
    <w:rsid w:val="4F7CDE38"/>
    <w:rsid w:val="4F9EEFB2"/>
    <w:rsid w:val="4FF56916"/>
    <w:rsid w:val="50164E76"/>
    <w:rsid w:val="51114097"/>
    <w:rsid w:val="519A7F79"/>
    <w:rsid w:val="51AD4F1F"/>
    <w:rsid w:val="52086F4F"/>
    <w:rsid w:val="52CD3ACC"/>
    <w:rsid w:val="53AC666F"/>
    <w:rsid w:val="5582110F"/>
    <w:rsid w:val="564E2FBB"/>
    <w:rsid w:val="56B60923"/>
    <w:rsid w:val="57FEC5FF"/>
    <w:rsid w:val="58AE4B70"/>
    <w:rsid w:val="59255D71"/>
    <w:rsid w:val="5AF92295"/>
    <w:rsid w:val="5BFFFC14"/>
    <w:rsid w:val="5C1F374B"/>
    <w:rsid w:val="5CD71FC4"/>
    <w:rsid w:val="5E5F6BB9"/>
    <w:rsid w:val="5FFDAF4D"/>
    <w:rsid w:val="60A734A9"/>
    <w:rsid w:val="61B02055"/>
    <w:rsid w:val="6396140B"/>
    <w:rsid w:val="64437466"/>
    <w:rsid w:val="64D618A7"/>
    <w:rsid w:val="65FFC58C"/>
    <w:rsid w:val="66AD79CA"/>
    <w:rsid w:val="69180510"/>
    <w:rsid w:val="69D9075E"/>
    <w:rsid w:val="6A5478C4"/>
    <w:rsid w:val="6A7015EF"/>
    <w:rsid w:val="6AFB93A4"/>
    <w:rsid w:val="6BFF110A"/>
    <w:rsid w:val="6C4A05C8"/>
    <w:rsid w:val="6DD048FC"/>
    <w:rsid w:val="6E7E3605"/>
    <w:rsid w:val="6EBA13E0"/>
    <w:rsid w:val="6EBC4C70"/>
    <w:rsid w:val="6F3F1B91"/>
    <w:rsid w:val="6FBFCC0A"/>
    <w:rsid w:val="6FF5CC65"/>
    <w:rsid w:val="715C0E4B"/>
    <w:rsid w:val="719C5A56"/>
    <w:rsid w:val="71F989B9"/>
    <w:rsid w:val="721675B7"/>
    <w:rsid w:val="72541E8D"/>
    <w:rsid w:val="72734D90"/>
    <w:rsid w:val="739D1911"/>
    <w:rsid w:val="73AD73D5"/>
    <w:rsid w:val="73B6EB34"/>
    <w:rsid w:val="73EBB2C5"/>
    <w:rsid w:val="73FD239E"/>
    <w:rsid w:val="75F8A662"/>
    <w:rsid w:val="75FF1306"/>
    <w:rsid w:val="762A5D19"/>
    <w:rsid w:val="771704F4"/>
    <w:rsid w:val="777F237D"/>
    <w:rsid w:val="77BB687A"/>
    <w:rsid w:val="77D5BA23"/>
    <w:rsid w:val="78D935D3"/>
    <w:rsid w:val="79EE5BA4"/>
    <w:rsid w:val="79F7A501"/>
    <w:rsid w:val="79FF67A9"/>
    <w:rsid w:val="7A894339"/>
    <w:rsid w:val="7B9D47E9"/>
    <w:rsid w:val="7BADAF06"/>
    <w:rsid w:val="7D007C3E"/>
    <w:rsid w:val="7DFFB85A"/>
    <w:rsid w:val="7E3B927B"/>
    <w:rsid w:val="7EEF11D3"/>
    <w:rsid w:val="7F2B76DD"/>
    <w:rsid w:val="7F3B7DC2"/>
    <w:rsid w:val="7F4F49F2"/>
    <w:rsid w:val="7F5776F6"/>
    <w:rsid w:val="7FA30C79"/>
    <w:rsid w:val="7FC96657"/>
    <w:rsid w:val="7FD55A58"/>
    <w:rsid w:val="7FF266E2"/>
    <w:rsid w:val="7FFE4BD7"/>
    <w:rsid w:val="7FFF157D"/>
    <w:rsid w:val="86AD38B1"/>
    <w:rsid w:val="87FF30AE"/>
    <w:rsid w:val="9FD56F26"/>
    <w:rsid w:val="A68E24F7"/>
    <w:rsid w:val="A7FE50B9"/>
    <w:rsid w:val="B9D1F72E"/>
    <w:rsid w:val="BF8FB98B"/>
    <w:rsid w:val="C1EE1DA1"/>
    <w:rsid w:val="C72BA5E7"/>
    <w:rsid w:val="CD6D348B"/>
    <w:rsid w:val="CE72BF79"/>
    <w:rsid w:val="CE8DB8A6"/>
    <w:rsid w:val="D7DC299E"/>
    <w:rsid w:val="D7F74392"/>
    <w:rsid w:val="D8D6DB89"/>
    <w:rsid w:val="D8E3756A"/>
    <w:rsid w:val="DB6F4CAB"/>
    <w:rsid w:val="DBBF85A6"/>
    <w:rsid w:val="DD5766F9"/>
    <w:rsid w:val="DD9B8C13"/>
    <w:rsid w:val="DDDF3D91"/>
    <w:rsid w:val="DF6F9789"/>
    <w:rsid w:val="DFB780EE"/>
    <w:rsid w:val="DFDFC32F"/>
    <w:rsid w:val="DFEC8F7C"/>
    <w:rsid w:val="DFFA5BEF"/>
    <w:rsid w:val="E3BF3BA0"/>
    <w:rsid w:val="E7FF5824"/>
    <w:rsid w:val="EBFD79A7"/>
    <w:rsid w:val="EE97FA3E"/>
    <w:rsid w:val="EFCB554D"/>
    <w:rsid w:val="EFCF6180"/>
    <w:rsid w:val="F57B5D35"/>
    <w:rsid w:val="F773F4DA"/>
    <w:rsid w:val="F776EF13"/>
    <w:rsid w:val="F77F9957"/>
    <w:rsid w:val="F78169E7"/>
    <w:rsid w:val="F7DB3C37"/>
    <w:rsid w:val="F7F5D6DD"/>
    <w:rsid w:val="F9AB36F8"/>
    <w:rsid w:val="FB7FC309"/>
    <w:rsid w:val="FDBBC71A"/>
    <w:rsid w:val="FDBDF78E"/>
    <w:rsid w:val="FDDFE1A7"/>
    <w:rsid w:val="FDFF81A3"/>
    <w:rsid w:val="FE984473"/>
    <w:rsid w:val="FEF54EAD"/>
    <w:rsid w:val="FF6B37A2"/>
    <w:rsid w:val="FFAF1269"/>
    <w:rsid w:val="FFDDBA39"/>
    <w:rsid w:val="FFDF9518"/>
    <w:rsid w:val="FFF7865A"/>
    <w:rsid w:val="FFFF743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7"/>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pPr>
    <w:rPr>
      <w:sz w:val="21"/>
      <w:szCs w:val="22"/>
    </w:rPr>
  </w:style>
  <w:style w:type="paragraph" w:styleId="6">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7">
    <w:name w:val="Salutation"/>
    <w:basedOn w:val="1"/>
    <w:next w:val="1"/>
    <w:link w:val="40"/>
    <w:unhideWhenUsed/>
    <w:qFormat/>
    <w:uiPriority w:val="99"/>
    <w:rPr>
      <w:rFonts w:eastAsia="仿宋_GB2312"/>
      <w:sz w:val="32"/>
      <w:szCs w:val="32"/>
    </w:rPr>
  </w:style>
  <w:style w:type="paragraph" w:styleId="8">
    <w:name w:val="Body Text"/>
    <w:basedOn w:val="1"/>
    <w:link w:val="30"/>
    <w:qFormat/>
    <w:uiPriority w:val="0"/>
    <w:pPr>
      <w:spacing w:beforeLines="30"/>
    </w:pPr>
    <w:rPr>
      <w:rFonts w:ascii="仿宋_GB2312" w:eastAsia="仿宋_GB2312"/>
      <w:kern w:val="0"/>
      <w:sz w:val="30"/>
    </w:rPr>
  </w:style>
  <w:style w:type="paragraph" w:styleId="9">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0">
    <w:name w:val="toc 3"/>
    <w:basedOn w:val="1"/>
    <w:next w:val="1"/>
    <w:unhideWhenUsed/>
    <w:qFormat/>
    <w:uiPriority w:val="39"/>
    <w:pPr>
      <w:tabs>
        <w:tab w:val="right" w:leader="dot" w:pos="8296"/>
      </w:tabs>
      <w:ind w:left="840" w:leftChars="400"/>
    </w:pPr>
  </w:style>
  <w:style w:type="paragraph" w:styleId="11">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2">
    <w:name w:val="Balloon Text"/>
    <w:basedOn w:val="1"/>
    <w:link w:val="36"/>
    <w:semiHidden/>
    <w:unhideWhenUsed/>
    <w:qFormat/>
    <w:uiPriority w:val="99"/>
    <w:rPr>
      <w:sz w:val="18"/>
      <w:szCs w:val="18"/>
    </w:rPr>
  </w:style>
  <w:style w:type="paragraph" w:styleId="13">
    <w:name w:val="footer"/>
    <w:basedOn w:val="1"/>
    <w:link w:val="28"/>
    <w:qFormat/>
    <w:uiPriority w:val="0"/>
    <w:pPr>
      <w:tabs>
        <w:tab w:val="center" w:pos="4153"/>
        <w:tab w:val="right" w:pos="8306"/>
      </w:tabs>
      <w:snapToGrid w:val="0"/>
      <w:jc w:val="left"/>
    </w:pPr>
    <w:rPr>
      <w:rFonts w:ascii="Calibri" w:hAnsi="Calibri"/>
      <w:kern w:val="0"/>
      <w:sz w:val="18"/>
      <w:szCs w:val="18"/>
    </w:rPr>
  </w:style>
  <w:style w:type="paragraph" w:styleId="14">
    <w:name w:val="header"/>
    <w:basedOn w:val="1"/>
    <w:link w:val="26"/>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5">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6">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17">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18">
    <w:name w:val="toc 2"/>
    <w:basedOn w:val="1"/>
    <w:next w:val="1"/>
    <w:unhideWhenUsed/>
    <w:qFormat/>
    <w:uiPriority w:val="39"/>
    <w:pPr>
      <w:tabs>
        <w:tab w:val="right" w:leader="dot" w:pos="8296"/>
      </w:tabs>
      <w:ind w:left="420" w:leftChars="200"/>
    </w:pPr>
  </w:style>
  <w:style w:type="paragraph" w:styleId="19">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0">
    <w:name w:val="Normal (Web)"/>
    <w:basedOn w:val="1"/>
    <w:unhideWhenUsed/>
    <w:qFormat/>
    <w:uiPriority w:val="0"/>
    <w:pPr>
      <w:spacing w:beforeAutospacing="1" w:afterAutospacing="1"/>
      <w:jc w:val="left"/>
    </w:pPr>
    <w:rPr>
      <w:kern w:val="0"/>
      <w:sz w:val="24"/>
    </w:rPr>
  </w:style>
  <w:style w:type="character" w:styleId="23">
    <w:name w:val="Strong"/>
    <w:basedOn w:val="22"/>
    <w:qFormat/>
    <w:uiPriority w:val="99"/>
    <w:rPr>
      <w:b/>
    </w:rPr>
  </w:style>
  <w:style w:type="character" w:styleId="24">
    <w:name w:val="Hyperlink"/>
    <w:basedOn w:val="22"/>
    <w:unhideWhenUsed/>
    <w:qFormat/>
    <w:uiPriority w:val="99"/>
    <w:rPr>
      <w:color w:val="0000FF" w:themeColor="hyperlink"/>
      <w:u w:val="single"/>
      <w14:textFill>
        <w14:solidFill>
          <w14:schemeClr w14:val="hlink"/>
        </w14:solidFill>
      </w14:textFill>
    </w:rPr>
  </w:style>
  <w:style w:type="character" w:customStyle="1" w:styleId="25">
    <w:name w:val="Header Char"/>
    <w:basedOn w:val="22"/>
    <w:semiHidden/>
    <w:qFormat/>
    <w:uiPriority w:val="99"/>
    <w:rPr>
      <w:rFonts w:ascii="Times New Roman" w:hAnsi="Times New Roman"/>
      <w:sz w:val="18"/>
      <w:szCs w:val="18"/>
    </w:rPr>
  </w:style>
  <w:style w:type="character" w:customStyle="1" w:styleId="26">
    <w:name w:val="页眉 Char"/>
    <w:link w:val="14"/>
    <w:semiHidden/>
    <w:qFormat/>
    <w:locked/>
    <w:uiPriority w:val="99"/>
    <w:rPr>
      <w:sz w:val="18"/>
    </w:rPr>
  </w:style>
  <w:style w:type="character" w:customStyle="1" w:styleId="27">
    <w:name w:val="Footer Char"/>
    <w:basedOn w:val="22"/>
    <w:semiHidden/>
    <w:qFormat/>
    <w:uiPriority w:val="99"/>
    <w:rPr>
      <w:rFonts w:ascii="Times New Roman" w:hAnsi="Times New Roman"/>
      <w:sz w:val="18"/>
      <w:szCs w:val="18"/>
    </w:rPr>
  </w:style>
  <w:style w:type="character" w:customStyle="1" w:styleId="28">
    <w:name w:val="页脚 Char"/>
    <w:link w:val="13"/>
    <w:qFormat/>
    <w:locked/>
    <w:uiPriority w:val="99"/>
    <w:rPr>
      <w:sz w:val="18"/>
    </w:rPr>
  </w:style>
  <w:style w:type="character" w:customStyle="1" w:styleId="29">
    <w:name w:val="Body Text Char"/>
    <w:basedOn w:val="22"/>
    <w:semiHidden/>
    <w:qFormat/>
    <w:uiPriority w:val="99"/>
    <w:rPr>
      <w:rFonts w:ascii="Times New Roman" w:hAnsi="Times New Roman"/>
      <w:szCs w:val="24"/>
    </w:rPr>
  </w:style>
  <w:style w:type="character" w:customStyle="1" w:styleId="30">
    <w:name w:val="正文文本 Char"/>
    <w:link w:val="8"/>
    <w:qFormat/>
    <w:locked/>
    <w:uiPriority w:val="99"/>
    <w:rPr>
      <w:rFonts w:ascii="仿宋_GB2312" w:hAnsi="Times New Roman" w:eastAsia="仿宋_GB2312"/>
      <w:sz w:val="24"/>
    </w:rPr>
  </w:style>
  <w:style w:type="paragraph" w:customStyle="1" w:styleId="31">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2">
    <w:name w:val="List Paragraph"/>
    <w:basedOn w:val="1"/>
    <w:qFormat/>
    <w:uiPriority w:val="34"/>
    <w:pPr>
      <w:ind w:firstLine="420" w:firstLineChars="200"/>
    </w:pPr>
  </w:style>
  <w:style w:type="character" w:customStyle="1" w:styleId="33">
    <w:name w:val="标题 1 Char"/>
    <w:basedOn w:val="22"/>
    <w:link w:val="3"/>
    <w:qFormat/>
    <w:uiPriority w:val="9"/>
    <w:rPr>
      <w:rFonts w:ascii="Times New Roman" w:hAnsi="Times New Roman"/>
      <w:b/>
      <w:bCs/>
      <w:kern w:val="44"/>
      <w:sz w:val="44"/>
      <w:szCs w:val="44"/>
    </w:rPr>
  </w:style>
  <w:style w:type="character" w:customStyle="1" w:styleId="34">
    <w:name w:val="标题 2 Char"/>
    <w:basedOn w:val="22"/>
    <w:link w:val="4"/>
    <w:qFormat/>
    <w:uiPriority w:val="9"/>
    <w:rPr>
      <w:rFonts w:asciiTheme="majorHAnsi" w:hAnsiTheme="majorHAnsi" w:eastAsiaTheme="majorEastAsia" w:cstheme="majorBidi"/>
      <w:b/>
      <w:bCs/>
      <w:kern w:val="2"/>
      <w:sz w:val="32"/>
      <w:szCs w:val="32"/>
    </w:rPr>
  </w:style>
  <w:style w:type="paragraph" w:customStyle="1" w:styleId="35">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批注框文本 Char"/>
    <w:basedOn w:val="22"/>
    <w:link w:val="12"/>
    <w:semiHidden/>
    <w:qFormat/>
    <w:uiPriority w:val="99"/>
    <w:rPr>
      <w:rFonts w:ascii="Times New Roman" w:hAnsi="Times New Roman"/>
      <w:kern w:val="2"/>
      <w:sz w:val="18"/>
      <w:szCs w:val="18"/>
    </w:rPr>
  </w:style>
  <w:style w:type="character" w:customStyle="1" w:styleId="37">
    <w:name w:val="标题 3 Char"/>
    <w:basedOn w:val="22"/>
    <w:link w:val="5"/>
    <w:qFormat/>
    <w:uiPriority w:val="9"/>
    <w:rPr>
      <w:rFonts w:ascii="Times New Roman" w:hAnsi="Times New Roman"/>
      <w:b/>
      <w:bCs/>
      <w:kern w:val="2"/>
      <w:sz w:val="32"/>
      <w:szCs w:val="32"/>
    </w:rPr>
  </w:style>
  <w:style w:type="paragraph" w:customStyle="1" w:styleId="38">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9">
    <w:name w:val="TOC 标题3"/>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0">
    <w:name w:val="称呼 Char"/>
    <w:basedOn w:val="22"/>
    <w:link w:val="7"/>
    <w:qFormat/>
    <w:uiPriority w:val="99"/>
    <w:rPr>
      <w:rFonts w:eastAsia="仿宋_GB2312"/>
      <w:kern w:val="2"/>
      <w:sz w:val="32"/>
      <w:szCs w:val="32"/>
    </w:rPr>
  </w:style>
  <w:style w:type="paragraph" w:customStyle="1" w:styleId="41">
    <w:name w:val="ToCaption"/>
    <w:basedOn w:val="1"/>
    <w:next w:val="1"/>
    <w:qFormat/>
    <w:uiPriority w:val="0"/>
    <w:pPr>
      <w:ind w:left="200" w:leftChars="200" w:hanging="200" w:hangingChars="200"/>
      <w:textAlignment w:val="baseline"/>
    </w:pPr>
    <w:rPr>
      <w:rFonts w:eastAsia="仿宋_GB2312"/>
    </w:rPr>
  </w:style>
  <w:style w:type="paragraph" w:customStyle="1" w:styleId="42">
    <w:name w:val="四号正文"/>
    <w:basedOn w:val="1"/>
    <w:qFormat/>
    <w:uiPriority w:val="0"/>
    <w:pPr>
      <w:spacing w:line="360" w:lineRule="auto"/>
    </w:pPr>
    <w:rPr>
      <w:rFonts w:ascii="??" w:hAnsi="??"/>
      <w:color w:val="000000"/>
      <w:kern w:val="0"/>
      <w:sz w:val="28"/>
      <w:szCs w:val="21"/>
      <w:lang w:val="zh-CN"/>
    </w:rPr>
  </w:style>
  <w:style w:type="character" w:customStyle="1" w:styleId="43">
    <w:name w:val="font61"/>
    <w:basedOn w:val="22"/>
    <w:qFormat/>
    <w:uiPriority w:val="0"/>
    <w:rPr>
      <w:rFonts w:hint="default" w:ascii="Times New Roman" w:hAnsi="Times New Roman" w:cs="Times New Roman"/>
      <w:b/>
      <w:color w:val="000000"/>
      <w:sz w:val="44"/>
      <w:szCs w:val="44"/>
      <w:u w:val="none"/>
    </w:rPr>
  </w:style>
  <w:style w:type="character" w:customStyle="1" w:styleId="44">
    <w:name w:val="font111"/>
    <w:basedOn w:val="22"/>
    <w:qFormat/>
    <w:uiPriority w:val="0"/>
    <w:rPr>
      <w:rFonts w:hint="eastAsia" w:ascii="宋体" w:hAnsi="宋体" w:eastAsia="宋体" w:cs="宋体"/>
      <w:b/>
      <w:color w:val="000000"/>
      <w:sz w:val="44"/>
      <w:szCs w:val="44"/>
      <w:u w:val="none"/>
    </w:rPr>
  </w:style>
  <w:style w:type="character" w:customStyle="1" w:styleId="45">
    <w:name w:val="font121"/>
    <w:basedOn w:val="22"/>
    <w:qFormat/>
    <w:uiPriority w:val="0"/>
    <w:rPr>
      <w:rFonts w:hint="eastAsia" w:ascii="宋体" w:hAnsi="宋体" w:eastAsia="宋体" w:cs="宋体"/>
      <w:b/>
      <w:color w:val="000000"/>
      <w:sz w:val="24"/>
      <w:szCs w:val="24"/>
      <w:u w:val="none"/>
    </w:rPr>
  </w:style>
  <w:style w:type="character" w:customStyle="1" w:styleId="46">
    <w:name w:val="font131"/>
    <w:basedOn w:val="22"/>
    <w:qFormat/>
    <w:uiPriority w:val="0"/>
    <w:rPr>
      <w:rFonts w:hint="eastAsia" w:ascii="宋体" w:hAnsi="宋体" w:eastAsia="宋体" w:cs="宋体"/>
      <w:b/>
      <w:color w:val="000000"/>
      <w:sz w:val="28"/>
      <w:szCs w:val="28"/>
      <w:u w:val="none"/>
    </w:rPr>
  </w:style>
  <w:style w:type="character" w:customStyle="1" w:styleId="47">
    <w:name w:val="font142"/>
    <w:basedOn w:val="22"/>
    <w:qFormat/>
    <w:uiPriority w:val="0"/>
    <w:rPr>
      <w:rFonts w:hint="eastAsia" w:ascii="宋体" w:hAnsi="宋体" w:eastAsia="宋体" w:cs="宋体"/>
      <w:b/>
      <w:color w:val="000000"/>
      <w:sz w:val="22"/>
      <w:szCs w:val="22"/>
      <w:u w:val="none"/>
    </w:rPr>
  </w:style>
  <w:style w:type="character" w:customStyle="1" w:styleId="48">
    <w:name w:val="font91"/>
    <w:basedOn w:val="22"/>
    <w:qFormat/>
    <w:uiPriority w:val="0"/>
    <w:rPr>
      <w:rFonts w:hint="eastAsia" w:ascii="宋体" w:hAnsi="宋体" w:eastAsia="宋体" w:cs="宋体"/>
      <w:color w:val="000000"/>
      <w:sz w:val="22"/>
      <w:szCs w:val="22"/>
      <w:u w:val="none"/>
    </w:rPr>
  </w:style>
  <w:style w:type="character" w:customStyle="1" w:styleId="49">
    <w:name w:val="font81"/>
    <w:basedOn w:val="22"/>
    <w:qFormat/>
    <w:uiPriority w:val="0"/>
    <w:rPr>
      <w:rFonts w:hint="default" w:ascii="Times New Roman" w:hAnsi="Times New Roman" w:cs="Times New Roman"/>
      <w:color w:val="000000"/>
      <w:sz w:val="22"/>
      <w:szCs w:val="22"/>
      <w:u w:val="none"/>
    </w:rPr>
  </w:style>
  <w:style w:type="character" w:customStyle="1" w:styleId="50">
    <w:name w:val="font21"/>
    <w:basedOn w:val="22"/>
    <w:qFormat/>
    <w:uiPriority w:val="0"/>
    <w:rPr>
      <w:rFonts w:hint="default" w:ascii="Times New Roman" w:hAnsi="Times New Roman" w:cs="Times New Roman"/>
      <w:b/>
      <w:color w:val="000000"/>
      <w:sz w:val="22"/>
      <w:szCs w:val="22"/>
      <w:u w:val="none"/>
    </w:rPr>
  </w:style>
  <w:style w:type="character" w:customStyle="1" w:styleId="51">
    <w:name w:val="font71"/>
    <w:basedOn w:val="22"/>
    <w:qFormat/>
    <w:uiPriority w:val="0"/>
    <w:rPr>
      <w:rFonts w:hint="eastAsia" w:ascii="宋体" w:hAnsi="宋体" w:eastAsia="宋体" w:cs="宋体"/>
      <w:color w:val="000000"/>
      <w:sz w:val="22"/>
      <w:szCs w:val="22"/>
      <w:u w:val="none"/>
    </w:rPr>
  </w:style>
  <w:style w:type="character" w:customStyle="1" w:styleId="52">
    <w:name w:val="font51"/>
    <w:basedOn w:val="22"/>
    <w:qFormat/>
    <w:uiPriority w:val="0"/>
    <w:rPr>
      <w:rFonts w:hint="default" w:ascii="Times New Roman" w:hAnsi="Times New Roman" w:cs="Times New Roman"/>
      <w:b/>
      <w:color w:val="000000"/>
      <w:sz w:val="24"/>
      <w:szCs w:val="24"/>
      <w:u w:val="none"/>
    </w:rPr>
  </w:style>
  <w:style w:type="character" w:customStyle="1" w:styleId="53">
    <w:name w:val="font161"/>
    <w:basedOn w:val="22"/>
    <w:qFormat/>
    <w:uiPriority w:val="0"/>
    <w:rPr>
      <w:rFonts w:hint="eastAsia" w:ascii="宋体" w:hAnsi="宋体" w:eastAsia="宋体" w:cs="宋体"/>
      <w:color w:val="000000"/>
      <w:sz w:val="24"/>
      <w:szCs w:val="24"/>
      <w:u w:val="none"/>
    </w:rPr>
  </w:style>
  <w:style w:type="character" w:customStyle="1" w:styleId="54">
    <w:name w:val="font01"/>
    <w:basedOn w:val="22"/>
    <w:qFormat/>
    <w:uiPriority w:val="0"/>
    <w:rPr>
      <w:rFonts w:hint="default" w:ascii="Times New Roman" w:hAnsi="Times New Roman" w:cs="Times New Roman"/>
      <w:color w:val="000000"/>
      <w:sz w:val="24"/>
      <w:szCs w:val="24"/>
      <w:u w:val="none"/>
    </w:rPr>
  </w:style>
  <w:style w:type="character" w:customStyle="1" w:styleId="55">
    <w:name w:val="font31"/>
    <w:basedOn w:val="22"/>
    <w:qFormat/>
    <w:uiPriority w:val="0"/>
    <w:rPr>
      <w:rFonts w:hint="eastAsia" w:ascii="宋体" w:hAnsi="宋体" w:eastAsia="宋体" w:cs="宋体"/>
      <w:b/>
      <w:color w:val="000000"/>
      <w:sz w:val="44"/>
      <w:szCs w:val="44"/>
      <w:u w:val="none"/>
    </w:rPr>
  </w:style>
  <w:style w:type="character" w:customStyle="1" w:styleId="56">
    <w:name w:val="font12"/>
    <w:basedOn w:val="22"/>
    <w:qFormat/>
    <w:uiPriority w:val="0"/>
    <w:rPr>
      <w:rFonts w:hint="eastAsia" w:ascii="宋体" w:hAnsi="宋体" w:eastAsia="宋体" w:cs="宋体"/>
      <w:b/>
      <w:color w:val="000000"/>
      <w:sz w:val="28"/>
      <w:szCs w:val="28"/>
      <w:u w:val="none"/>
    </w:rPr>
  </w:style>
  <w:style w:type="character" w:customStyle="1" w:styleId="57">
    <w:name w:val="font141"/>
    <w:basedOn w:val="22"/>
    <w:qFormat/>
    <w:uiPriority w:val="0"/>
    <w:rPr>
      <w:rFonts w:hint="default" w:ascii="Times New Roman" w:hAnsi="Times New Roman" w:cs="Times New Roman"/>
      <w:b/>
      <w:color w:val="000000"/>
      <w:sz w:val="22"/>
      <w:szCs w:val="22"/>
      <w:u w:val="none"/>
    </w:rPr>
  </w:style>
  <w:style w:type="character" w:customStyle="1" w:styleId="58">
    <w:name w:val="font41"/>
    <w:basedOn w:val="22"/>
    <w:qFormat/>
    <w:uiPriority w:val="0"/>
    <w:rPr>
      <w:rFonts w:hint="eastAsia" w:ascii="宋体" w:hAnsi="宋体" w:eastAsia="宋体" w:cs="宋体"/>
      <w:color w:val="000000"/>
      <w:sz w:val="22"/>
      <w:szCs w:val="22"/>
      <w:u w:val="none"/>
    </w:rPr>
  </w:style>
  <w:style w:type="paragraph" w:customStyle="1" w:styleId="5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oleObject" Target="file:///G:\2021&#24180;&#20915;&#31639;&#25209;&#22797;&#20844;&#24320;\&#20844;&#24320;&#25991;&#26412;\&#26032;&#24314;%20Microsoft%20Office%20Excel%20&#24037;&#20316;&#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2021&#24180;&#20915;&#31639;&#25209;&#22797;&#20844;&#24320;\&#20844;&#24320;&#25991;&#26412;\&#26032;&#24314;%20Microsoft%20Office%20Excel%20&#24037;&#20316;&#34920;.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marL="0" marR="0" indent="0" algn="ctr" defTabSz="914400" rtl="0" eaLnBrk="1" fontAlgn="auto" latinLnBrk="0" hangingPunct="1">
              <a:lnSpc>
                <a:spcPct val="100000"/>
              </a:lnSpc>
              <a:spcBef>
                <a:spcPts val="0"/>
              </a:spcBef>
              <a:spcAft>
                <a:spcPts val="0"/>
              </a:spcAft>
              <a:buClrTx/>
              <a:buSzTx/>
              <a:buFontTx/>
              <a:buNone/>
              <a:defRPr lang="zh-CN" sz="1400" b="0" i="0" u="none" strike="noStrike" kern="1200" baseline="0">
                <a:solidFill>
                  <a:sysClr val="windowText" lastClr="000000"/>
                </a:solidFill>
                <a:latin typeface="黑体" panose="02010609060101010101" charset="-122"/>
                <a:ea typeface="黑体" panose="02010609060101010101" charset="-122"/>
                <a:cs typeface="+mn-cs"/>
              </a:defRPr>
            </a:pPr>
            <a:r>
              <a:rPr lang="zh-CN" altLang="en-US" sz="1400" b="0" i="0" u="none" strike="noStrike" kern="1200" baseline="0">
                <a:solidFill>
                  <a:sysClr val="windowText" lastClr="000000"/>
                </a:solidFill>
                <a:latin typeface="黑体" panose="02010609060101010101" charset="-122"/>
                <a:ea typeface="黑体" panose="02010609060101010101" charset="-122"/>
                <a:cs typeface="+mn-cs"/>
              </a:rPr>
              <a:t>图</a:t>
            </a:r>
            <a:r>
              <a:rPr lang="en-US" altLang="en-US" sz="1400" b="0" i="0" u="none" strike="noStrike" kern="1200" baseline="0">
                <a:solidFill>
                  <a:sysClr val="windowText" lastClr="000000"/>
                </a:solidFill>
                <a:latin typeface="黑体" panose="02010609060101010101" charset="-122"/>
                <a:ea typeface="黑体" panose="02010609060101010101" charset="-122"/>
                <a:cs typeface="+mn-cs"/>
              </a:rPr>
              <a:t>1</a:t>
            </a:r>
            <a:r>
              <a:rPr lang="zh-CN" altLang="en-US" sz="1400" b="0" i="0" u="none" strike="noStrike" kern="1200" baseline="0">
                <a:solidFill>
                  <a:sysClr val="windowText" lastClr="000000"/>
                </a:solidFill>
                <a:latin typeface="黑体" panose="02010609060101010101" charset="-122"/>
                <a:ea typeface="黑体" panose="02010609060101010101" charset="-122"/>
                <a:cs typeface="+mn-cs"/>
              </a:rPr>
              <a:t>：收、支决算总计变动情况图</a:t>
            </a:r>
            <a:endParaRPr lang="zh-CN" altLang="en-US" sz="1400" b="0" i="0" u="none" strike="noStrike" kern="1200" baseline="0">
              <a:solidFill>
                <a:sysClr val="windowText" lastClr="000000"/>
              </a:solidFill>
              <a:latin typeface="黑体" panose="02010609060101010101" charset="-122"/>
              <a:ea typeface="黑体" panose="02010609060101010101" charset="-122"/>
              <a:cs typeface="+mn-cs"/>
            </a:endParaRPr>
          </a:p>
        </c:rich>
      </c:tx>
      <c:layout>
        <c:manualLayout>
          <c:xMode val="edge"/>
          <c:yMode val="edge"/>
          <c:x val="0.236234655450677"/>
          <c:y val="0.0368936872581649"/>
        </c:manualLayout>
      </c:layout>
      <c:overlay val="false"/>
    </c:title>
    <c:autoTitleDeleted val="false"/>
    <c:plotArea>
      <c:layout/>
      <c:barChart>
        <c:barDir val="col"/>
        <c:grouping val="clustered"/>
        <c:varyColors val="false"/>
        <c:ser>
          <c:idx val="0"/>
          <c:order val="0"/>
          <c:invertIfNegative val="false"/>
          <c:dLbls>
            <c:dLbl>
              <c:idx val="0"/>
              <c:layout>
                <c:manualLayout>
                  <c:x val="0"/>
                  <c:y val="-0.0879629629629631"/>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r>
                      <a:rPr lang="en-US" altLang="en-US"/>
                      <a:t>29,477.23</a:t>
                    </a:r>
                    <a:endParaRPr lang="en-US" altLang="en-US"/>
                  </a:p>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en-US" altLang="en-US"/>
                  </a:p>
                </c:rich>
              </c:tx>
              <c:dLblPos val="in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0277777777777778"/>
                  <c:y val="-0.101851851851852"/>
                </c:manualLayout>
              </c:layout>
              <c:dLblPos val="in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Sheet1!$B$9:$B$10</c:f>
              <c:strCache>
                <c:ptCount val="2"/>
                <c:pt idx="0">
                  <c:v>2021年</c:v>
                </c:pt>
                <c:pt idx="1">
                  <c:v>2020年</c:v>
                </c:pt>
              </c:strCache>
            </c:strRef>
          </c:cat>
          <c:val>
            <c:numRef>
              <c:f>Sheet1!$C$9:$C$10</c:f>
              <c:numCache>
                <c:formatCode>#,##0.00</c:formatCode>
                <c:ptCount val="2"/>
                <c:pt idx="0">
                  <c:v>29477.24</c:v>
                </c:pt>
                <c:pt idx="1">
                  <c:v>20077.14</c:v>
                </c:pt>
              </c:numCache>
            </c:numRef>
          </c:val>
        </c:ser>
        <c:dLbls>
          <c:showLegendKey val="false"/>
          <c:showVal val="true"/>
          <c:showCatName val="false"/>
          <c:showSerName val="false"/>
          <c:showPercent val="false"/>
          <c:showBubbleSize val="false"/>
        </c:dLbls>
        <c:gapWidth val="75"/>
        <c:overlap val="40"/>
        <c:axId val="202797440"/>
        <c:axId val="202798976"/>
      </c:barChart>
      <c:catAx>
        <c:axId val="202797440"/>
        <c:scaling>
          <c:orientation val="minMax"/>
        </c:scaling>
        <c:delete val="false"/>
        <c:axPos val="b"/>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02798976"/>
        <c:crosses val="autoZero"/>
        <c:auto val="true"/>
        <c:lblAlgn val="ctr"/>
        <c:lblOffset val="100"/>
        <c:noMultiLvlLbl val="false"/>
      </c:catAx>
      <c:valAx>
        <c:axId val="202798976"/>
        <c:scaling>
          <c:orientation val="minMax"/>
        </c:scaling>
        <c:delete val="false"/>
        <c:axPos val="l"/>
        <c:majorGridlines/>
        <c:numFmt formatCode="#,##0.00" sourceLinked="tru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202797440"/>
        <c:crosses val="autoZero"/>
        <c:crossBetween val="between"/>
      </c:valAx>
    </c:plotArea>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0" i="0" u="none" strike="noStrike" kern="1200" baseline="0">
                <a:solidFill>
                  <a:schemeClr val="tx1"/>
                </a:solidFill>
                <a:latin typeface="黑体" panose="02010609060101010101" charset="-122"/>
                <a:ea typeface="黑体" panose="02010609060101010101" charset="-122"/>
                <a:cs typeface="+mn-cs"/>
              </a:defRPr>
            </a:pPr>
            <a:r>
              <a:rPr lang="zh-CN" altLang="en-US" sz="1400" b="0" i="0" u="none" strike="noStrike" baseline="0">
                <a:latin typeface="黑体" panose="02010609060101010101" charset="-122"/>
                <a:ea typeface="黑体" panose="02010609060101010101" charset="-122"/>
              </a:rPr>
              <a:t>图</a:t>
            </a:r>
            <a:r>
              <a:rPr lang="en-US" sz="1400" b="0" i="0" u="none" strike="noStrike" baseline="0">
                <a:latin typeface="黑体" panose="02010609060101010101" charset="-122"/>
                <a:ea typeface="黑体" panose="02010609060101010101" charset="-122"/>
              </a:rPr>
              <a:t>2</a:t>
            </a:r>
            <a:r>
              <a:rPr lang="zh-CN" altLang="en-US" sz="1400" b="0" i="0" u="none" strike="noStrike" baseline="0">
                <a:latin typeface="黑体" panose="02010609060101010101" charset="-122"/>
                <a:ea typeface="黑体" panose="02010609060101010101" charset="-122"/>
              </a:rPr>
              <a:t>：收入决算结构图</a:t>
            </a:r>
            <a:endParaRPr lang="zh-CN" altLang="en-US" sz="1400" b="0">
              <a:latin typeface="黑体" panose="02010609060101010101" charset="-122"/>
              <a:ea typeface="黑体" panose="02010609060101010101" charset="-122"/>
            </a:endParaRPr>
          </a:p>
        </c:rich>
      </c:tx>
      <c:layout/>
      <c:overlay val="false"/>
    </c:title>
    <c:autoTitleDeleted val="false"/>
    <c:plotArea>
      <c:layout/>
      <c:pieChart>
        <c:varyColors val="true"/>
        <c:ser>
          <c:idx val="0"/>
          <c:order val="0"/>
          <c:explosion val="0"/>
          <c:dPt>
            <c:idx val="0"/>
            <c:bubble3D val="false"/>
          </c:dPt>
          <c:dPt>
            <c:idx val="1"/>
            <c:bubble3D val="false"/>
          </c:dPt>
          <c:dPt>
            <c:idx val="2"/>
            <c:bubble3D val="false"/>
          </c:dPt>
          <c:dPt>
            <c:idx val="3"/>
            <c:bubble3D val="false"/>
          </c:dPt>
          <c:dLbls>
            <c:dLbl>
              <c:idx val="0"/>
              <c:layout>
                <c:manualLayout>
                  <c:x val="-0.0961882108486439"/>
                  <c:y val="-0.230930664916885"/>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1"/>
              <c:layout>
                <c:manualLayout>
                  <c:x val="-0.000200568678915136"/>
                  <c:y val="0.00301363371245262"/>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2"/>
              <c:layout>
                <c:manualLayout>
                  <c:x val="0.0727210192475941"/>
                  <c:y val="0.153117891513561"/>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Sheet1!$M$5:$M$8</c:f>
              <c:strCache>
                <c:ptCount val="4"/>
                <c:pt idx="0">
                  <c:v>一般公共预算财政拨款收入</c:v>
                </c:pt>
                <c:pt idx="1">
                  <c:v>事业收入</c:v>
                </c:pt>
                <c:pt idx="2">
                  <c:v>经营收入</c:v>
                </c:pt>
                <c:pt idx="3">
                  <c:v>其他收入</c:v>
                </c:pt>
              </c:strCache>
            </c:strRef>
          </c:cat>
          <c:val>
            <c:numRef>
              <c:f>Sheet1!$N$5:$N$8</c:f>
              <c:numCache>
                <c:formatCode>#,##0.00</c:formatCode>
                <c:ptCount val="4"/>
                <c:pt idx="0">
                  <c:v>23766.68</c:v>
                </c:pt>
                <c:pt idx="1">
                  <c:v>1374.3</c:v>
                </c:pt>
                <c:pt idx="2">
                  <c:v>3596.87</c:v>
                </c:pt>
                <c:pt idx="3">
                  <c:v>411.6</c:v>
                </c:pt>
              </c:numCache>
            </c:numRef>
          </c:val>
        </c:ser>
        <c:dLbls>
          <c:showLegendKey val="false"/>
          <c:showVal val="false"/>
          <c:showCatName val="false"/>
          <c:showSerName val="false"/>
          <c:showPercent val="tru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700" b="0" i="0" u="none" strike="noStrike" kern="1200" baseline="0">
              <a:solidFill>
                <a:schemeClr val="tx1"/>
              </a:solidFill>
              <a:latin typeface="+mn-ea"/>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0" i="0" u="none" strike="noStrike" kern="1200" baseline="0">
                <a:solidFill>
                  <a:schemeClr val="tx1"/>
                </a:solidFill>
                <a:latin typeface="黑体" panose="02010609060101010101" charset="-122"/>
                <a:ea typeface="黑体" panose="02010609060101010101" charset="-122"/>
                <a:cs typeface="+mn-cs"/>
              </a:defRPr>
            </a:pPr>
            <a:r>
              <a:rPr lang="zh-CN" altLang="en-US" sz="1400" b="0" i="0" u="none" strike="noStrike" baseline="0"/>
              <a:t>图</a:t>
            </a:r>
            <a:r>
              <a:rPr lang="en-US" sz="1400" b="0" i="0" u="none" strike="noStrike" baseline="0"/>
              <a:t>3</a:t>
            </a:r>
            <a:r>
              <a:rPr lang="zh-CN" altLang="en-US" sz="1400" b="0" i="0" u="none" strike="noStrike" baseline="0"/>
              <a:t>：支出决算结构图</a:t>
            </a:r>
            <a:endParaRPr lang="zh-CN" altLang="en-US" sz="1400" b="0">
              <a:latin typeface="黑体" panose="02010609060101010101" charset="-122"/>
              <a:ea typeface="黑体" panose="02010609060101010101" charset="-122"/>
            </a:endParaRPr>
          </a:p>
        </c:rich>
      </c:tx>
      <c:layout/>
      <c:overlay val="false"/>
    </c:title>
    <c:autoTitleDeleted val="false"/>
    <c:plotArea>
      <c:layout/>
      <c:pieChart>
        <c:varyColors val="true"/>
        <c:ser>
          <c:idx val="0"/>
          <c:order val="0"/>
          <c:explosion val="0"/>
          <c:dPt>
            <c:idx val="0"/>
            <c:bubble3D val="false"/>
          </c:dPt>
          <c:dPt>
            <c:idx val="1"/>
            <c:bubble3D val="false"/>
          </c:dPt>
          <c:dPt>
            <c:idx val="2"/>
            <c:bubble3D val="false"/>
          </c:dPt>
          <c:dLbls>
            <c:dLbl>
              <c:idx val="0"/>
              <c:layout>
                <c:manualLayout>
                  <c:x val="-0.146188101487314"/>
                  <c:y val="-0.0364865850102071"/>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1"/>
              <c:layout>
                <c:manualLayout>
                  <c:x val="0.115654785980334"/>
                  <c:y val="-0.08957895888014"/>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2"/>
              <c:layout>
                <c:manualLayout>
                  <c:x val="0.0425402125716553"/>
                  <c:y val="0.16862715077282"/>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Sheet1!$M$5:$M$7</c:f>
              <c:strCache>
                <c:ptCount val="3"/>
                <c:pt idx="0">
                  <c:v>基本支出</c:v>
                </c:pt>
                <c:pt idx="1">
                  <c:v>项目支出</c:v>
                </c:pt>
                <c:pt idx="2">
                  <c:v>经营支出</c:v>
                </c:pt>
              </c:strCache>
            </c:strRef>
          </c:cat>
          <c:val>
            <c:numRef>
              <c:f>Sheet1!$N$5:$N$7</c:f>
              <c:numCache>
                <c:formatCode>#,##0.00</c:formatCode>
                <c:ptCount val="3"/>
                <c:pt idx="0">
                  <c:v>15242.91</c:v>
                </c:pt>
                <c:pt idx="1">
                  <c:v>9795.98</c:v>
                </c:pt>
                <c:pt idx="2">
                  <c:v>3110.53</c:v>
                </c:pt>
              </c:numCache>
            </c:numRef>
          </c:val>
        </c:ser>
        <c:dLbls>
          <c:showLegendKey val="false"/>
          <c:showVal val="false"/>
          <c:showCatName val="false"/>
          <c:showSerName val="false"/>
          <c:showPercent val="tru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700" b="0" i="0" u="none" strike="noStrike" kern="1200" baseline="0">
              <a:solidFill>
                <a:schemeClr val="tx1"/>
              </a:solidFill>
              <a:latin typeface="+mn-ea"/>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0" i="0" u="none" strike="noStrike" kern="1200" baseline="0">
                <a:solidFill>
                  <a:schemeClr val="tx1"/>
                </a:solidFill>
                <a:latin typeface="黑体" panose="02010609060101010101" charset="-122"/>
                <a:ea typeface="黑体" panose="02010609060101010101" charset="-122"/>
                <a:cs typeface="+mn-cs"/>
              </a:defRPr>
            </a:pPr>
            <a:r>
              <a:rPr lang="zh-CN" altLang="en-US" sz="1400" b="0" i="0" u="none" strike="noStrike" baseline="0">
                <a:latin typeface="黑体" panose="02010609060101010101" charset="-122"/>
                <a:ea typeface="黑体" panose="02010609060101010101" charset="-122"/>
              </a:rPr>
              <a:t>图</a:t>
            </a:r>
            <a:r>
              <a:rPr lang="en-US" sz="1400" b="0" i="0" u="none" strike="noStrike" baseline="0">
                <a:latin typeface="黑体" panose="02010609060101010101" charset="-122"/>
                <a:ea typeface="黑体" panose="02010609060101010101" charset="-122"/>
              </a:rPr>
              <a:t>4</a:t>
            </a:r>
            <a:r>
              <a:rPr lang="zh-CN" altLang="en-US" sz="1400" b="0" i="0" u="none" strike="noStrike" baseline="0">
                <a:latin typeface="黑体" panose="02010609060101010101" charset="-122"/>
                <a:ea typeface="黑体" panose="02010609060101010101" charset="-122"/>
              </a:rPr>
              <a:t>：财政拨款收、支决算总计变动情况</a:t>
            </a:r>
            <a:endParaRPr lang="zh-CN" sz="1400" b="0" i="0" baseline="0">
              <a:latin typeface="黑体" panose="02010609060101010101" charset="-122"/>
              <a:ea typeface="黑体" panose="02010609060101010101" charset="-122"/>
            </a:endParaRPr>
          </a:p>
        </c:rich>
      </c:tx>
      <c:layout/>
      <c:overlay val="false"/>
    </c:title>
    <c:autoTitleDeleted val="false"/>
    <c:plotArea>
      <c:layout>
        <c:manualLayout>
          <c:layoutTarget val="inner"/>
          <c:xMode val="edge"/>
          <c:yMode val="edge"/>
          <c:x val="0.118568755846586"/>
          <c:y val="0.223764304845386"/>
          <c:w val="0.862254443405051"/>
          <c:h val="0.665692719746774"/>
        </c:manualLayout>
      </c:layout>
      <c:barChart>
        <c:barDir val="col"/>
        <c:grouping val="clustered"/>
        <c:varyColors val="false"/>
        <c:ser>
          <c:idx val="0"/>
          <c:order val="0"/>
          <c:invertIfNegative val="false"/>
          <c:dLbls>
            <c:dLbl>
              <c:idx val="0"/>
              <c:layout>
                <c:manualLayout>
                  <c:x val="0.00350795135640786"/>
                  <c:y val="-0.134562723456305"/>
                </c:manualLayout>
              </c:layout>
              <c:dLblPos val="in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0803970481238955"/>
                  <c:y val="-0.146923967236467"/>
                </c:manualLayout>
              </c:layout>
              <c:dLblPos val="in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Sheet1!$B$9:$B$10</c:f>
              <c:strCache>
                <c:ptCount val="2"/>
                <c:pt idx="0">
                  <c:v>2021年</c:v>
                </c:pt>
                <c:pt idx="1">
                  <c:v>2020年</c:v>
                </c:pt>
              </c:strCache>
            </c:strRef>
          </c:cat>
          <c:val>
            <c:numRef>
              <c:f>Sheet1!$C$9:$C$10</c:f>
              <c:numCache>
                <c:formatCode>#,##0.00</c:formatCode>
                <c:ptCount val="2"/>
                <c:pt idx="0">
                  <c:v>23767.18</c:v>
                </c:pt>
                <c:pt idx="1">
                  <c:v>18145.86</c:v>
                </c:pt>
              </c:numCache>
            </c:numRef>
          </c:val>
        </c:ser>
        <c:dLbls>
          <c:showLegendKey val="false"/>
          <c:showVal val="true"/>
          <c:showCatName val="false"/>
          <c:showSerName val="false"/>
          <c:showPercent val="false"/>
          <c:showBubbleSize val="false"/>
        </c:dLbls>
        <c:gapWidth val="75"/>
        <c:overlap val="40"/>
        <c:axId val="211636224"/>
        <c:axId val="211637760"/>
      </c:barChart>
      <c:catAx>
        <c:axId val="211636224"/>
        <c:scaling>
          <c:orientation val="minMax"/>
        </c:scaling>
        <c:delete val="false"/>
        <c:axPos val="b"/>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11637760"/>
        <c:crosses val="autoZero"/>
        <c:auto val="true"/>
        <c:lblAlgn val="ctr"/>
        <c:lblOffset val="100"/>
        <c:noMultiLvlLbl val="false"/>
      </c:catAx>
      <c:valAx>
        <c:axId val="211637760"/>
        <c:scaling>
          <c:orientation val="minMax"/>
        </c:scaling>
        <c:delete val="false"/>
        <c:axPos val="l"/>
        <c:majorGridlines/>
        <c:numFmt formatCode="#,##0.00" sourceLinked="tru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211636224"/>
        <c:crosses val="autoZero"/>
        <c:crossBetween val="between"/>
      </c:valAx>
    </c:plotArea>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zh-CN" altLang="en-US" sz="1400" b="0" i="0" u="none" strike="noStrike" baseline="0">
                <a:latin typeface="Times New Roman" panose="02020603050405020304" charset="0"/>
                <a:ea typeface="Times New Roman" panose="02020603050405020304" charset="0"/>
                <a:cs typeface="Times New Roman" panose="02020603050405020304" charset="0"/>
                <a:sym typeface="Times New Roman" panose="02020603050405020304" charset="0"/>
              </a:rPr>
              <a:t>图</a:t>
            </a:r>
            <a:r>
              <a:rPr lang="en-US" sz="1400" b="0" i="0" u="none" strike="noStrike" baseline="0">
                <a:latin typeface="Times New Roman" panose="02020603050405020304" charset="0"/>
                <a:ea typeface="Times New Roman" panose="02020603050405020304" charset="0"/>
                <a:cs typeface="Times New Roman" panose="02020603050405020304" charset="0"/>
                <a:sym typeface="Times New Roman" panose="02020603050405020304" charset="0"/>
              </a:rPr>
              <a:t>5</a:t>
            </a:r>
            <a:r>
              <a:rPr lang="zh-CN" altLang="en-US" sz="1400" b="0" i="0" u="none" strike="noStrike" baseline="0">
                <a:latin typeface="Times New Roman" panose="02020603050405020304" charset="0"/>
                <a:ea typeface="Times New Roman" panose="02020603050405020304" charset="0"/>
                <a:cs typeface="Times New Roman" panose="02020603050405020304" charset="0"/>
                <a:sym typeface="Times New Roman" panose="02020603050405020304" charset="0"/>
              </a:rPr>
              <a:t>：一般公共预算财政拨款支出决算变动情况</a:t>
            </a:r>
            <a:endParaRPr lang="zh-CN" sz="1400" b="0" i="0" baseline="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manualLayout>
          <c:xMode val="edge"/>
          <c:yMode val="edge"/>
          <c:x val="0.107870304090776"/>
          <c:y val="0.0323117857690469"/>
        </c:manualLayout>
      </c:layout>
      <c:overlay val="false"/>
    </c:title>
    <c:autoTitleDeleted val="false"/>
    <c:plotArea>
      <c:layout>
        <c:manualLayout>
          <c:layoutTarget val="inner"/>
          <c:xMode val="edge"/>
          <c:yMode val="edge"/>
          <c:x val="0.116379815009952"/>
          <c:y val="0.165359778597786"/>
          <c:w val="0.847324669242478"/>
          <c:h val="0.703413284132841"/>
        </c:manualLayout>
      </c:layout>
      <c:barChart>
        <c:barDir val="col"/>
        <c:grouping val="clustered"/>
        <c:varyColors val="false"/>
        <c:ser>
          <c:idx val="0"/>
          <c:order val="0"/>
          <c:invertIfNegative val="false"/>
          <c:dLbls>
            <c:dLbl>
              <c:idx val="0"/>
              <c:layout>
                <c:manualLayout>
                  <c:x val="-0.00526870389884088"/>
                  <c:y val="-0.115638239715731"/>
                </c:manualLayout>
              </c:layout>
              <c:dLblPos val="in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133151855754596"/>
                  <c:y val="-0.146824176575099"/>
                </c:manualLayout>
              </c:layout>
              <c:dLblPos val="in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Sheet1!$B$9:$B$10</c:f>
              <c:strCache>
                <c:ptCount val="2"/>
                <c:pt idx="0">
                  <c:v>2021年</c:v>
                </c:pt>
                <c:pt idx="1">
                  <c:v>2020年</c:v>
                </c:pt>
              </c:strCache>
            </c:strRef>
          </c:cat>
          <c:val>
            <c:numRef>
              <c:f>Sheet1!$C$9:$C$10</c:f>
              <c:numCache>
                <c:formatCode>#,##0.00</c:formatCode>
                <c:ptCount val="2"/>
                <c:pt idx="0">
                  <c:v>23766.68</c:v>
                </c:pt>
                <c:pt idx="1">
                  <c:v>18145.36</c:v>
                </c:pt>
              </c:numCache>
            </c:numRef>
          </c:val>
        </c:ser>
        <c:dLbls>
          <c:showLegendKey val="false"/>
          <c:showVal val="true"/>
          <c:showCatName val="false"/>
          <c:showSerName val="false"/>
          <c:showPercent val="false"/>
          <c:showBubbleSize val="false"/>
        </c:dLbls>
        <c:gapWidth val="75"/>
        <c:overlap val="40"/>
        <c:axId val="211704832"/>
        <c:axId val="211706624"/>
      </c:barChart>
      <c:catAx>
        <c:axId val="211704832"/>
        <c:scaling>
          <c:orientation val="minMax"/>
        </c:scaling>
        <c:delete val="false"/>
        <c:axPos val="b"/>
        <c:majorTickMark val="none"/>
        <c:minorTickMark val="none"/>
        <c:tickLblPos val="nextTo"/>
        <c:spPr>
          <a:solidFill>
            <a:schemeClr val="lt1"/>
          </a:solidFill>
          <a:ln w="25400" cap="flat" cmpd="sng" algn="ctr">
            <a:solidFill>
              <a:schemeClr val="dk1"/>
            </a:solidFill>
            <a:prstDash val="solid"/>
            <a:round/>
          </a:ln>
        </c:spPr>
        <c:txPr>
          <a:bodyPr rot="-60000000" spcFirstLastPara="0" vertOverflow="ellipsis" vert="horz" wrap="square" anchor="ctr" anchorCtr="true"/>
          <a:lstStyle/>
          <a:p>
            <a:pPr>
              <a:defRPr lang="zh-CN" sz="1000" b="0" i="0" u="none" strike="noStrike" kern="1200" baseline="0">
                <a:solidFill>
                  <a:schemeClr val="dk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211706624"/>
        <c:crosses val="autoZero"/>
        <c:auto val="true"/>
        <c:lblAlgn val="ctr"/>
        <c:lblOffset val="100"/>
        <c:noMultiLvlLbl val="false"/>
      </c:catAx>
      <c:valAx>
        <c:axId val="211706624"/>
        <c:scaling>
          <c:orientation val="minMax"/>
        </c:scaling>
        <c:delete val="false"/>
        <c:axPos val="l"/>
        <c:majorGridlines/>
        <c:numFmt formatCode="#,##0.00" sourceLinked="tru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211704832"/>
        <c:crosses val="autoZero"/>
        <c:crossBetween val="between"/>
      </c:valAx>
    </c:plotArea>
    <c:plotVisOnly val="true"/>
    <c:dispBlanksAs val="gap"/>
    <c:showDLblsOverMax val="false"/>
  </c:chart>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0" i="0" u="none" strike="noStrike" kern="1200" baseline="0">
                <a:solidFill>
                  <a:schemeClr val="tx1"/>
                </a:solidFill>
                <a:latin typeface="黑体" panose="02010609060101010101" charset="-122"/>
                <a:ea typeface="黑体" panose="02010609060101010101" charset="-122"/>
                <a:cs typeface="+mn-cs"/>
              </a:defRPr>
            </a:pPr>
            <a:r>
              <a:rPr lang="zh-CN" altLang="en-US" sz="1400" b="0" i="0" u="none" strike="noStrike" baseline="0"/>
              <a:t>图</a:t>
            </a:r>
            <a:r>
              <a:rPr lang="en-US" sz="1400" b="0" i="0" u="none" strike="noStrike" baseline="0"/>
              <a:t>6</a:t>
            </a:r>
            <a:r>
              <a:rPr lang="zh-CN" altLang="en-US" sz="1400" b="0" i="0" u="none" strike="noStrike" baseline="0"/>
              <a:t>：一般公共预算财政拨款支出决算结构</a:t>
            </a:r>
            <a:endParaRPr lang="zh-CN" altLang="en-US" sz="1400" b="0">
              <a:latin typeface="黑体" panose="02010609060101010101" charset="-122"/>
              <a:ea typeface="黑体" panose="02010609060101010101" charset="-122"/>
            </a:endParaRPr>
          </a:p>
        </c:rich>
      </c:tx>
      <c:layout/>
      <c:overlay val="false"/>
    </c:title>
    <c:autoTitleDeleted val="false"/>
    <c:plotArea>
      <c:layout/>
      <c:pieChart>
        <c:varyColors val="true"/>
        <c:ser>
          <c:idx val="0"/>
          <c:order val="0"/>
          <c:explosion val="0"/>
          <c:dPt>
            <c:idx val="0"/>
            <c:bubble3D val="false"/>
          </c:dPt>
          <c:dPt>
            <c:idx val="1"/>
            <c:bubble3D val="false"/>
          </c:dPt>
          <c:dPt>
            <c:idx val="2"/>
            <c:bubble3D val="false"/>
          </c:dPt>
          <c:dPt>
            <c:idx val="3"/>
            <c:bubble3D val="false"/>
          </c:dPt>
          <c:dPt>
            <c:idx val="4"/>
            <c:bubble3D val="false"/>
          </c:dPt>
          <c:dPt>
            <c:idx val="5"/>
            <c:bubble3D val="false"/>
          </c:dPt>
          <c:dPt>
            <c:idx val="6"/>
            <c:bubble3D val="false"/>
          </c:dPt>
          <c:dPt>
            <c:idx val="7"/>
            <c:bubble3D val="false"/>
          </c:dPt>
          <c:dLbls>
            <c:dLbl>
              <c:idx val="0"/>
              <c:layout>
                <c:manualLayout>
                  <c:x val="-0.146188101487314"/>
                  <c:y val="-0.0364865850102071"/>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1"/>
              <c:layout>
                <c:manualLayout>
                  <c:x val="-0.000200568678915136"/>
                  <c:y val="0.00301363371245262"/>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2"/>
              <c:layout>
                <c:manualLayout>
                  <c:x val="0.063614046296663"/>
                  <c:y val="0.00659011373578324"/>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Sheet1!$M$5:$M$12</c:f>
              <c:strCache>
                <c:ptCount val="8"/>
                <c:pt idx="0">
                  <c:v>一般公共服务支出</c:v>
                </c:pt>
                <c:pt idx="1">
                  <c:v>教育支出</c:v>
                </c:pt>
                <c:pt idx="2">
                  <c:v>科学技术支出</c:v>
                </c:pt>
                <c:pt idx="3">
                  <c:v>社会保障和就业支出</c:v>
                </c:pt>
                <c:pt idx="4">
                  <c:v>卫生健康支出</c:v>
                </c:pt>
                <c:pt idx="5">
                  <c:v>节能环保支出</c:v>
                </c:pt>
                <c:pt idx="6">
                  <c:v>住房保障支出</c:v>
                </c:pt>
                <c:pt idx="7">
                  <c:v>灾害防治及应急管理支出</c:v>
                </c:pt>
              </c:strCache>
            </c:strRef>
          </c:cat>
          <c:val>
            <c:numRef>
              <c:f>Sheet1!$N$5:$N$12</c:f>
              <c:numCache>
                <c:formatCode>#,##0.00</c:formatCode>
                <c:ptCount val="8"/>
                <c:pt idx="0">
                  <c:v>17764.6</c:v>
                </c:pt>
                <c:pt idx="1">
                  <c:v>75.8</c:v>
                </c:pt>
                <c:pt idx="2">
                  <c:v>435.6</c:v>
                </c:pt>
                <c:pt idx="3">
                  <c:v>2972.68</c:v>
                </c:pt>
                <c:pt idx="4">
                  <c:v>710.46</c:v>
                </c:pt>
                <c:pt idx="5">
                  <c:v>527</c:v>
                </c:pt>
                <c:pt idx="6">
                  <c:v>1270.97</c:v>
                </c:pt>
                <c:pt idx="7">
                  <c:v>9.57</c:v>
                </c:pt>
              </c:numCache>
            </c:numRef>
          </c:val>
        </c:ser>
        <c:dLbls>
          <c:showLegendKey val="false"/>
          <c:showVal val="false"/>
          <c:showCatName val="false"/>
          <c:showSerName val="false"/>
          <c:showPercent val="tru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700" b="0" i="0" u="none" strike="noStrike" kern="1200" baseline="0">
              <a:solidFill>
                <a:schemeClr val="tx1"/>
              </a:solidFill>
              <a:latin typeface="+mn-ea"/>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0" i="0" u="none" strike="noStrike" kern="1200" baseline="0">
                <a:solidFill>
                  <a:schemeClr val="tx1"/>
                </a:solidFill>
                <a:latin typeface="黑体" panose="02010609060101010101" charset="-122"/>
                <a:ea typeface="黑体" panose="02010609060101010101" charset="-122"/>
                <a:cs typeface="+mn-cs"/>
              </a:defRPr>
            </a:pPr>
            <a:r>
              <a:rPr lang="zh-CN" altLang="en-US" sz="1400" b="0" i="0" u="none" strike="noStrike" baseline="0"/>
              <a:t>图</a:t>
            </a:r>
            <a:r>
              <a:rPr lang="en-US" sz="1400" b="0" i="0" u="none" strike="noStrike" baseline="0"/>
              <a:t>7</a:t>
            </a:r>
            <a:r>
              <a:rPr lang="zh-CN" altLang="en-US" sz="1400" b="0" i="0" u="none" strike="noStrike" baseline="0"/>
              <a:t>：“三公”经费财政拨款支出结构</a:t>
            </a:r>
            <a:endParaRPr lang="zh-CN" altLang="en-US" sz="1400" b="0">
              <a:latin typeface="黑体" panose="02010609060101010101" charset="-122"/>
              <a:ea typeface="黑体" panose="02010609060101010101" charset="-122"/>
            </a:endParaRPr>
          </a:p>
        </c:rich>
      </c:tx>
      <c:layout/>
      <c:overlay val="false"/>
    </c:title>
    <c:autoTitleDeleted val="false"/>
    <c:plotArea>
      <c:layout/>
      <c:pieChart>
        <c:varyColors val="true"/>
        <c:ser>
          <c:idx val="0"/>
          <c:order val="0"/>
          <c:explosion val="0"/>
          <c:dPt>
            <c:idx val="0"/>
            <c:bubble3D val="false"/>
          </c:dPt>
          <c:dPt>
            <c:idx val="1"/>
            <c:bubble3D val="false"/>
          </c:dPt>
          <c:dPt>
            <c:idx val="2"/>
            <c:bubble3D val="false"/>
          </c:dPt>
          <c:dLbls>
            <c:dLbl>
              <c:idx val="0"/>
              <c:layout>
                <c:manualLayout>
                  <c:x val="-0.146188101487314"/>
                  <c:y val="-0.0364865850102071"/>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1"/>
              <c:layout>
                <c:manualLayout>
                  <c:x val="-0.0431836195263728"/>
                  <c:y val="-0.19744932925051"/>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2"/>
              <c:layout>
                <c:manualLayout>
                  <c:x val="0.0320430531458992"/>
                  <c:y val="0.172330854476524"/>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Sheet1!$M$5:$M$7</c:f>
              <c:strCache>
                <c:ptCount val="3"/>
                <c:pt idx="0">
                  <c:v>因公出国（境）费</c:v>
                </c:pt>
                <c:pt idx="1">
                  <c:v>公务用车购置及运行费</c:v>
                </c:pt>
                <c:pt idx="2">
                  <c:v>公务接待费</c:v>
                </c:pt>
              </c:strCache>
            </c:strRef>
          </c:cat>
          <c:val>
            <c:numRef>
              <c:f>Sheet1!$N$5:$N$7</c:f>
              <c:numCache>
                <c:formatCode>#,##0.00</c:formatCode>
                <c:ptCount val="3"/>
                <c:pt idx="0">
                  <c:v>0</c:v>
                </c:pt>
                <c:pt idx="1">
                  <c:v>133.3</c:v>
                </c:pt>
                <c:pt idx="2">
                  <c:v>10.88</c:v>
                </c:pt>
              </c:numCache>
            </c:numRef>
          </c:val>
        </c:ser>
        <c:dLbls>
          <c:showLegendKey val="false"/>
          <c:showVal val="false"/>
          <c:showCatName val="false"/>
          <c:showSerName val="false"/>
          <c:showPercent val="tru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700" b="0" i="0" u="none" strike="noStrike" kern="1200" baseline="0">
              <a:solidFill>
                <a:schemeClr val="tx1"/>
              </a:solidFill>
              <a:latin typeface="+mn-ea"/>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79</Pages>
  <Words>35416</Words>
  <Characters>37833</Characters>
  <Lines>53</Lines>
  <Paragraphs>78</Paragraphs>
  <TotalTime>27</TotalTime>
  <ScaleCrop>false</ScaleCrop>
  <LinksUpToDate>false</LinksUpToDate>
  <CharactersWithSpaces>37956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2022-08-19T23:26:00Z</dcterms:created>
  <dc:creator>曹颖</dc:creator>
  <cp:lastModifiedBy>user</cp:lastModifiedBy>
  <cp:lastPrinted>2022-08-27T08:24:00Z</cp:lastPrinted>
  <dcterms:modified xsi:type="dcterms:W3CDTF">2022-08-26T17:05:43Z</dcterms:modified>
  <dc:title>四川省***</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BA3A96C47A904028ADC05B2F5B83A97B</vt:lpwstr>
  </property>
</Properties>
</file>