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B4" w:rsidRDefault="004E0AB4">
      <w:pPr>
        <w:spacing w:line="600" w:lineRule="exact"/>
        <w:jc w:val="center"/>
        <w:outlineLvl w:val="0"/>
        <w:rPr>
          <w:rFonts w:eastAsia="方正小标宋简体"/>
          <w:sz w:val="72"/>
          <w:szCs w:val="72"/>
        </w:rPr>
      </w:pPr>
      <w:bookmarkStart w:id="0" w:name="_Toc15306267"/>
    </w:p>
    <w:p w:rsidR="004E0AB4" w:rsidRDefault="004E0AB4">
      <w:pPr>
        <w:spacing w:line="600" w:lineRule="exact"/>
        <w:jc w:val="center"/>
        <w:outlineLvl w:val="0"/>
        <w:rPr>
          <w:rFonts w:eastAsia="方正小标宋简体"/>
          <w:sz w:val="72"/>
          <w:szCs w:val="72"/>
        </w:rPr>
      </w:pPr>
    </w:p>
    <w:p w:rsidR="004E0AB4" w:rsidRDefault="004E0AB4">
      <w:pPr>
        <w:spacing w:line="600" w:lineRule="exact"/>
        <w:jc w:val="center"/>
        <w:outlineLvl w:val="0"/>
        <w:rPr>
          <w:rFonts w:eastAsia="方正小标宋简体"/>
          <w:sz w:val="72"/>
          <w:szCs w:val="72"/>
        </w:rPr>
      </w:pPr>
    </w:p>
    <w:p w:rsidR="004E0AB4" w:rsidRDefault="004E0AB4">
      <w:pPr>
        <w:spacing w:line="600" w:lineRule="exact"/>
        <w:jc w:val="center"/>
        <w:outlineLvl w:val="0"/>
        <w:rPr>
          <w:rFonts w:eastAsia="方正小标宋简体"/>
          <w:sz w:val="72"/>
          <w:szCs w:val="72"/>
        </w:rPr>
      </w:pPr>
    </w:p>
    <w:p w:rsidR="004E0AB4" w:rsidRDefault="00D63766">
      <w:pPr>
        <w:adjustRightInd w:val="0"/>
        <w:snapToGrid w:val="0"/>
        <w:spacing w:line="360" w:lineRule="auto"/>
        <w:jc w:val="center"/>
        <w:outlineLvl w:val="0"/>
        <w:rPr>
          <w:rFonts w:eastAsia="方正小标宋简体"/>
          <w:sz w:val="72"/>
          <w:szCs w:val="72"/>
        </w:rPr>
      </w:pPr>
      <w:bookmarkStart w:id="1" w:name="_Toc15377193"/>
      <w:bookmarkStart w:id="2" w:name="_Toc15378441"/>
      <w:bookmarkStart w:id="3" w:name="_Toc15396597"/>
      <w:bookmarkStart w:id="4" w:name="_Toc113010941"/>
      <w:bookmarkStart w:id="5" w:name="_Toc15377425"/>
      <w:bookmarkStart w:id="6" w:name="_Toc15396475"/>
      <w:r>
        <w:rPr>
          <w:rFonts w:eastAsia="方正小标宋简体"/>
          <w:sz w:val="72"/>
          <w:szCs w:val="72"/>
        </w:rPr>
        <w:t>2021</w:t>
      </w:r>
      <w:r>
        <w:rPr>
          <w:rFonts w:eastAsia="方正小标宋简体"/>
          <w:sz w:val="72"/>
          <w:szCs w:val="72"/>
        </w:rPr>
        <w:t>年度</w:t>
      </w:r>
      <w:bookmarkEnd w:id="1"/>
      <w:bookmarkEnd w:id="2"/>
      <w:bookmarkEnd w:id="3"/>
      <w:bookmarkEnd w:id="4"/>
      <w:bookmarkEnd w:id="5"/>
      <w:bookmarkEnd w:id="6"/>
    </w:p>
    <w:p w:rsidR="004E0AB4" w:rsidRDefault="00D63766">
      <w:pPr>
        <w:adjustRightInd w:val="0"/>
        <w:snapToGrid w:val="0"/>
        <w:spacing w:line="360" w:lineRule="auto"/>
        <w:jc w:val="center"/>
        <w:outlineLvl w:val="0"/>
        <w:rPr>
          <w:rFonts w:eastAsia="方正小标宋简体"/>
          <w:sz w:val="72"/>
          <w:szCs w:val="72"/>
        </w:rPr>
      </w:pPr>
      <w:bookmarkStart w:id="7" w:name="_Toc15396598"/>
      <w:bookmarkStart w:id="8" w:name="_Toc15377194"/>
      <w:bookmarkStart w:id="9" w:name="_Toc15377426"/>
      <w:bookmarkStart w:id="10" w:name="_Toc15378442"/>
      <w:bookmarkStart w:id="11" w:name="_Toc113010942"/>
      <w:bookmarkStart w:id="12" w:name="_Toc15306268"/>
      <w:bookmarkStart w:id="13" w:name="_Toc15396476"/>
      <w:bookmarkEnd w:id="0"/>
      <w:r>
        <w:rPr>
          <w:rFonts w:eastAsia="方正小标宋简体"/>
          <w:sz w:val="72"/>
          <w:szCs w:val="72"/>
        </w:rPr>
        <w:t>四川省对外交流合作中心单位决算</w:t>
      </w:r>
      <w:bookmarkEnd w:id="7"/>
      <w:bookmarkEnd w:id="8"/>
      <w:bookmarkEnd w:id="9"/>
      <w:bookmarkEnd w:id="10"/>
      <w:bookmarkEnd w:id="11"/>
      <w:bookmarkEnd w:id="12"/>
      <w:bookmarkEnd w:id="13"/>
    </w:p>
    <w:p w:rsidR="004E0AB4" w:rsidRDefault="00D63766">
      <w:pPr>
        <w:widowControl/>
        <w:jc w:val="center"/>
        <w:rPr>
          <w:rFonts w:eastAsia="黑体"/>
          <w:sz w:val="48"/>
          <w:szCs w:val="48"/>
        </w:rPr>
      </w:pPr>
      <w:r>
        <w:rPr>
          <w:rFonts w:eastAsia="方正小标宋简体"/>
          <w:sz w:val="36"/>
          <w:szCs w:val="36"/>
        </w:rPr>
        <w:br w:type="page"/>
      </w:r>
      <w:r>
        <w:rPr>
          <w:rFonts w:eastAsia="黑体"/>
          <w:sz w:val="48"/>
          <w:szCs w:val="48"/>
        </w:rPr>
        <w:lastRenderedPageBreak/>
        <w:t>目录</w:t>
      </w:r>
    </w:p>
    <w:p w:rsidR="004E0AB4" w:rsidRDefault="004E0AB4">
      <w:pPr>
        <w:pStyle w:val="a4"/>
        <w:spacing w:before="93"/>
        <w:rPr>
          <w:rFonts w:ascii="Times New Roman"/>
        </w:rPr>
      </w:pPr>
    </w:p>
    <w:sdt>
      <w:sdtPr>
        <w:rPr>
          <w:rFonts w:ascii="Times New Roman" w:eastAsia="宋体" w:hAnsi="Times New Roman"/>
          <w:sz w:val="21"/>
          <w:szCs w:val="24"/>
          <w:lang w:val="zh-CN"/>
        </w:rPr>
        <w:id w:val="97630688"/>
        <w:docPartObj>
          <w:docPartGallery w:val="Table of Contents"/>
          <w:docPartUnique/>
        </w:docPartObj>
      </w:sdtPr>
      <w:sdtEndPr>
        <w:rPr>
          <w:rFonts w:eastAsia="楷体_GB2312"/>
          <w:sz w:val="32"/>
          <w:szCs w:val="32"/>
          <w:lang w:val="en-US"/>
        </w:rPr>
      </w:sdtEndPr>
      <w:sdtContent>
        <w:p w:rsidR="002F13E1" w:rsidRDefault="002F13E1">
          <w:pPr>
            <w:pStyle w:val="10"/>
            <w:rPr>
              <w:rFonts w:ascii="Times New Roman" w:hAnsi="Times New Roman"/>
            </w:rPr>
          </w:pPr>
          <w:r>
            <w:rPr>
              <w:rFonts w:ascii="Times New Roman" w:hAnsi="Times New Roman"/>
            </w:rPr>
            <w:t>公开时间：</w:t>
          </w:r>
          <w:r>
            <w:rPr>
              <w:rFonts w:ascii="Times New Roman" w:hAnsi="Times New Roman"/>
            </w:rPr>
            <w:t>2022</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rPr>
            <w:t>9</w:t>
          </w:r>
          <w:r>
            <w:rPr>
              <w:rFonts w:ascii="Times New Roman" w:hAnsi="Times New Roman"/>
            </w:rPr>
            <w:t>日</w:t>
          </w:r>
        </w:p>
        <w:p w:rsidR="002F13E1" w:rsidRDefault="002F13E1">
          <w:pPr>
            <w:pStyle w:val="21"/>
            <w:spacing w:line="560" w:lineRule="exact"/>
            <w:rPr>
              <w:rFonts w:eastAsia="仿宋_GB2312"/>
              <w:bCs/>
              <w:sz w:val="32"/>
              <w:szCs w:val="32"/>
            </w:rPr>
          </w:pPr>
          <w:r>
            <w:rPr>
              <w:rFonts w:eastAsia="仿宋_GB2312"/>
              <w:bCs/>
              <w:sz w:val="32"/>
              <w:szCs w:val="32"/>
            </w:rPr>
            <w:fldChar w:fldCharType="begin"/>
          </w:r>
          <w:r>
            <w:rPr>
              <w:rFonts w:eastAsia="仿宋_GB2312"/>
              <w:bCs/>
              <w:sz w:val="32"/>
              <w:szCs w:val="32"/>
            </w:rPr>
            <w:instrText xml:space="preserve"> TOC \o "1-3" \h \z \u </w:instrText>
          </w:r>
          <w:r>
            <w:rPr>
              <w:rFonts w:eastAsia="仿宋_GB2312"/>
              <w:bCs/>
              <w:sz w:val="32"/>
              <w:szCs w:val="32"/>
            </w:rPr>
            <w:fldChar w:fldCharType="separate"/>
          </w:r>
          <w:hyperlink w:anchor="_Toc113010943" w:history="1">
            <w:r>
              <w:rPr>
                <w:rFonts w:eastAsia="仿宋_GB2312"/>
                <w:bCs/>
                <w:sz w:val="32"/>
                <w:szCs w:val="32"/>
              </w:rPr>
              <w:t>第一部分</w:t>
            </w:r>
            <w:r>
              <w:rPr>
                <w:rFonts w:eastAsia="仿宋_GB2312"/>
                <w:bCs/>
                <w:sz w:val="32"/>
                <w:szCs w:val="32"/>
              </w:rPr>
              <w:t xml:space="preserve"> </w:t>
            </w:r>
            <w:r>
              <w:rPr>
                <w:rFonts w:eastAsia="仿宋_GB2312"/>
                <w:bCs/>
                <w:sz w:val="32"/>
                <w:szCs w:val="32"/>
              </w:rPr>
              <w:t>单位概况</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_Toc113010943 \h </w:instrText>
            </w:r>
            <w:r>
              <w:rPr>
                <w:rFonts w:eastAsia="仿宋_GB2312"/>
                <w:bCs/>
                <w:sz w:val="32"/>
                <w:szCs w:val="32"/>
              </w:rPr>
            </w:r>
            <w:r>
              <w:rPr>
                <w:rFonts w:eastAsia="仿宋_GB2312"/>
                <w:bCs/>
                <w:sz w:val="32"/>
                <w:szCs w:val="32"/>
              </w:rPr>
              <w:fldChar w:fldCharType="separate"/>
            </w:r>
            <w:r>
              <w:rPr>
                <w:rFonts w:eastAsia="仿宋_GB2312"/>
                <w:bCs/>
                <w:sz w:val="32"/>
                <w:szCs w:val="32"/>
              </w:rPr>
              <w:t>4</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44" w:history="1">
            <w:r>
              <w:rPr>
                <w:rFonts w:eastAsia="仿宋_GB2312"/>
                <w:bCs/>
                <w:sz w:val="32"/>
                <w:szCs w:val="32"/>
              </w:rPr>
              <w:t>一、职能简介</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_Toc113010944 \h </w:instrText>
            </w:r>
            <w:r>
              <w:rPr>
                <w:rFonts w:eastAsia="仿宋_GB2312"/>
                <w:bCs/>
                <w:sz w:val="32"/>
                <w:szCs w:val="32"/>
              </w:rPr>
            </w:r>
            <w:r>
              <w:rPr>
                <w:rFonts w:eastAsia="仿宋_GB2312"/>
                <w:bCs/>
                <w:sz w:val="32"/>
                <w:szCs w:val="32"/>
              </w:rPr>
              <w:fldChar w:fldCharType="separate"/>
            </w:r>
            <w:r>
              <w:rPr>
                <w:rFonts w:eastAsia="仿宋_GB2312"/>
                <w:bCs/>
                <w:sz w:val="32"/>
                <w:szCs w:val="32"/>
              </w:rPr>
              <w:t>4</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45" w:history="1">
            <w:r>
              <w:rPr>
                <w:rFonts w:eastAsia="仿宋_GB2312"/>
                <w:bCs/>
                <w:sz w:val="32"/>
                <w:szCs w:val="32"/>
              </w:rPr>
              <w:t>二、</w:t>
            </w:r>
            <w:r>
              <w:rPr>
                <w:rFonts w:eastAsia="仿宋_GB2312"/>
                <w:bCs/>
                <w:sz w:val="32"/>
                <w:szCs w:val="32"/>
              </w:rPr>
              <w:t>2021</w:t>
            </w:r>
            <w:r>
              <w:rPr>
                <w:rFonts w:eastAsia="仿宋_GB2312"/>
                <w:bCs/>
                <w:sz w:val="32"/>
                <w:szCs w:val="32"/>
              </w:rPr>
              <w:t>年重点工作完成情况</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_Toc113010945 \h </w:instrText>
            </w:r>
            <w:r>
              <w:rPr>
                <w:rFonts w:eastAsia="仿宋_GB2312"/>
                <w:bCs/>
                <w:sz w:val="32"/>
                <w:szCs w:val="32"/>
              </w:rPr>
            </w:r>
            <w:r>
              <w:rPr>
                <w:rFonts w:eastAsia="仿宋_GB2312"/>
                <w:bCs/>
                <w:sz w:val="32"/>
                <w:szCs w:val="32"/>
              </w:rPr>
              <w:fldChar w:fldCharType="separate"/>
            </w:r>
            <w:r>
              <w:rPr>
                <w:rFonts w:eastAsia="仿宋_GB2312"/>
                <w:bCs/>
                <w:sz w:val="32"/>
                <w:szCs w:val="32"/>
              </w:rPr>
              <w:t>4</w:t>
            </w:r>
            <w:r>
              <w:rPr>
                <w:rFonts w:eastAsia="仿宋_GB2312"/>
                <w:bCs/>
                <w:sz w:val="32"/>
                <w:szCs w:val="32"/>
              </w:rPr>
              <w:fldChar w:fldCharType="end"/>
            </w:r>
          </w:hyperlink>
        </w:p>
        <w:p w:rsidR="002F13E1" w:rsidRDefault="002F13E1">
          <w:pPr>
            <w:pStyle w:val="21"/>
            <w:spacing w:line="560" w:lineRule="exact"/>
            <w:rPr>
              <w:rFonts w:eastAsia="仿宋_GB2312" w:hint="eastAsia"/>
              <w:bCs/>
              <w:sz w:val="32"/>
              <w:szCs w:val="32"/>
            </w:rPr>
          </w:pPr>
          <w:r>
            <w:rPr>
              <w:rFonts w:eastAsia="仿宋_GB2312" w:hint="eastAsia"/>
              <w:bCs/>
              <w:sz w:val="32"/>
              <w:szCs w:val="32"/>
            </w:rPr>
            <w:t>三</w:t>
          </w:r>
          <w:r w:rsidRPr="002F13E1">
            <w:rPr>
              <w:rFonts w:eastAsia="仿宋_GB2312"/>
              <w:bCs/>
              <w:sz w:val="32"/>
              <w:szCs w:val="32"/>
            </w:rPr>
            <w:t>、</w:t>
          </w:r>
          <w:r>
            <w:rPr>
              <w:rFonts w:eastAsia="仿宋_GB2312" w:hint="eastAsia"/>
              <w:bCs/>
              <w:sz w:val="32"/>
              <w:szCs w:val="32"/>
            </w:rPr>
            <w:t>机构</w:t>
          </w:r>
          <w:r>
            <w:rPr>
              <w:rFonts w:eastAsia="仿宋_GB2312"/>
              <w:bCs/>
              <w:sz w:val="32"/>
              <w:szCs w:val="32"/>
            </w:rPr>
            <w:t>内设</w:t>
          </w:r>
          <w:r w:rsidRPr="002F13E1">
            <w:rPr>
              <w:rFonts w:eastAsia="仿宋_GB2312"/>
              <w:bCs/>
              <w:sz w:val="32"/>
              <w:szCs w:val="32"/>
            </w:rPr>
            <w:t>情况</w:t>
          </w:r>
          <w:r w:rsidRPr="002F13E1">
            <w:rPr>
              <w:rFonts w:eastAsia="仿宋_GB2312"/>
              <w:bCs/>
              <w:sz w:val="32"/>
              <w:szCs w:val="32"/>
            </w:rPr>
            <w:tab/>
          </w:r>
          <w:r w:rsidRPr="002F13E1">
            <w:rPr>
              <w:rFonts w:eastAsia="仿宋_GB2312"/>
              <w:bCs/>
              <w:sz w:val="32"/>
              <w:szCs w:val="32"/>
            </w:rPr>
            <w:fldChar w:fldCharType="begin"/>
          </w:r>
          <w:r w:rsidRPr="002F13E1">
            <w:rPr>
              <w:rFonts w:eastAsia="仿宋_GB2312"/>
              <w:bCs/>
              <w:sz w:val="32"/>
              <w:szCs w:val="32"/>
            </w:rPr>
            <w:instrText xml:space="preserve"> PAGEREF _Toc113010945 \h </w:instrText>
          </w:r>
          <w:r w:rsidRPr="002F13E1">
            <w:rPr>
              <w:rFonts w:eastAsia="仿宋_GB2312"/>
              <w:bCs/>
              <w:sz w:val="32"/>
              <w:szCs w:val="32"/>
            </w:rPr>
          </w:r>
          <w:r w:rsidRPr="002F13E1">
            <w:rPr>
              <w:rFonts w:eastAsia="仿宋_GB2312"/>
              <w:bCs/>
              <w:sz w:val="32"/>
              <w:szCs w:val="32"/>
            </w:rPr>
            <w:fldChar w:fldCharType="separate"/>
          </w:r>
          <w:r w:rsidRPr="002F13E1">
            <w:rPr>
              <w:rFonts w:eastAsia="仿宋_GB2312"/>
              <w:bCs/>
              <w:sz w:val="32"/>
              <w:szCs w:val="32"/>
            </w:rPr>
            <w:t>4</w:t>
          </w:r>
          <w:r w:rsidRPr="002F13E1">
            <w:rPr>
              <w:rFonts w:eastAsia="仿宋_GB2312"/>
              <w:bCs/>
              <w:sz w:val="32"/>
              <w:szCs w:val="32"/>
            </w:rPr>
            <w:fldChar w:fldCharType="end"/>
          </w:r>
        </w:p>
        <w:p w:rsidR="002F13E1" w:rsidRDefault="002F13E1">
          <w:pPr>
            <w:pStyle w:val="21"/>
            <w:spacing w:line="560" w:lineRule="exact"/>
            <w:rPr>
              <w:rFonts w:eastAsia="仿宋_GB2312"/>
              <w:bCs/>
              <w:sz w:val="32"/>
              <w:szCs w:val="32"/>
            </w:rPr>
          </w:pPr>
          <w:hyperlink w:anchor="_Toc113010946" w:history="1">
            <w:r>
              <w:rPr>
                <w:rFonts w:eastAsia="仿宋_GB2312"/>
                <w:bCs/>
                <w:sz w:val="32"/>
                <w:szCs w:val="32"/>
              </w:rPr>
              <w:t>第二部分</w:t>
            </w:r>
            <w:r>
              <w:rPr>
                <w:rFonts w:eastAsia="仿宋_GB2312"/>
                <w:bCs/>
                <w:sz w:val="32"/>
                <w:szCs w:val="32"/>
              </w:rPr>
              <w:t xml:space="preserve"> 2021</w:t>
            </w:r>
            <w:r>
              <w:rPr>
                <w:rFonts w:eastAsia="仿宋_GB2312"/>
                <w:bCs/>
                <w:sz w:val="32"/>
                <w:szCs w:val="32"/>
              </w:rPr>
              <w:t>年度单位决算情况说明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_Toc113010946 \h </w:instrText>
            </w:r>
            <w:r>
              <w:rPr>
                <w:rFonts w:eastAsia="仿宋_GB2312"/>
                <w:bCs/>
                <w:sz w:val="32"/>
                <w:szCs w:val="32"/>
              </w:rPr>
            </w:r>
            <w:r>
              <w:rPr>
                <w:rFonts w:eastAsia="仿宋_GB2312"/>
                <w:bCs/>
                <w:sz w:val="32"/>
                <w:szCs w:val="32"/>
              </w:rPr>
              <w:fldChar w:fldCharType="separate"/>
            </w:r>
            <w:r>
              <w:rPr>
                <w:rFonts w:eastAsia="仿宋_GB2312"/>
                <w:bCs/>
                <w:sz w:val="32"/>
                <w:szCs w:val="32"/>
              </w:rPr>
              <w:t>5</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47" w:history="1">
            <w:r>
              <w:rPr>
                <w:rFonts w:eastAsia="仿宋_GB2312"/>
                <w:bCs/>
                <w:sz w:val="32"/>
                <w:szCs w:val="32"/>
              </w:rPr>
              <w:t>一、收入支出决算总体情况说明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_Toc113010947 \h </w:instrText>
            </w:r>
            <w:r>
              <w:rPr>
                <w:rFonts w:eastAsia="仿宋_GB2312"/>
                <w:bCs/>
                <w:sz w:val="32"/>
                <w:szCs w:val="32"/>
              </w:rPr>
            </w:r>
            <w:r>
              <w:rPr>
                <w:rFonts w:eastAsia="仿宋_GB2312"/>
                <w:bCs/>
                <w:sz w:val="32"/>
                <w:szCs w:val="32"/>
              </w:rPr>
              <w:fldChar w:fldCharType="separate"/>
            </w:r>
            <w:r>
              <w:rPr>
                <w:rFonts w:eastAsia="仿宋_GB2312"/>
                <w:bCs/>
                <w:sz w:val="32"/>
                <w:szCs w:val="32"/>
              </w:rPr>
              <w:t>5</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48" w:history="1">
            <w:r>
              <w:rPr>
                <w:rFonts w:eastAsia="仿宋_GB2312"/>
                <w:bCs/>
                <w:sz w:val="32"/>
                <w:szCs w:val="32"/>
              </w:rPr>
              <w:t>二、收入决算情况说明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_Toc113010948 \h </w:instrText>
            </w:r>
            <w:r>
              <w:rPr>
                <w:rFonts w:eastAsia="仿宋_GB2312"/>
                <w:bCs/>
                <w:sz w:val="32"/>
                <w:szCs w:val="32"/>
              </w:rPr>
            </w:r>
            <w:r>
              <w:rPr>
                <w:rFonts w:eastAsia="仿宋_GB2312"/>
                <w:bCs/>
                <w:sz w:val="32"/>
                <w:szCs w:val="32"/>
              </w:rPr>
              <w:fldChar w:fldCharType="separate"/>
            </w:r>
            <w:r>
              <w:rPr>
                <w:rFonts w:eastAsia="仿宋_GB2312"/>
                <w:bCs/>
                <w:sz w:val="32"/>
                <w:szCs w:val="32"/>
              </w:rPr>
              <w:t>5</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50" w:history="1">
            <w:r>
              <w:rPr>
                <w:rFonts w:eastAsia="仿宋_GB2312"/>
                <w:bCs/>
                <w:sz w:val="32"/>
                <w:szCs w:val="32"/>
              </w:rPr>
              <w:t>三、支出决算情况说明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_Toc113010950 \h </w:instrText>
            </w:r>
            <w:r>
              <w:rPr>
                <w:rFonts w:eastAsia="仿宋_GB2312"/>
                <w:bCs/>
                <w:sz w:val="32"/>
                <w:szCs w:val="32"/>
              </w:rPr>
            </w:r>
            <w:r>
              <w:rPr>
                <w:rFonts w:eastAsia="仿宋_GB2312"/>
                <w:bCs/>
                <w:sz w:val="32"/>
                <w:szCs w:val="32"/>
              </w:rPr>
              <w:fldChar w:fldCharType="separate"/>
            </w:r>
            <w:r>
              <w:rPr>
                <w:rFonts w:eastAsia="仿宋_GB2312"/>
                <w:bCs/>
                <w:sz w:val="32"/>
                <w:szCs w:val="32"/>
              </w:rPr>
              <w:t>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52" w:history="1">
            <w:r>
              <w:rPr>
                <w:rFonts w:eastAsia="仿宋_GB2312"/>
                <w:bCs/>
                <w:sz w:val="32"/>
                <w:szCs w:val="32"/>
              </w:rPr>
              <w:t>四、财政拨款收入支出决算总体情况说明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_Toc113010952 \h </w:instrText>
            </w:r>
            <w:r>
              <w:rPr>
                <w:rFonts w:eastAsia="仿宋_GB2312"/>
                <w:bCs/>
                <w:sz w:val="32"/>
                <w:szCs w:val="32"/>
              </w:rPr>
            </w:r>
            <w:r>
              <w:rPr>
                <w:rFonts w:eastAsia="仿宋_GB2312"/>
                <w:bCs/>
                <w:sz w:val="32"/>
                <w:szCs w:val="32"/>
              </w:rPr>
              <w:fldChar w:fldCharType="separate"/>
            </w:r>
            <w:r>
              <w:rPr>
                <w:rFonts w:eastAsia="仿宋_GB2312"/>
                <w:bCs/>
                <w:sz w:val="32"/>
                <w:szCs w:val="32"/>
              </w:rPr>
              <w:t>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53" w:history="1">
            <w:r>
              <w:rPr>
                <w:rFonts w:eastAsia="仿宋_GB2312"/>
                <w:bCs/>
                <w:sz w:val="32"/>
                <w:szCs w:val="32"/>
              </w:rPr>
              <w:t>五、一般公共预算财政拨款支出决算情况说明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_Toc113010953 \h </w:instrText>
            </w:r>
            <w:r>
              <w:rPr>
                <w:rFonts w:eastAsia="仿宋_GB2312"/>
                <w:bCs/>
                <w:sz w:val="32"/>
                <w:szCs w:val="32"/>
              </w:rPr>
            </w:r>
            <w:r>
              <w:rPr>
                <w:rFonts w:eastAsia="仿宋_GB2312"/>
                <w:bCs/>
                <w:sz w:val="32"/>
                <w:szCs w:val="32"/>
              </w:rPr>
              <w:fldChar w:fldCharType="separate"/>
            </w:r>
            <w:r>
              <w:rPr>
                <w:rFonts w:eastAsia="仿宋_GB2312"/>
                <w:bCs/>
                <w:sz w:val="32"/>
                <w:szCs w:val="32"/>
              </w:rPr>
              <w:t>7</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58" w:history="1">
            <w:r>
              <w:rPr>
                <w:rFonts w:eastAsia="仿宋_GB2312"/>
                <w:bCs/>
                <w:sz w:val="32"/>
                <w:szCs w:val="32"/>
              </w:rPr>
              <w:t>六、一般公共预算财政拨款基本支出决算情况说明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_Toc113010958 \h </w:instrText>
            </w:r>
            <w:r>
              <w:rPr>
                <w:rFonts w:eastAsia="仿宋_GB2312"/>
                <w:bCs/>
                <w:sz w:val="32"/>
                <w:szCs w:val="32"/>
              </w:rPr>
            </w:r>
            <w:r>
              <w:rPr>
                <w:rFonts w:eastAsia="仿宋_GB2312"/>
                <w:bCs/>
                <w:sz w:val="32"/>
                <w:szCs w:val="32"/>
              </w:rPr>
              <w:fldChar w:fldCharType="separate"/>
            </w:r>
            <w:r>
              <w:rPr>
                <w:rFonts w:eastAsia="仿宋_GB2312"/>
                <w:bCs/>
                <w:sz w:val="32"/>
                <w:szCs w:val="32"/>
              </w:rPr>
              <w:t>9</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59" w:history="1">
            <w:r>
              <w:rPr>
                <w:rFonts w:eastAsia="仿宋_GB2312"/>
                <w:bCs/>
                <w:sz w:val="32"/>
                <w:szCs w:val="32"/>
              </w:rPr>
              <w:t>七、</w:t>
            </w:r>
            <w:r>
              <w:rPr>
                <w:rFonts w:eastAsia="仿宋_GB2312"/>
                <w:bCs/>
                <w:sz w:val="32"/>
                <w:szCs w:val="32"/>
              </w:rPr>
              <w:t>“</w:t>
            </w:r>
            <w:r>
              <w:rPr>
                <w:rFonts w:eastAsia="仿宋_GB2312"/>
                <w:bCs/>
                <w:sz w:val="32"/>
                <w:szCs w:val="32"/>
              </w:rPr>
              <w:t>三公</w:t>
            </w:r>
            <w:r>
              <w:rPr>
                <w:rFonts w:eastAsia="仿宋_GB2312"/>
                <w:bCs/>
                <w:sz w:val="32"/>
                <w:szCs w:val="32"/>
              </w:rPr>
              <w:t>”</w:t>
            </w:r>
            <w:r>
              <w:rPr>
                <w:rFonts w:eastAsia="仿宋_GB2312"/>
                <w:bCs/>
                <w:sz w:val="32"/>
                <w:szCs w:val="32"/>
              </w:rPr>
              <w:t>经费财政拨款支出决算情况说明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_Toc113010959 \h </w:instrText>
            </w:r>
            <w:r>
              <w:rPr>
                <w:rFonts w:eastAsia="仿宋_GB2312"/>
                <w:bCs/>
                <w:sz w:val="32"/>
                <w:szCs w:val="32"/>
              </w:rPr>
            </w:r>
            <w:r>
              <w:rPr>
                <w:rFonts w:eastAsia="仿宋_GB2312"/>
                <w:bCs/>
                <w:sz w:val="32"/>
                <w:szCs w:val="32"/>
              </w:rPr>
              <w:fldChar w:fldCharType="separate"/>
            </w:r>
            <w:r>
              <w:rPr>
                <w:rFonts w:eastAsia="仿宋_GB2312"/>
                <w:bCs/>
                <w:sz w:val="32"/>
                <w:szCs w:val="32"/>
              </w:rPr>
              <w:t>9</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62" w:history="1">
            <w:r>
              <w:rPr>
                <w:rFonts w:eastAsia="仿宋_GB2312"/>
                <w:bCs/>
                <w:sz w:val="32"/>
                <w:szCs w:val="32"/>
              </w:rPr>
              <w:t>八、政府性基金预算支出决算情况说明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_Toc113010962 \h </w:instrText>
            </w:r>
            <w:r>
              <w:rPr>
                <w:rFonts w:eastAsia="仿宋_GB2312"/>
                <w:bCs/>
                <w:sz w:val="32"/>
                <w:szCs w:val="32"/>
              </w:rPr>
            </w:r>
            <w:r>
              <w:rPr>
                <w:rFonts w:eastAsia="仿宋_GB2312"/>
                <w:bCs/>
                <w:sz w:val="32"/>
                <w:szCs w:val="32"/>
              </w:rPr>
              <w:fldChar w:fldCharType="separate"/>
            </w:r>
            <w:r>
              <w:rPr>
                <w:rFonts w:eastAsia="仿宋_GB2312"/>
                <w:bCs/>
                <w:sz w:val="32"/>
                <w:szCs w:val="32"/>
              </w:rPr>
              <w:t>11</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63" w:history="1">
            <w:r>
              <w:rPr>
                <w:rFonts w:eastAsia="仿宋_GB2312"/>
                <w:bCs/>
                <w:sz w:val="32"/>
                <w:szCs w:val="32"/>
              </w:rPr>
              <w:t>九、</w:t>
            </w:r>
            <w:r>
              <w:rPr>
                <w:rFonts w:eastAsia="仿宋_GB2312"/>
                <w:bCs/>
                <w:sz w:val="32"/>
                <w:szCs w:val="32"/>
              </w:rPr>
              <w:t xml:space="preserve"> </w:t>
            </w:r>
            <w:r>
              <w:rPr>
                <w:rFonts w:eastAsia="仿宋_GB2312"/>
                <w:bCs/>
                <w:sz w:val="32"/>
                <w:szCs w:val="32"/>
              </w:rPr>
              <w:t>国有资本经营预算支出决算情况说明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_Toc113010963 \h </w:instrText>
            </w:r>
            <w:r>
              <w:rPr>
                <w:rFonts w:eastAsia="仿宋_GB2312"/>
                <w:bCs/>
                <w:sz w:val="32"/>
                <w:szCs w:val="32"/>
              </w:rPr>
            </w:r>
            <w:r>
              <w:rPr>
                <w:rFonts w:eastAsia="仿宋_GB2312"/>
                <w:bCs/>
                <w:sz w:val="32"/>
                <w:szCs w:val="32"/>
              </w:rPr>
              <w:fldChar w:fldCharType="separate"/>
            </w:r>
            <w:r>
              <w:rPr>
                <w:rFonts w:eastAsia="仿宋_GB2312"/>
                <w:bCs/>
                <w:sz w:val="32"/>
                <w:szCs w:val="32"/>
              </w:rPr>
              <w:t>11</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64" w:history="1">
            <w:r>
              <w:rPr>
                <w:rFonts w:eastAsia="仿宋_GB2312"/>
                <w:bCs/>
                <w:sz w:val="32"/>
                <w:szCs w:val="32"/>
              </w:rPr>
              <w:t>十、</w:t>
            </w:r>
            <w:r>
              <w:rPr>
                <w:rFonts w:eastAsia="仿宋_GB2312"/>
                <w:bCs/>
                <w:sz w:val="32"/>
                <w:szCs w:val="32"/>
              </w:rPr>
              <w:t xml:space="preserve"> </w:t>
            </w:r>
            <w:r>
              <w:rPr>
                <w:rFonts w:eastAsia="仿宋_GB2312"/>
                <w:bCs/>
                <w:sz w:val="32"/>
                <w:szCs w:val="32"/>
              </w:rPr>
              <w:t>其他重要事项的情况说明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_Toc113010964 \h </w:instrText>
            </w:r>
            <w:r>
              <w:rPr>
                <w:rFonts w:eastAsia="仿宋_GB2312"/>
                <w:bCs/>
                <w:sz w:val="32"/>
                <w:szCs w:val="32"/>
              </w:rPr>
            </w:r>
            <w:r>
              <w:rPr>
                <w:rFonts w:eastAsia="仿宋_GB2312"/>
                <w:bCs/>
                <w:sz w:val="32"/>
                <w:szCs w:val="32"/>
              </w:rPr>
              <w:fldChar w:fldCharType="separate"/>
            </w:r>
            <w:r>
              <w:rPr>
                <w:rFonts w:eastAsia="仿宋_GB2312"/>
                <w:bCs/>
                <w:sz w:val="32"/>
                <w:szCs w:val="32"/>
              </w:rPr>
              <w:t>11</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69" w:history="1">
            <w:r>
              <w:rPr>
                <w:rFonts w:eastAsia="仿宋_GB2312"/>
                <w:bCs/>
                <w:sz w:val="32"/>
                <w:szCs w:val="32"/>
              </w:rPr>
              <w:t>第三部分</w:t>
            </w:r>
            <w:r>
              <w:rPr>
                <w:rFonts w:eastAsia="仿宋_GB2312"/>
                <w:bCs/>
                <w:sz w:val="32"/>
                <w:szCs w:val="32"/>
              </w:rPr>
              <w:t xml:space="preserve"> </w:t>
            </w:r>
            <w:r>
              <w:rPr>
                <w:rFonts w:eastAsia="仿宋_GB2312"/>
                <w:bCs/>
                <w:sz w:val="32"/>
                <w:szCs w:val="32"/>
              </w:rPr>
              <w:t>名词解释</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_Toc113010969 \h </w:instrText>
            </w:r>
            <w:r>
              <w:rPr>
                <w:rFonts w:eastAsia="仿宋_GB2312"/>
                <w:bCs/>
                <w:sz w:val="32"/>
                <w:szCs w:val="32"/>
              </w:rPr>
            </w:r>
            <w:r>
              <w:rPr>
                <w:rFonts w:eastAsia="仿宋_GB2312"/>
                <w:bCs/>
                <w:sz w:val="32"/>
                <w:szCs w:val="32"/>
              </w:rPr>
              <w:fldChar w:fldCharType="separate"/>
            </w:r>
            <w:r>
              <w:rPr>
                <w:rFonts w:eastAsia="仿宋_GB2312"/>
                <w:bCs/>
                <w:sz w:val="32"/>
                <w:szCs w:val="32"/>
              </w:rPr>
              <w:t>13</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0" w:history="1">
            <w:r>
              <w:rPr>
                <w:rFonts w:eastAsia="仿宋_GB2312"/>
                <w:bCs/>
                <w:sz w:val="32"/>
                <w:szCs w:val="32"/>
              </w:rPr>
              <w:t>第四部分</w:t>
            </w:r>
            <w:r>
              <w:rPr>
                <w:rFonts w:eastAsia="仿宋_GB2312"/>
                <w:bCs/>
                <w:sz w:val="32"/>
                <w:szCs w:val="32"/>
              </w:rPr>
              <w:t xml:space="preserve"> </w:t>
            </w:r>
            <w:r>
              <w:rPr>
                <w:rFonts w:eastAsia="仿宋_GB2312"/>
                <w:bCs/>
                <w:sz w:val="32"/>
                <w:szCs w:val="32"/>
              </w:rPr>
              <w:t>附件</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_Toc113010970 \h </w:instrText>
            </w:r>
            <w:r>
              <w:rPr>
                <w:rFonts w:eastAsia="仿宋_GB2312"/>
                <w:bCs/>
                <w:sz w:val="32"/>
                <w:szCs w:val="32"/>
              </w:rPr>
            </w:r>
            <w:r>
              <w:rPr>
                <w:rFonts w:eastAsia="仿宋_GB2312"/>
                <w:bCs/>
                <w:sz w:val="32"/>
                <w:szCs w:val="32"/>
              </w:rPr>
              <w:fldChar w:fldCharType="separate"/>
            </w:r>
            <w:r>
              <w:rPr>
                <w:rFonts w:eastAsia="仿宋_GB2312"/>
                <w:bCs/>
                <w:sz w:val="32"/>
                <w:szCs w:val="32"/>
              </w:rPr>
              <w:t>15</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2" w:history="1">
            <w:r>
              <w:rPr>
                <w:rFonts w:eastAsia="仿宋_GB2312"/>
                <w:bCs/>
                <w:sz w:val="32"/>
                <w:szCs w:val="32"/>
              </w:rPr>
              <w:t>第五部分</w:t>
            </w:r>
            <w:r>
              <w:rPr>
                <w:rFonts w:eastAsia="仿宋_GB2312"/>
                <w:bCs/>
                <w:sz w:val="32"/>
                <w:szCs w:val="32"/>
              </w:rPr>
              <w:t xml:space="preserve"> </w:t>
            </w:r>
            <w:r>
              <w:rPr>
                <w:rFonts w:eastAsia="仿宋_GB2312"/>
                <w:bCs/>
                <w:sz w:val="32"/>
                <w:szCs w:val="32"/>
              </w:rPr>
              <w:t>附表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_Toc113010972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3" w:history="1">
            <w:r>
              <w:rPr>
                <w:rFonts w:eastAsia="仿宋_GB2312"/>
                <w:bCs/>
                <w:sz w:val="32"/>
                <w:szCs w:val="32"/>
              </w:rPr>
              <w:t>一、收入支出决算总表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_Toc113010973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4" w:history="1">
            <w:r>
              <w:rPr>
                <w:rFonts w:eastAsia="仿宋_GB2312"/>
                <w:bCs/>
                <w:sz w:val="32"/>
                <w:szCs w:val="32"/>
              </w:rPr>
              <w:t>二、收入决算表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_Toc113010974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5" w:history="1">
            <w:r>
              <w:rPr>
                <w:rFonts w:eastAsia="仿宋_GB2312"/>
                <w:bCs/>
                <w:sz w:val="32"/>
                <w:szCs w:val="32"/>
              </w:rPr>
              <w:t>三、支出决算表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_Toc113010975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6" w:history="1">
            <w:r>
              <w:rPr>
                <w:rFonts w:eastAsia="仿宋_GB2312"/>
                <w:bCs/>
                <w:sz w:val="32"/>
                <w:szCs w:val="32"/>
              </w:rPr>
              <w:t>四、财政拨款收入支出决算总表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_Toc113010976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7" w:history="1">
            <w:r>
              <w:rPr>
                <w:rFonts w:eastAsia="仿宋_GB2312"/>
                <w:bCs/>
                <w:sz w:val="32"/>
                <w:szCs w:val="32"/>
              </w:rPr>
              <w:t>五、财政拨款支出决算明细表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_Toc113010977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8" w:history="1">
            <w:r>
              <w:rPr>
                <w:rFonts w:eastAsia="仿宋_GB2312"/>
                <w:bCs/>
                <w:sz w:val="32"/>
                <w:szCs w:val="32"/>
              </w:rPr>
              <w:t>六、一般公共预算财政拨款支出决算表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_Toc113010978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79" w:history="1">
            <w:r>
              <w:rPr>
                <w:rFonts w:eastAsia="仿宋_GB2312"/>
                <w:bCs/>
                <w:sz w:val="32"/>
                <w:szCs w:val="32"/>
              </w:rPr>
              <w:t>七、一般公共预算财政拨款支出决算明细表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_Toc113010979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80" w:history="1">
            <w:r>
              <w:rPr>
                <w:rFonts w:eastAsia="仿宋_GB2312"/>
                <w:bCs/>
                <w:sz w:val="32"/>
                <w:szCs w:val="32"/>
              </w:rPr>
              <w:t>八、一般公共预算财政拨款基本支出决算表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_Toc113010980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81" w:history="1">
            <w:r>
              <w:rPr>
                <w:rFonts w:eastAsia="仿宋_GB2312"/>
                <w:bCs/>
                <w:sz w:val="32"/>
                <w:szCs w:val="32"/>
              </w:rPr>
              <w:t>九、一般公共预算财政拨款项目支出决算表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_Toc113010981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82" w:history="1">
            <w:r>
              <w:rPr>
                <w:rFonts w:eastAsia="仿宋_GB2312"/>
                <w:bCs/>
                <w:sz w:val="32"/>
                <w:szCs w:val="32"/>
              </w:rPr>
              <w:t>十、一般公共预算财政拨款</w:t>
            </w:r>
            <w:r>
              <w:rPr>
                <w:rFonts w:eastAsia="仿宋_GB2312"/>
                <w:bCs/>
                <w:sz w:val="32"/>
                <w:szCs w:val="32"/>
              </w:rPr>
              <w:t>“</w:t>
            </w:r>
            <w:r>
              <w:rPr>
                <w:rFonts w:eastAsia="仿宋_GB2312"/>
                <w:bCs/>
                <w:sz w:val="32"/>
                <w:szCs w:val="32"/>
              </w:rPr>
              <w:t>三公</w:t>
            </w:r>
            <w:r>
              <w:rPr>
                <w:rFonts w:eastAsia="仿宋_GB2312"/>
                <w:bCs/>
                <w:sz w:val="32"/>
                <w:szCs w:val="32"/>
              </w:rPr>
              <w:t>”</w:t>
            </w:r>
            <w:r>
              <w:rPr>
                <w:rFonts w:eastAsia="仿宋_GB2312"/>
                <w:bCs/>
                <w:sz w:val="32"/>
                <w:szCs w:val="32"/>
              </w:rPr>
              <w:t>经费支出决算表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_Toc113010982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83" w:history="1">
            <w:r>
              <w:rPr>
                <w:rFonts w:eastAsia="仿宋_GB2312"/>
                <w:bCs/>
                <w:sz w:val="32"/>
                <w:szCs w:val="32"/>
              </w:rPr>
              <w:t>十一、政府性基金预算财政拨款收入支出决算表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_Toc113010983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84" w:history="1">
            <w:r>
              <w:rPr>
                <w:rFonts w:eastAsia="仿宋_GB2312"/>
                <w:bCs/>
                <w:w w:val="95"/>
                <w:sz w:val="32"/>
                <w:szCs w:val="32"/>
              </w:rPr>
              <w:t>十二、政府性基金预算财政拨款</w:t>
            </w:r>
            <w:r>
              <w:rPr>
                <w:rFonts w:eastAsia="仿宋_GB2312"/>
                <w:bCs/>
                <w:w w:val="95"/>
                <w:sz w:val="32"/>
                <w:szCs w:val="32"/>
              </w:rPr>
              <w:t>“</w:t>
            </w:r>
            <w:r>
              <w:rPr>
                <w:rFonts w:eastAsia="仿宋_GB2312"/>
                <w:bCs/>
                <w:w w:val="95"/>
                <w:sz w:val="32"/>
                <w:szCs w:val="32"/>
              </w:rPr>
              <w:t>三公</w:t>
            </w:r>
            <w:r>
              <w:rPr>
                <w:rFonts w:eastAsia="仿宋_GB2312"/>
                <w:bCs/>
                <w:w w:val="95"/>
                <w:sz w:val="32"/>
                <w:szCs w:val="32"/>
              </w:rPr>
              <w:t>”</w:t>
            </w:r>
            <w:r>
              <w:rPr>
                <w:rFonts w:eastAsia="仿宋_GB2312"/>
                <w:bCs/>
                <w:w w:val="95"/>
                <w:sz w:val="32"/>
                <w:szCs w:val="32"/>
              </w:rPr>
              <w:t>经费支出决算表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_Toc113010984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85" w:history="1">
            <w:r>
              <w:rPr>
                <w:rFonts w:eastAsia="仿宋_GB2312"/>
                <w:bCs/>
                <w:sz w:val="32"/>
                <w:szCs w:val="32"/>
              </w:rPr>
              <w:t>十三、国有资本经营预算财政拨款收入支出决算表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_Toc113010985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2F13E1" w:rsidRDefault="002F13E1">
          <w:pPr>
            <w:pStyle w:val="21"/>
            <w:spacing w:line="560" w:lineRule="exact"/>
            <w:rPr>
              <w:rFonts w:eastAsia="仿宋_GB2312"/>
              <w:bCs/>
              <w:sz w:val="32"/>
              <w:szCs w:val="32"/>
            </w:rPr>
          </w:pPr>
          <w:hyperlink w:anchor="_Toc113010986" w:history="1">
            <w:r>
              <w:rPr>
                <w:rFonts w:eastAsia="仿宋_GB2312"/>
                <w:bCs/>
                <w:sz w:val="32"/>
                <w:szCs w:val="32"/>
              </w:rPr>
              <w:t>十四、国有资本经营预算财政拨款支出决算表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_Toc113010986 \h </w:instrText>
            </w:r>
            <w:r>
              <w:rPr>
                <w:rFonts w:eastAsia="仿宋_GB2312"/>
                <w:bCs/>
                <w:sz w:val="32"/>
                <w:szCs w:val="32"/>
              </w:rPr>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hyperlink>
        </w:p>
        <w:p w:rsidR="004E0AB4" w:rsidRDefault="002F13E1">
          <w:pPr>
            <w:pStyle w:val="21"/>
            <w:spacing w:line="560" w:lineRule="exact"/>
            <w:rPr>
              <w:rFonts w:eastAsia="楷体_GB2312"/>
              <w:sz w:val="32"/>
              <w:szCs w:val="32"/>
            </w:rPr>
          </w:pPr>
          <w:r>
            <w:rPr>
              <w:rFonts w:eastAsia="仿宋_GB2312"/>
              <w:bCs/>
              <w:sz w:val="32"/>
              <w:szCs w:val="32"/>
            </w:rPr>
            <w:fldChar w:fldCharType="end"/>
          </w:r>
        </w:p>
      </w:sdtContent>
    </w:sdt>
    <w:p w:rsidR="004E0AB4" w:rsidRDefault="004E0AB4">
      <w:bookmarkStart w:id="14" w:name="_Toc15396599"/>
      <w:bookmarkStart w:id="15" w:name="_Toc113010943"/>
      <w:bookmarkStart w:id="16" w:name="_Toc15377196"/>
    </w:p>
    <w:p w:rsidR="004E0AB4" w:rsidRDefault="004E0AB4">
      <w:pPr>
        <w:pStyle w:val="a4"/>
        <w:spacing w:before="93"/>
        <w:rPr>
          <w:rFonts w:ascii="Times New Roman"/>
        </w:rPr>
      </w:pPr>
    </w:p>
    <w:p w:rsidR="004E0AB4" w:rsidRDefault="004E0AB4">
      <w:pPr>
        <w:pStyle w:val="a4"/>
        <w:spacing w:before="93"/>
        <w:rPr>
          <w:rFonts w:ascii="Times New Roman"/>
        </w:rPr>
      </w:pPr>
    </w:p>
    <w:p w:rsidR="004E0AB4" w:rsidRDefault="004E0AB4">
      <w:pPr>
        <w:pStyle w:val="a4"/>
        <w:spacing w:before="93"/>
        <w:rPr>
          <w:rFonts w:ascii="Times New Roman"/>
        </w:rPr>
      </w:pPr>
    </w:p>
    <w:p w:rsidR="004E0AB4" w:rsidRDefault="004E0AB4">
      <w:pPr>
        <w:pStyle w:val="a4"/>
        <w:spacing w:before="93"/>
        <w:rPr>
          <w:rFonts w:ascii="Times New Roman"/>
        </w:rPr>
      </w:pPr>
    </w:p>
    <w:p w:rsidR="004E0AB4" w:rsidRDefault="004E0AB4">
      <w:pPr>
        <w:pStyle w:val="a4"/>
        <w:spacing w:before="93"/>
        <w:rPr>
          <w:rFonts w:ascii="Times New Roman"/>
        </w:rPr>
      </w:pPr>
    </w:p>
    <w:p w:rsidR="004E0AB4" w:rsidRDefault="004E0AB4">
      <w:pPr>
        <w:pStyle w:val="1"/>
        <w:jc w:val="center"/>
        <w:rPr>
          <w:rFonts w:eastAsia="黑体"/>
          <w:b w:val="0"/>
        </w:rPr>
      </w:pPr>
    </w:p>
    <w:p w:rsidR="004E0AB4" w:rsidRDefault="004E0AB4">
      <w:pPr>
        <w:rPr>
          <w:rFonts w:eastAsia="黑体"/>
        </w:rPr>
      </w:pPr>
    </w:p>
    <w:p w:rsidR="004E0AB4" w:rsidRDefault="004E0AB4">
      <w:pPr>
        <w:pStyle w:val="2"/>
      </w:pPr>
    </w:p>
    <w:p w:rsidR="004E0AB4" w:rsidRDefault="00D63766">
      <w:pPr>
        <w:pStyle w:val="1"/>
        <w:jc w:val="center"/>
        <w:rPr>
          <w:rStyle w:val="1Char"/>
          <w:rFonts w:eastAsia="黑体"/>
        </w:rPr>
      </w:pPr>
      <w:r>
        <w:rPr>
          <w:rFonts w:eastAsia="黑体"/>
          <w:b w:val="0"/>
        </w:rPr>
        <w:lastRenderedPageBreak/>
        <w:t>第一部分</w:t>
      </w:r>
      <w:r>
        <w:rPr>
          <w:rFonts w:eastAsia="黑体"/>
          <w:b w:val="0"/>
        </w:rPr>
        <w:t xml:space="preserve"> </w:t>
      </w:r>
      <w:r>
        <w:rPr>
          <w:rFonts w:eastAsia="黑体"/>
          <w:b w:val="0"/>
        </w:rPr>
        <w:t>单位</w:t>
      </w:r>
      <w:r>
        <w:rPr>
          <w:rStyle w:val="1Char"/>
          <w:rFonts w:eastAsia="黑体"/>
        </w:rPr>
        <w:t>概况</w:t>
      </w:r>
      <w:bookmarkEnd w:id="14"/>
      <w:bookmarkEnd w:id="15"/>
      <w:bookmarkEnd w:id="16"/>
    </w:p>
    <w:p w:rsidR="004E0AB4" w:rsidRDefault="00D63766">
      <w:pPr>
        <w:pStyle w:val="20"/>
        <w:spacing w:before="0" w:after="0" w:line="560" w:lineRule="exact"/>
        <w:ind w:firstLineChars="200" w:firstLine="640"/>
        <w:rPr>
          <w:rStyle w:val="2Char"/>
          <w:rFonts w:ascii="Times New Roman" w:eastAsia="黑体" w:hAnsi="Times New Roman" w:cs="Times New Roman"/>
        </w:rPr>
      </w:pPr>
      <w:bookmarkStart w:id="17" w:name="_Toc113010944"/>
      <w:bookmarkStart w:id="18" w:name="_Toc15396600"/>
      <w:bookmarkStart w:id="19" w:name="_Toc15377197"/>
      <w:r>
        <w:rPr>
          <w:rStyle w:val="2Char"/>
          <w:rFonts w:ascii="Times New Roman" w:eastAsia="黑体" w:hAnsi="Times New Roman" w:cs="Times New Roman"/>
        </w:rPr>
        <w:t>一、职能简介</w:t>
      </w:r>
      <w:bookmarkEnd w:id="17"/>
    </w:p>
    <w:p w:rsidR="004E0AB4" w:rsidRDefault="00D63766">
      <w:pPr>
        <w:spacing w:line="560" w:lineRule="exact"/>
        <w:ind w:firstLineChars="200" w:firstLine="640"/>
        <w:rPr>
          <w:rFonts w:eastAsia="仿宋_GB2312"/>
          <w:sz w:val="32"/>
          <w:szCs w:val="32"/>
        </w:rPr>
      </w:pPr>
      <w:r>
        <w:rPr>
          <w:rFonts w:eastAsia="仿宋_GB2312"/>
          <w:sz w:val="32"/>
          <w:szCs w:val="32"/>
        </w:rPr>
        <w:t>四川省</w:t>
      </w:r>
      <w:r>
        <w:rPr>
          <w:rFonts w:eastAsia="仿宋_GB2312" w:hint="eastAsia"/>
          <w:sz w:val="32"/>
          <w:szCs w:val="32"/>
        </w:rPr>
        <w:t>对外交流合作中心</w:t>
      </w:r>
      <w:r>
        <w:rPr>
          <w:rFonts w:eastAsia="仿宋_GB2312"/>
          <w:sz w:val="32"/>
          <w:szCs w:val="32"/>
        </w:rPr>
        <w:t>的主要职责是会同有关部门研究提出我省与港澳台地区经贸合作的思路、对策和措施，负责港澳台地区投资项目的审批、核准、备案、转报，协调推进港澳台地区投资我省合作项目；承办我省与港澳协调机制的有关工作；参与组织全省性投资合作促进活动，参与做好全省重大招商引资项目的筛选、推介、协调、核准、备案工作；参与组织实施有关利用外国政府贷款和国际金融组织优惠贷款项目；负责我省</w:t>
      </w:r>
      <w:proofErr w:type="gramStart"/>
      <w:r>
        <w:rPr>
          <w:rFonts w:eastAsia="仿宋_GB2312"/>
          <w:sz w:val="32"/>
          <w:szCs w:val="32"/>
        </w:rPr>
        <w:t>参与泛珠三角区</w:t>
      </w:r>
      <w:proofErr w:type="gramEnd"/>
      <w:r>
        <w:rPr>
          <w:rFonts w:eastAsia="仿宋_GB2312"/>
          <w:sz w:val="32"/>
          <w:szCs w:val="32"/>
        </w:rPr>
        <w:t>域合作的具体工作。</w:t>
      </w:r>
    </w:p>
    <w:p w:rsidR="004E0AB4" w:rsidRDefault="00D63766">
      <w:pPr>
        <w:pStyle w:val="20"/>
        <w:spacing w:before="0" w:after="0" w:line="560" w:lineRule="exact"/>
        <w:ind w:firstLineChars="200" w:firstLine="640"/>
        <w:rPr>
          <w:rFonts w:ascii="Times New Roman" w:eastAsia="黑体" w:hAnsi="Times New Roman" w:cs="Times New Roman"/>
          <w:b w:val="0"/>
        </w:rPr>
      </w:pPr>
      <w:bookmarkStart w:id="20" w:name="_Toc113010945"/>
      <w:r>
        <w:rPr>
          <w:rFonts w:ascii="Times New Roman" w:eastAsia="黑体" w:hAnsi="Times New Roman" w:cs="Times New Roman"/>
          <w:b w:val="0"/>
        </w:rPr>
        <w:t>二、</w:t>
      </w:r>
      <w:r>
        <w:rPr>
          <w:rFonts w:ascii="Times New Roman" w:eastAsia="黑体" w:hAnsi="Times New Roman" w:cs="Times New Roman"/>
          <w:b w:val="0"/>
        </w:rPr>
        <w:t>2021</w:t>
      </w:r>
      <w:r>
        <w:rPr>
          <w:rFonts w:ascii="Times New Roman" w:eastAsia="黑体" w:hAnsi="Times New Roman" w:cs="Times New Roman"/>
          <w:b w:val="0"/>
        </w:rPr>
        <w:t>年重点工作</w:t>
      </w:r>
      <w:bookmarkEnd w:id="18"/>
      <w:bookmarkEnd w:id="19"/>
      <w:r>
        <w:rPr>
          <w:rFonts w:ascii="Times New Roman" w:eastAsia="黑体" w:hAnsi="Times New Roman" w:cs="Times New Roman"/>
          <w:b w:val="0"/>
        </w:rPr>
        <w:t>完成情况</w:t>
      </w:r>
      <w:bookmarkEnd w:id="20"/>
    </w:p>
    <w:p w:rsidR="004E0AB4" w:rsidRDefault="00D63766">
      <w:pPr>
        <w:spacing w:line="560" w:lineRule="exact"/>
        <w:ind w:firstLineChars="200" w:firstLine="640"/>
        <w:rPr>
          <w:rFonts w:eastAsia="仿宋_GB2312" w:hint="eastAsia"/>
          <w:sz w:val="32"/>
          <w:szCs w:val="32"/>
        </w:rPr>
      </w:pPr>
      <w:r>
        <w:rPr>
          <w:rFonts w:eastAsia="仿宋_GB2312" w:hint="eastAsia"/>
          <w:sz w:val="32"/>
          <w:szCs w:val="32"/>
        </w:rPr>
        <w:t>一是</w:t>
      </w:r>
      <w:r>
        <w:rPr>
          <w:rFonts w:eastAsia="仿宋_GB2312"/>
          <w:sz w:val="32"/>
          <w:szCs w:val="32"/>
        </w:rPr>
        <w:t>强化统筹，成功举办</w:t>
      </w:r>
      <w:proofErr w:type="gramStart"/>
      <w:r>
        <w:rPr>
          <w:rFonts w:eastAsia="仿宋_GB2312"/>
          <w:sz w:val="32"/>
          <w:szCs w:val="32"/>
        </w:rPr>
        <w:t>2021</w:t>
      </w:r>
      <w:r>
        <w:rPr>
          <w:rFonts w:eastAsia="仿宋_GB2312"/>
          <w:sz w:val="32"/>
          <w:szCs w:val="32"/>
        </w:rPr>
        <w:t>年泛珠三角区</w:t>
      </w:r>
      <w:proofErr w:type="gramEnd"/>
      <w:r>
        <w:rPr>
          <w:rFonts w:eastAsia="仿宋_GB2312"/>
          <w:sz w:val="32"/>
          <w:szCs w:val="32"/>
        </w:rPr>
        <w:t>域合作行政首长联席会议</w:t>
      </w:r>
      <w:r>
        <w:rPr>
          <w:rFonts w:eastAsia="仿宋_GB2312" w:hint="eastAsia"/>
          <w:sz w:val="32"/>
          <w:szCs w:val="32"/>
        </w:rPr>
        <w:t>；二是</w:t>
      </w:r>
      <w:proofErr w:type="gramStart"/>
      <w:r>
        <w:rPr>
          <w:rFonts w:eastAsia="仿宋_GB2312"/>
          <w:sz w:val="32"/>
          <w:szCs w:val="32"/>
        </w:rPr>
        <w:t>突出南</w:t>
      </w:r>
      <w:proofErr w:type="gramEnd"/>
      <w:r>
        <w:rPr>
          <w:rFonts w:eastAsia="仿宋_GB2312"/>
          <w:sz w:val="32"/>
          <w:szCs w:val="32"/>
        </w:rPr>
        <w:t>向，</w:t>
      </w:r>
      <w:r>
        <w:rPr>
          <w:rFonts w:eastAsia="仿宋_GB2312" w:hint="eastAsia"/>
          <w:sz w:val="32"/>
          <w:szCs w:val="32"/>
        </w:rPr>
        <w:t>不断推进</w:t>
      </w:r>
      <w:r>
        <w:rPr>
          <w:rFonts w:eastAsia="仿宋_GB2312"/>
          <w:sz w:val="32"/>
          <w:szCs w:val="32"/>
        </w:rPr>
        <w:t>省际区域合作</w:t>
      </w:r>
      <w:r>
        <w:rPr>
          <w:rFonts w:eastAsia="仿宋_GB2312" w:hint="eastAsia"/>
          <w:sz w:val="32"/>
          <w:szCs w:val="32"/>
        </w:rPr>
        <w:t>；三是</w:t>
      </w:r>
      <w:r>
        <w:rPr>
          <w:rFonts w:eastAsia="仿宋_GB2312"/>
          <w:sz w:val="32"/>
          <w:szCs w:val="32"/>
        </w:rPr>
        <w:t>搭建平台，务实推动高铁经济带合作</w:t>
      </w:r>
      <w:r>
        <w:rPr>
          <w:rFonts w:eastAsia="仿宋_GB2312" w:hint="eastAsia"/>
          <w:sz w:val="32"/>
          <w:szCs w:val="32"/>
        </w:rPr>
        <w:t>；四是</w:t>
      </w:r>
      <w:r>
        <w:rPr>
          <w:rFonts w:eastAsia="仿宋_GB2312"/>
          <w:sz w:val="32"/>
          <w:szCs w:val="32"/>
        </w:rPr>
        <w:t>完善机制，积极推进与港澳台合作</w:t>
      </w:r>
      <w:r>
        <w:rPr>
          <w:rFonts w:eastAsia="仿宋_GB2312" w:hint="eastAsia"/>
          <w:sz w:val="32"/>
          <w:szCs w:val="32"/>
        </w:rPr>
        <w:t>；五是</w:t>
      </w:r>
      <w:r>
        <w:rPr>
          <w:rFonts w:eastAsia="仿宋_GB2312"/>
          <w:sz w:val="32"/>
          <w:szCs w:val="32"/>
        </w:rPr>
        <w:t>对接市场，服务全省投资促进工作。</w:t>
      </w:r>
    </w:p>
    <w:p w:rsidR="002F13E1" w:rsidRDefault="002F13E1" w:rsidP="002F13E1">
      <w:pPr>
        <w:pStyle w:val="20"/>
        <w:spacing w:before="0" w:after="0" w:line="560" w:lineRule="exact"/>
        <w:ind w:firstLineChars="200" w:firstLine="640"/>
        <w:rPr>
          <w:rFonts w:ascii="Times New Roman" w:eastAsia="黑体" w:hAnsi="Times New Roman" w:cs="Times New Roman"/>
          <w:b w:val="0"/>
        </w:rPr>
      </w:pPr>
      <w:r>
        <w:rPr>
          <w:rFonts w:ascii="Times New Roman" w:eastAsia="黑体" w:hAnsi="黑体" w:cs="Times New Roman" w:hint="eastAsia"/>
          <w:b w:val="0"/>
        </w:rPr>
        <w:t>三</w:t>
      </w:r>
      <w:r>
        <w:rPr>
          <w:rFonts w:ascii="Times New Roman" w:eastAsia="黑体" w:hAnsi="黑体" w:cs="Times New Roman"/>
          <w:b w:val="0"/>
        </w:rPr>
        <w:t>、</w:t>
      </w:r>
      <w:r>
        <w:rPr>
          <w:rFonts w:ascii="Times New Roman" w:eastAsia="黑体" w:hAnsi="Times New Roman" w:cs="Times New Roman" w:hint="eastAsia"/>
          <w:b w:val="0"/>
        </w:rPr>
        <w:t>机构</w:t>
      </w:r>
      <w:r>
        <w:rPr>
          <w:rFonts w:ascii="Times New Roman" w:eastAsia="黑体" w:hAnsi="Times New Roman" w:cs="Times New Roman"/>
          <w:b w:val="0"/>
        </w:rPr>
        <w:t>设置情况</w:t>
      </w:r>
    </w:p>
    <w:p w:rsidR="002F13E1" w:rsidRDefault="002F13E1" w:rsidP="002F13E1">
      <w:pPr>
        <w:keepLines/>
        <w:snapToGrid w:val="0"/>
        <w:spacing w:line="560" w:lineRule="exact"/>
        <w:ind w:firstLineChars="200" w:firstLine="640"/>
      </w:pPr>
      <w:r>
        <w:rPr>
          <w:rFonts w:eastAsia="仿宋_GB2312"/>
          <w:sz w:val="32"/>
          <w:szCs w:val="32"/>
        </w:rPr>
        <w:t>四川省</w:t>
      </w:r>
      <w:r>
        <w:rPr>
          <w:rFonts w:eastAsia="仿宋_GB2312" w:hint="eastAsia"/>
          <w:sz w:val="32"/>
          <w:szCs w:val="32"/>
        </w:rPr>
        <w:t>对外交流合作中心暂无</w:t>
      </w:r>
      <w:r>
        <w:rPr>
          <w:rFonts w:eastAsia="仿宋_GB2312"/>
          <w:sz w:val="32"/>
          <w:szCs w:val="32"/>
        </w:rPr>
        <w:t>内设机构。</w:t>
      </w:r>
    </w:p>
    <w:p w:rsidR="002F13E1" w:rsidRPr="00B0707C" w:rsidRDefault="002F13E1" w:rsidP="002F13E1"/>
    <w:p w:rsidR="002F13E1" w:rsidRPr="002F13E1" w:rsidRDefault="002F13E1" w:rsidP="002F13E1">
      <w:pPr>
        <w:pStyle w:val="2"/>
      </w:pPr>
    </w:p>
    <w:p w:rsidR="004E0AB4" w:rsidRDefault="004E0AB4"/>
    <w:p w:rsidR="004E0AB4" w:rsidRDefault="00D63766">
      <w:pPr>
        <w:widowControl/>
        <w:jc w:val="left"/>
        <w:rPr>
          <w:rFonts w:eastAsia="仿宋"/>
          <w:kern w:val="0"/>
          <w:sz w:val="32"/>
          <w:szCs w:val="32"/>
        </w:rPr>
      </w:pPr>
      <w:r>
        <w:rPr>
          <w:rFonts w:eastAsia="仿宋"/>
          <w:sz w:val="32"/>
          <w:szCs w:val="32"/>
        </w:rPr>
        <w:br w:type="page"/>
      </w:r>
    </w:p>
    <w:p w:rsidR="004E0AB4" w:rsidRDefault="00D63766">
      <w:pPr>
        <w:pStyle w:val="1"/>
        <w:ind w:right="440"/>
        <w:jc w:val="center"/>
        <w:rPr>
          <w:rStyle w:val="1Char"/>
          <w:rFonts w:eastAsia="黑体"/>
          <w:bCs/>
        </w:rPr>
      </w:pPr>
      <w:bookmarkStart w:id="21" w:name="_Toc113010946"/>
      <w:bookmarkStart w:id="22" w:name="_Toc15396602"/>
      <w:bookmarkStart w:id="23" w:name="_Toc15377204"/>
      <w:r>
        <w:rPr>
          <w:rFonts w:eastAsia="黑体"/>
          <w:b w:val="0"/>
        </w:rPr>
        <w:lastRenderedPageBreak/>
        <w:t>第二部分</w:t>
      </w:r>
      <w:r>
        <w:rPr>
          <w:rFonts w:eastAsia="黑体"/>
          <w:b w:val="0"/>
        </w:rPr>
        <w:t xml:space="preserve"> 2021</w:t>
      </w:r>
      <w:r>
        <w:rPr>
          <w:rFonts w:eastAsia="黑体"/>
          <w:b w:val="0"/>
        </w:rPr>
        <w:t>年度</w:t>
      </w:r>
      <w:r>
        <w:rPr>
          <w:rStyle w:val="1Char"/>
          <w:rFonts w:eastAsia="黑体"/>
          <w:bCs/>
        </w:rPr>
        <w:t>单位决算情况说明</w:t>
      </w:r>
      <w:bookmarkEnd w:id="21"/>
      <w:bookmarkEnd w:id="22"/>
      <w:bookmarkEnd w:id="23"/>
    </w:p>
    <w:p w:rsidR="004E0AB4" w:rsidRDefault="00D63766">
      <w:r>
        <w:rPr>
          <w:noProof/>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1800860</wp:posOffset>
            </wp:positionV>
            <wp:extent cx="5271135" cy="2380615"/>
            <wp:effectExtent l="19050" t="0" r="24765" b="63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E0AB4" w:rsidRDefault="00D63766">
      <w:pPr>
        <w:pStyle w:val="aa"/>
        <w:numPr>
          <w:ilvl w:val="0"/>
          <w:numId w:val="1"/>
        </w:numPr>
        <w:spacing w:line="600" w:lineRule="exact"/>
        <w:ind w:firstLineChars="0"/>
        <w:outlineLvl w:val="1"/>
        <w:rPr>
          <w:rStyle w:val="2Char"/>
          <w:rFonts w:ascii="Times New Roman" w:eastAsia="黑体" w:hAnsi="Times New Roman" w:cs="Times New Roman"/>
          <w:b w:val="0"/>
        </w:rPr>
      </w:pPr>
      <w:bookmarkStart w:id="24" w:name="_Toc15396603"/>
      <w:bookmarkStart w:id="25" w:name="_Toc15377205"/>
      <w:bookmarkStart w:id="26" w:name="_Toc113010947"/>
      <w:r>
        <w:rPr>
          <w:rFonts w:eastAsia="黑体"/>
          <w:sz w:val="32"/>
          <w:szCs w:val="32"/>
        </w:rPr>
        <w:t>收</w:t>
      </w:r>
      <w:r>
        <w:rPr>
          <w:rStyle w:val="2Char"/>
          <w:rFonts w:ascii="Times New Roman" w:eastAsia="黑体" w:hAnsi="Times New Roman" w:cs="Times New Roman"/>
          <w:b w:val="0"/>
        </w:rPr>
        <w:t>入支出决算总体情况说明</w:t>
      </w:r>
      <w:bookmarkEnd w:id="24"/>
      <w:bookmarkEnd w:id="25"/>
      <w:bookmarkEnd w:id="26"/>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年度收、支总计</w:t>
      </w:r>
      <w:r>
        <w:rPr>
          <w:rFonts w:eastAsia="仿宋_GB2312"/>
          <w:bCs/>
          <w:sz w:val="32"/>
          <w:szCs w:val="32"/>
        </w:rPr>
        <w:t>221.46</w:t>
      </w:r>
      <w:r>
        <w:rPr>
          <w:rFonts w:eastAsia="仿宋_GB2312"/>
          <w:bCs/>
          <w:sz w:val="32"/>
          <w:szCs w:val="32"/>
        </w:rPr>
        <w:t>万元。与</w:t>
      </w:r>
      <w:r>
        <w:rPr>
          <w:rFonts w:eastAsia="仿宋_GB2312"/>
          <w:bCs/>
          <w:sz w:val="32"/>
          <w:szCs w:val="32"/>
        </w:rPr>
        <w:t>2020</w:t>
      </w:r>
      <w:r>
        <w:rPr>
          <w:rFonts w:eastAsia="仿宋_GB2312"/>
          <w:bCs/>
          <w:sz w:val="32"/>
          <w:szCs w:val="32"/>
        </w:rPr>
        <w:t>年相比，收、支总计各增加</w:t>
      </w:r>
      <w:r>
        <w:rPr>
          <w:rFonts w:eastAsia="仿宋_GB2312"/>
          <w:bCs/>
          <w:sz w:val="32"/>
          <w:szCs w:val="32"/>
        </w:rPr>
        <w:t>24.9</w:t>
      </w:r>
      <w:r>
        <w:rPr>
          <w:rFonts w:eastAsia="仿宋_GB2312" w:hint="eastAsia"/>
          <w:bCs/>
          <w:sz w:val="32"/>
          <w:szCs w:val="32"/>
        </w:rPr>
        <w:t>5</w:t>
      </w:r>
      <w:r>
        <w:rPr>
          <w:rFonts w:eastAsia="仿宋_GB2312"/>
          <w:bCs/>
          <w:sz w:val="32"/>
          <w:szCs w:val="32"/>
        </w:rPr>
        <w:t>万元，增长</w:t>
      </w:r>
      <w:r>
        <w:rPr>
          <w:rFonts w:eastAsia="仿宋_GB2312"/>
          <w:bCs/>
          <w:sz w:val="32"/>
          <w:szCs w:val="32"/>
        </w:rPr>
        <w:t>12.70%</w:t>
      </w:r>
      <w:r>
        <w:rPr>
          <w:rFonts w:eastAsia="仿宋_GB2312"/>
          <w:bCs/>
          <w:sz w:val="32"/>
          <w:szCs w:val="32"/>
        </w:rPr>
        <w:t>。主要变动原因是调资及新进人员等因素导致人员经费增加</w:t>
      </w:r>
      <w:r>
        <w:rPr>
          <w:rFonts w:eastAsia="仿宋_GB2312"/>
          <w:bCs/>
          <w:sz w:val="32"/>
          <w:szCs w:val="32"/>
        </w:rPr>
        <w:t>18.44</w:t>
      </w:r>
      <w:r>
        <w:rPr>
          <w:rFonts w:eastAsia="仿宋_GB2312"/>
          <w:bCs/>
          <w:sz w:val="32"/>
          <w:szCs w:val="32"/>
        </w:rPr>
        <w:t>万元。</w:t>
      </w:r>
    </w:p>
    <w:p w:rsidR="004E0AB4" w:rsidRDefault="004E0AB4">
      <w:pPr>
        <w:spacing w:line="600" w:lineRule="exact"/>
        <w:ind w:firstLineChars="200" w:firstLine="640"/>
        <w:jc w:val="left"/>
        <w:rPr>
          <w:rFonts w:eastAsia="仿宋_GB2312"/>
          <w:sz w:val="32"/>
          <w:szCs w:val="32"/>
        </w:rPr>
      </w:pPr>
    </w:p>
    <w:p w:rsidR="004E0AB4" w:rsidRDefault="00D63766">
      <w:pPr>
        <w:pStyle w:val="aa"/>
        <w:numPr>
          <w:ilvl w:val="0"/>
          <w:numId w:val="1"/>
        </w:numPr>
        <w:spacing w:line="600" w:lineRule="exact"/>
        <w:ind w:firstLineChars="0"/>
        <w:outlineLvl w:val="1"/>
        <w:rPr>
          <w:rStyle w:val="2Char"/>
          <w:rFonts w:ascii="Times New Roman" w:eastAsia="黑体" w:hAnsi="Times New Roman" w:cs="Times New Roman"/>
          <w:b w:val="0"/>
        </w:rPr>
      </w:pPr>
      <w:bookmarkStart w:id="27" w:name="_Toc113010948"/>
      <w:bookmarkStart w:id="28" w:name="_Toc15396604"/>
      <w:bookmarkStart w:id="29" w:name="_Toc15377206"/>
      <w:r>
        <w:rPr>
          <w:rFonts w:eastAsia="黑体"/>
          <w:sz w:val="32"/>
          <w:szCs w:val="32"/>
        </w:rPr>
        <w:t>收</w:t>
      </w:r>
      <w:r>
        <w:rPr>
          <w:rStyle w:val="2Char"/>
          <w:rFonts w:ascii="Times New Roman" w:eastAsia="黑体" w:hAnsi="Times New Roman" w:cs="Times New Roman"/>
          <w:b w:val="0"/>
        </w:rPr>
        <w:t>入决算情况说明</w:t>
      </w:r>
      <w:bookmarkEnd w:id="27"/>
      <w:bookmarkEnd w:id="28"/>
      <w:bookmarkEnd w:id="29"/>
    </w:p>
    <w:p w:rsidR="004E0AB4" w:rsidRDefault="00D63766">
      <w:pPr>
        <w:snapToGrid w:val="0"/>
        <w:spacing w:line="560" w:lineRule="exact"/>
        <w:ind w:firstLineChars="200" w:firstLine="640"/>
        <w:rPr>
          <w:rFonts w:eastAsia="仿宋_GB2312"/>
          <w:bCs/>
          <w:sz w:val="32"/>
          <w:szCs w:val="32"/>
        </w:rPr>
      </w:pPr>
      <w:r>
        <w:rPr>
          <w:rFonts w:eastAsia="仿宋_GB2312"/>
          <w:bCs/>
          <w:noProof/>
          <w:sz w:val="32"/>
          <w:szCs w:val="32"/>
        </w:rPr>
        <w:drawing>
          <wp:anchor distT="0" distB="0" distL="114300" distR="114300" simplePos="0" relativeHeight="251660288" behindDoc="0" locked="0" layoutInCell="1" allowOverlap="1">
            <wp:simplePos x="0" y="0"/>
            <wp:positionH relativeFrom="column">
              <wp:posOffset>514985</wp:posOffset>
            </wp:positionH>
            <wp:positionV relativeFrom="paragraph">
              <wp:posOffset>819150</wp:posOffset>
            </wp:positionV>
            <wp:extent cx="4699635" cy="2743200"/>
            <wp:effectExtent l="19050" t="0" r="24765"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30" w:name="_Toc113010949"/>
      <w:r>
        <w:rPr>
          <w:rFonts w:eastAsia="仿宋_GB2312"/>
          <w:bCs/>
          <w:sz w:val="32"/>
          <w:szCs w:val="32"/>
        </w:rPr>
        <w:t>2021</w:t>
      </w:r>
      <w:r>
        <w:rPr>
          <w:rFonts w:eastAsia="仿宋_GB2312"/>
          <w:bCs/>
          <w:sz w:val="32"/>
          <w:szCs w:val="32"/>
        </w:rPr>
        <w:t>年本年收入合计</w:t>
      </w:r>
      <w:r>
        <w:rPr>
          <w:rFonts w:eastAsia="仿宋_GB2312"/>
          <w:bCs/>
          <w:sz w:val="32"/>
          <w:szCs w:val="32"/>
        </w:rPr>
        <w:t>221.46</w:t>
      </w:r>
      <w:r>
        <w:rPr>
          <w:rFonts w:eastAsia="仿宋_GB2312"/>
          <w:bCs/>
          <w:sz w:val="32"/>
          <w:szCs w:val="32"/>
        </w:rPr>
        <w:t>万元，其中：一般公共预算财政拨款收入</w:t>
      </w:r>
      <w:r>
        <w:rPr>
          <w:rFonts w:eastAsia="仿宋_GB2312"/>
          <w:bCs/>
          <w:sz w:val="32"/>
          <w:szCs w:val="32"/>
        </w:rPr>
        <w:t>221.46</w:t>
      </w:r>
      <w:r>
        <w:rPr>
          <w:rFonts w:eastAsia="仿宋_GB2312"/>
          <w:bCs/>
          <w:sz w:val="32"/>
          <w:szCs w:val="32"/>
        </w:rPr>
        <w:t>万元，占</w:t>
      </w:r>
      <w:r>
        <w:rPr>
          <w:rFonts w:eastAsia="仿宋_GB2312"/>
          <w:bCs/>
          <w:sz w:val="32"/>
          <w:szCs w:val="32"/>
        </w:rPr>
        <w:t>100%</w:t>
      </w:r>
      <w:r>
        <w:rPr>
          <w:rFonts w:eastAsia="仿宋_GB2312"/>
          <w:bCs/>
          <w:sz w:val="32"/>
          <w:szCs w:val="32"/>
        </w:rPr>
        <w:t>。</w:t>
      </w:r>
      <w:bookmarkEnd w:id="30"/>
    </w:p>
    <w:p w:rsidR="004E0AB4" w:rsidRDefault="00D63766">
      <w:pPr>
        <w:pStyle w:val="aa"/>
        <w:numPr>
          <w:ilvl w:val="0"/>
          <w:numId w:val="1"/>
        </w:numPr>
        <w:spacing w:line="600" w:lineRule="exact"/>
        <w:ind w:firstLineChars="0"/>
        <w:outlineLvl w:val="1"/>
        <w:rPr>
          <w:rStyle w:val="2Char"/>
          <w:rFonts w:ascii="Times New Roman" w:eastAsia="黑体" w:hAnsi="Times New Roman" w:cs="Times New Roman"/>
          <w:b w:val="0"/>
        </w:rPr>
      </w:pPr>
      <w:bookmarkStart w:id="31" w:name="_Toc113010950"/>
      <w:bookmarkStart w:id="32" w:name="_Toc15377207"/>
      <w:bookmarkStart w:id="33" w:name="_Toc15396605"/>
      <w:r>
        <w:rPr>
          <w:rFonts w:eastAsia="黑体"/>
          <w:sz w:val="32"/>
          <w:szCs w:val="32"/>
        </w:rPr>
        <w:lastRenderedPageBreak/>
        <w:t>支</w:t>
      </w:r>
      <w:r>
        <w:rPr>
          <w:rStyle w:val="2Char"/>
          <w:rFonts w:ascii="Times New Roman" w:eastAsia="黑体" w:hAnsi="Times New Roman" w:cs="Times New Roman"/>
          <w:b w:val="0"/>
        </w:rPr>
        <w:t>出决算情况说明</w:t>
      </w:r>
      <w:bookmarkEnd w:id="31"/>
      <w:bookmarkEnd w:id="32"/>
      <w:bookmarkEnd w:id="33"/>
    </w:p>
    <w:p w:rsidR="004E0AB4" w:rsidRDefault="00D63766">
      <w:pPr>
        <w:snapToGrid w:val="0"/>
        <w:spacing w:line="560" w:lineRule="exact"/>
        <w:ind w:firstLineChars="200" w:firstLine="640"/>
        <w:rPr>
          <w:rFonts w:eastAsia="仿宋_GB2312"/>
          <w:bCs/>
          <w:sz w:val="32"/>
          <w:szCs w:val="32"/>
        </w:rPr>
      </w:pPr>
      <w:r>
        <w:rPr>
          <w:rFonts w:eastAsia="仿宋_GB2312"/>
          <w:bCs/>
          <w:noProof/>
          <w:sz w:val="32"/>
          <w:szCs w:val="32"/>
        </w:rPr>
        <w:drawing>
          <wp:anchor distT="0" distB="0" distL="114300" distR="114300" simplePos="0" relativeHeight="251661312" behindDoc="0" locked="0" layoutInCell="1" allowOverlap="1">
            <wp:simplePos x="0" y="0"/>
            <wp:positionH relativeFrom="column">
              <wp:posOffset>400050</wp:posOffset>
            </wp:positionH>
            <wp:positionV relativeFrom="paragraph">
              <wp:posOffset>936625</wp:posOffset>
            </wp:positionV>
            <wp:extent cx="4701540" cy="2743200"/>
            <wp:effectExtent l="19050" t="0" r="2286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34" w:name="_Toc113010951"/>
      <w:r>
        <w:rPr>
          <w:rFonts w:eastAsia="仿宋_GB2312"/>
          <w:bCs/>
          <w:sz w:val="32"/>
          <w:szCs w:val="32"/>
        </w:rPr>
        <w:t>2021</w:t>
      </w:r>
      <w:r>
        <w:rPr>
          <w:rFonts w:eastAsia="仿宋_GB2312"/>
          <w:bCs/>
          <w:sz w:val="32"/>
          <w:szCs w:val="32"/>
        </w:rPr>
        <w:t>年本年支出合计</w:t>
      </w:r>
      <w:r>
        <w:rPr>
          <w:rFonts w:eastAsia="仿宋_GB2312"/>
          <w:bCs/>
          <w:sz w:val="32"/>
          <w:szCs w:val="32"/>
        </w:rPr>
        <w:t>221.46</w:t>
      </w:r>
      <w:r>
        <w:rPr>
          <w:rFonts w:eastAsia="仿宋_GB2312"/>
          <w:bCs/>
          <w:sz w:val="32"/>
          <w:szCs w:val="32"/>
        </w:rPr>
        <w:t>万元，其中：基本支出</w:t>
      </w:r>
      <w:r>
        <w:rPr>
          <w:rFonts w:eastAsia="仿宋_GB2312"/>
          <w:bCs/>
          <w:sz w:val="32"/>
          <w:szCs w:val="32"/>
        </w:rPr>
        <w:t>191.46</w:t>
      </w:r>
      <w:r>
        <w:rPr>
          <w:rFonts w:eastAsia="仿宋_GB2312"/>
          <w:bCs/>
          <w:sz w:val="32"/>
          <w:szCs w:val="32"/>
        </w:rPr>
        <w:t>万元，占</w:t>
      </w:r>
      <w:r>
        <w:rPr>
          <w:rFonts w:eastAsia="仿宋_GB2312"/>
          <w:bCs/>
          <w:sz w:val="32"/>
          <w:szCs w:val="32"/>
        </w:rPr>
        <w:t>86.45%</w:t>
      </w:r>
      <w:r>
        <w:rPr>
          <w:rFonts w:eastAsia="仿宋_GB2312"/>
          <w:bCs/>
          <w:sz w:val="32"/>
          <w:szCs w:val="32"/>
        </w:rPr>
        <w:t>；项目支出</w:t>
      </w:r>
      <w:r>
        <w:rPr>
          <w:rFonts w:eastAsia="仿宋_GB2312"/>
          <w:bCs/>
          <w:sz w:val="32"/>
          <w:szCs w:val="32"/>
        </w:rPr>
        <w:t>30.00</w:t>
      </w:r>
      <w:r>
        <w:rPr>
          <w:rFonts w:eastAsia="仿宋_GB2312"/>
          <w:bCs/>
          <w:sz w:val="32"/>
          <w:szCs w:val="32"/>
        </w:rPr>
        <w:t>万元，占</w:t>
      </w:r>
      <w:r>
        <w:rPr>
          <w:rFonts w:eastAsia="仿宋_GB2312"/>
          <w:bCs/>
          <w:sz w:val="32"/>
          <w:szCs w:val="32"/>
        </w:rPr>
        <w:t>13.55%</w:t>
      </w:r>
      <w:r>
        <w:rPr>
          <w:rFonts w:eastAsia="仿宋_GB2312"/>
          <w:bCs/>
          <w:sz w:val="32"/>
          <w:szCs w:val="32"/>
        </w:rPr>
        <w:t>。</w:t>
      </w:r>
      <w:bookmarkEnd w:id="34"/>
    </w:p>
    <w:p w:rsidR="004E0AB4" w:rsidRDefault="00D63766">
      <w:pPr>
        <w:spacing w:line="600" w:lineRule="exact"/>
        <w:ind w:firstLineChars="200" w:firstLine="640"/>
        <w:outlineLvl w:val="1"/>
        <w:rPr>
          <w:rStyle w:val="2Char"/>
          <w:rFonts w:ascii="Times New Roman" w:eastAsia="黑体" w:hAnsi="Times New Roman" w:cs="Times New Roman"/>
          <w:b w:val="0"/>
        </w:rPr>
      </w:pPr>
      <w:bookmarkStart w:id="35" w:name="_Toc15396606"/>
      <w:bookmarkStart w:id="36" w:name="_Toc113010952"/>
      <w:bookmarkStart w:id="37" w:name="_Toc15377208"/>
      <w:r>
        <w:rPr>
          <w:rFonts w:eastAsia="黑体"/>
          <w:sz w:val="32"/>
          <w:szCs w:val="32"/>
        </w:rPr>
        <w:t>四、财</w:t>
      </w:r>
      <w:r>
        <w:rPr>
          <w:rStyle w:val="2Char"/>
          <w:rFonts w:ascii="Times New Roman" w:eastAsia="黑体" w:hAnsi="Times New Roman" w:cs="Times New Roman"/>
          <w:b w:val="0"/>
        </w:rPr>
        <w:t>政拨款收入支出决算总体情况说明</w:t>
      </w:r>
      <w:bookmarkEnd w:id="35"/>
      <w:bookmarkEnd w:id="36"/>
      <w:bookmarkEnd w:id="37"/>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年财政拨款收、支总计</w:t>
      </w:r>
      <w:r>
        <w:rPr>
          <w:rFonts w:eastAsia="仿宋_GB2312"/>
          <w:bCs/>
          <w:sz w:val="32"/>
          <w:szCs w:val="32"/>
        </w:rPr>
        <w:t>221.46</w:t>
      </w:r>
      <w:r>
        <w:rPr>
          <w:rFonts w:eastAsia="仿宋_GB2312"/>
          <w:bCs/>
          <w:sz w:val="32"/>
          <w:szCs w:val="32"/>
        </w:rPr>
        <w:t>万元。与</w:t>
      </w:r>
      <w:r>
        <w:rPr>
          <w:rFonts w:eastAsia="仿宋_GB2312"/>
          <w:bCs/>
          <w:sz w:val="32"/>
          <w:szCs w:val="32"/>
        </w:rPr>
        <w:t>2020</w:t>
      </w:r>
      <w:r>
        <w:rPr>
          <w:rFonts w:eastAsia="仿宋_GB2312"/>
          <w:bCs/>
          <w:sz w:val="32"/>
          <w:szCs w:val="32"/>
        </w:rPr>
        <w:t>年相比，财政拨款收、支总计各增加</w:t>
      </w:r>
      <w:r>
        <w:rPr>
          <w:rFonts w:eastAsia="仿宋_GB2312"/>
          <w:bCs/>
          <w:sz w:val="32"/>
          <w:szCs w:val="32"/>
        </w:rPr>
        <w:t>24.9</w:t>
      </w:r>
      <w:r>
        <w:rPr>
          <w:rFonts w:eastAsia="仿宋_GB2312" w:hint="eastAsia"/>
          <w:bCs/>
          <w:sz w:val="32"/>
          <w:szCs w:val="32"/>
        </w:rPr>
        <w:t>5</w:t>
      </w:r>
      <w:r>
        <w:rPr>
          <w:rFonts w:eastAsia="仿宋_GB2312"/>
          <w:bCs/>
          <w:sz w:val="32"/>
          <w:szCs w:val="32"/>
        </w:rPr>
        <w:t>万元，增长</w:t>
      </w:r>
      <w:r>
        <w:rPr>
          <w:rFonts w:eastAsia="仿宋_GB2312"/>
          <w:bCs/>
          <w:sz w:val="32"/>
          <w:szCs w:val="32"/>
        </w:rPr>
        <w:t>12.70%</w:t>
      </w:r>
      <w:r>
        <w:rPr>
          <w:rFonts w:eastAsia="仿宋_GB2312"/>
          <w:bCs/>
          <w:sz w:val="32"/>
          <w:szCs w:val="32"/>
        </w:rPr>
        <w:t>。主要变动原因是调资及新进人员等因素导致人员经费增加</w:t>
      </w:r>
      <w:r>
        <w:rPr>
          <w:rFonts w:eastAsia="仿宋_GB2312"/>
          <w:bCs/>
          <w:sz w:val="32"/>
          <w:szCs w:val="32"/>
        </w:rPr>
        <w:t>18.44</w:t>
      </w:r>
      <w:r>
        <w:rPr>
          <w:rFonts w:eastAsia="仿宋_GB2312"/>
          <w:bCs/>
          <w:sz w:val="32"/>
          <w:szCs w:val="32"/>
        </w:rPr>
        <w:t>万元。</w:t>
      </w:r>
    </w:p>
    <w:p w:rsidR="004E0AB4" w:rsidRDefault="00D63766">
      <w:pPr>
        <w:spacing w:line="600" w:lineRule="exact"/>
        <w:ind w:firstLine="640"/>
        <w:rPr>
          <w:rFonts w:eastAsia="仿宋"/>
          <w:sz w:val="32"/>
          <w:szCs w:val="32"/>
        </w:rPr>
      </w:pPr>
      <w:r>
        <w:rPr>
          <w:rFonts w:eastAsia="仿宋_GB2312"/>
          <w:bCs/>
          <w:noProof/>
          <w:sz w:val="32"/>
          <w:szCs w:val="32"/>
        </w:rPr>
        <w:drawing>
          <wp:anchor distT="0" distB="0" distL="114300" distR="114300" simplePos="0" relativeHeight="251662336" behindDoc="0" locked="0" layoutInCell="1" allowOverlap="1">
            <wp:simplePos x="0" y="0"/>
            <wp:positionH relativeFrom="column">
              <wp:posOffset>137160</wp:posOffset>
            </wp:positionH>
            <wp:positionV relativeFrom="paragraph">
              <wp:posOffset>183515</wp:posOffset>
            </wp:positionV>
            <wp:extent cx="5266055" cy="2273935"/>
            <wp:effectExtent l="4445" t="4445" r="6350" b="762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E0AB4" w:rsidRDefault="00D63766">
      <w:pPr>
        <w:spacing w:line="600" w:lineRule="exact"/>
        <w:ind w:firstLineChars="200" w:firstLine="640"/>
        <w:outlineLvl w:val="1"/>
        <w:rPr>
          <w:rStyle w:val="2Char"/>
          <w:rFonts w:ascii="Times New Roman" w:eastAsia="黑体" w:hAnsi="Times New Roman" w:cs="Times New Roman"/>
          <w:b w:val="0"/>
        </w:rPr>
      </w:pPr>
      <w:bookmarkStart w:id="38" w:name="_Toc15377209"/>
      <w:bookmarkStart w:id="39" w:name="_Toc113010953"/>
      <w:bookmarkStart w:id="40" w:name="_Toc15396607"/>
      <w:r>
        <w:rPr>
          <w:rFonts w:eastAsia="黑体"/>
          <w:sz w:val="32"/>
          <w:szCs w:val="32"/>
        </w:rPr>
        <w:lastRenderedPageBreak/>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38"/>
      <w:bookmarkEnd w:id="39"/>
      <w:bookmarkEnd w:id="40"/>
    </w:p>
    <w:p w:rsidR="004E0AB4" w:rsidRDefault="00D63766" w:rsidP="004E0AB4">
      <w:pPr>
        <w:spacing w:line="600" w:lineRule="exact"/>
        <w:ind w:firstLineChars="200" w:firstLine="643"/>
        <w:outlineLvl w:val="2"/>
        <w:rPr>
          <w:rFonts w:eastAsia="楷体_GB2312"/>
          <w:b/>
          <w:sz w:val="32"/>
          <w:szCs w:val="32"/>
        </w:rPr>
      </w:pPr>
      <w:bookmarkStart w:id="41" w:name="_Toc15377210"/>
      <w:bookmarkStart w:id="42" w:name="_Toc113010954"/>
      <w:r>
        <w:rPr>
          <w:rFonts w:eastAsia="楷体_GB2312"/>
          <w:b/>
          <w:sz w:val="32"/>
          <w:szCs w:val="32"/>
        </w:rPr>
        <w:t>（一）一般公共预算财政拨款支出决算总体情况</w:t>
      </w:r>
      <w:bookmarkEnd w:id="41"/>
      <w:bookmarkEnd w:id="42"/>
    </w:p>
    <w:p w:rsidR="004E0AB4" w:rsidRDefault="00D63766">
      <w:pPr>
        <w:snapToGrid w:val="0"/>
        <w:spacing w:line="560" w:lineRule="exact"/>
        <w:ind w:firstLineChars="200" w:firstLine="640"/>
        <w:rPr>
          <w:rFonts w:eastAsia="仿宋_GB2312"/>
          <w:bCs/>
          <w:sz w:val="32"/>
          <w:szCs w:val="32"/>
        </w:rPr>
      </w:pPr>
      <w:r>
        <w:rPr>
          <w:rFonts w:eastAsia="仿宋_GB2312"/>
          <w:bCs/>
          <w:noProof/>
          <w:sz w:val="32"/>
          <w:szCs w:val="32"/>
        </w:rPr>
        <w:drawing>
          <wp:anchor distT="0" distB="0" distL="114300" distR="114300" simplePos="0" relativeHeight="251663360" behindDoc="0" locked="0" layoutInCell="1" allowOverlap="1">
            <wp:simplePos x="0" y="0"/>
            <wp:positionH relativeFrom="column">
              <wp:posOffset>358775</wp:posOffset>
            </wp:positionH>
            <wp:positionV relativeFrom="paragraph">
              <wp:posOffset>1668145</wp:posOffset>
            </wp:positionV>
            <wp:extent cx="5266690" cy="2377440"/>
            <wp:effectExtent l="19050" t="0" r="10160" b="381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_GB2312"/>
          <w:bCs/>
          <w:sz w:val="32"/>
          <w:szCs w:val="32"/>
        </w:rPr>
        <w:t>2021</w:t>
      </w:r>
      <w:r>
        <w:rPr>
          <w:rFonts w:eastAsia="仿宋_GB2312"/>
          <w:bCs/>
          <w:sz w:val="32"/>
          <w:szCs w:val="32"/>
        </w:rPr>
        <w:t>年一般公共预算财政拨款支出</w:t>
      </w:r>
      <w:r>
        <w:rPr>
          <w:rFonts w:eastAsia="仿宋_GB2312"/>
          <w:bCs/>
          <w:sz w:val="32"/>
          <w:szCs w:val="32"/>
        </w:rPr>
        <w:t>221.46</w:t>
      </w:r>
      <w:r>
        <w:rPr>
          <w:rFonts w:eastAsia="仿宋_GB2312"/>
          <w:bCs/>
          <w:sz w:val="32"/>
          <w:szCs w:val="32"/>
        </w:rPr>
        <w:t>万元，占本年支出合计的</w:t>
      </w:r>
      <w:r>
        <w:rPr>
          <w:rFonts w:eastAsia="仿宋_GB2312"/>
          <w:bCs/>
          <w:sz w:val="32"/>
          <w:szCs w:val="32"/>
        </w:rPr>
        <w:t>100%</w:t>
      </w:r>
      <w:r>
        <w:rPr>
          <w:rFonts w:eastAsia="仿宋_GB2312"/>
          <w:bCs/>
          <w:sz w:val="32"/>
          <w:szCs w:val="32"/>
        </w:rPr>
        <w:t>。与</w:t>
      </w:r>
      <w:r>
        <w:rPr>
          <w:rFonts w:eastAsia="仿宋_GB2312"/>
          <w:bCs/>
          <w:sz w:val="32"/>
          <w:szCs w:val="32"/>
        </w:rPr>
        <w:t>2020</w:t>
      </w:r>
      <w:r>
        <w:rPr>
          <w:rFonts w:eastAsia="仿宋_GB2312"/>
          <w:bCs/>
          <w:sz w:val="32"/>
          <w:szCs w:val="32"/>
        </w:rPr>
        <w:t>年相比，一般公共预算财政拨款支出增加</w:t>
      </w:r>
      <w:r>
        <w:rPr>
          <w:rFonts w:eastAsia="仿宋_GB2312"/>
          <w:bCs/>
          <w:sz w:val="32"/>
          <w:szCs w:val="32"/>
        </w:rPr>
        <w:t>24.9</w:t>
      </w:r>
      <w:r>
        <w:rPr>
          <w:rFonts w:eastAsia="仿宋_GB2312" w:hint="eastAsia"/>
          <w:bCs/>
          <w:sz w:val="32"/>
          <w:szCs w:val="32"/>
        </w:rPr>
        <w:t>5</w:t>
      </w:r>
      <w:r>
        <w:rPr>
          <w:rFonts w:eastAsia="仿宋_GB2312"/>
          <w:bCs/>
          <w:sz w:val="32"/>
          <w:szCs w:val="32"/>
        </w:rPr>
        <w:t>万元，增长</w:t>
      </w:r>
      <w:r>
        <w:rPr>
          <w:rFonts w:eastAsia="仿宋_GB2312"/>
          <w:bCs/>
          <w:sz w:val="32"/>
          <w:szCs w:val="32"/>
        </w:rPr>
        <w:t>12.70%%</w:t>
      </w:r>
      <w:r>
        <w:rPr>
          <w:rFonts w:eastAsia="仿宋_GB2312"/>
          <w:bCs/>
          <w:sz w:val="32"/>
          <w:szCs w:val="32"/>
        </w:rPr>
        <w:t>。主要变动原因是调资及新进人员等因素导致人员经费增加</w:t>
      </w:r>
      <w:r>
        <w:rPr>
          <w:rFonts w:eastAsia="仿宋_GB2312"/>
          <w:bCs/>
          <w:sz w:val="32"/>
          <w:szCs w:val="32"/>
        </w:rPr>
        <w:t>18.44</w:t>
      </w:r>
      <w:r>
        <w:rPr>
          <w:rFonts w:eastAsia="仿宋_GB2312"/>
          <w:bCs/>
          <w:sz w:val="32"/>
          <w:szCs w:val="32"/>
        </w:rPr>
        <w:t>万元。</w:t>
      </w:r>
      <w:r>
        <w:rPr>
          <w:rFonts w:eastAsia="仿宋_GB2312"/>
          <w:bCs/>
          <w:sz w:val="32"/>
          <w:szCs w:val="32"/>
        </w:rPr>
        <w:t xml:space="preserve"> </w:t>
      </w:r>
    </w:p>
    <w:p w:rsidR="004E0AB4" w:rsidRDefault="00D63766" w:rsidP="004E0AB4">
      <w:pPr>
        <w:spacing w:line="600" w:lineRule="exact"/>
        <w:ind w:firstLineChars="200" w:firstLine="643"/>
        <w:outlineLvl w:val="2"/>
        <w:rPr>
          <w:rFonts w:eastAsia="楷体_GB2312"/>
          <w:b/>
          <w:sz w:val="32"/>
          <w:szCs w:val="32"/>
        </w:rPr>
      </w:pPr>
      <w:bookmarkStart w:id="43" w:name="_Toc15377211"/>
      <w:bookmarkStart w:id="44" w:name="_Toc113010955"/>
      <w:r>
        <w:rPr>
          <w:rFonts w:eastAsia="楷体_GB2312"/>
          <w:b/>
          <w:sz w:val="32"/>
          <w:szCs w:val="32"/>
        </w:rPr>
        <w:t>（二）一般公共预算财政拨款支出决算结构情况</w:t>
      </w:r>
      <w:bookmarkEnd w:id="43"/>
      <w:bookmarkEnd w:id="44"/>
    </w:p>
    <w:p w:rsidR="004E0AB4" w:rsidRDefault="00D63766">
      <w:pPr>
        <w:spacing w:line="600" w:lineRule="exact"/>
        <w:ind w:firstLine="640"/>
        <w:rPr>
          <w:rFonts w:eastAsia="仿宋"/>
          <w:sz w:val="32"/>
          <w:szCs w:val="32"/>
        </w:rPr>
      </w:pPr>
      <w:r>
        <w:rPr>
          <w:rFonts w:eastAsia="仿宋_GB2312"/>
          <w:bCs/>
          <w:sz w:val="32"/>
          <w:szCs w:val="32"/>
        </w:rPr>
        <w:t>2021</w:t>
      </w:r>
      <w:r>
        <w:rPr>
          <w:rFonts w:eastAsia="仿宋_GB2312"/>
          <w:bCs/>
          <w:sz w:val="32"/>
          <w:szCs w:val="32"/>
        </w:rPr>
        <w:t>年一般公共预算财政拨款支出</w:t>
      </w:r>
      <w:r>
        <w:rPr>
          <w:rFonts w:eastAsia="仿宋_GB2312"/>
          <w:bCs/>
          <w:sz w:val="32"/>
          <w:szCs w:val="32"/>
        </w:rPr>
        <w:t>221.46</w:t>
      </w:r>
      <w:r>
        <w:rPr>
          <w:rFonts w:eastAsia="仿宋_GB2312"/>
          <w:bCs/>
          <w:sz w:val="32"/>
          <w:szCs w:val="32"/>
        </w:rPr>
        <w:t>万元，主要用于以下方面</w:t>
      </w:r>
      <w:r>
        <w:rPr>
          <w:rFonts w:eastAsia="仿宋_GB2312"/>
          <w:bCs/>
          <w:sz w:val="32"/>
          <w:szCs w:val="32"/>
        </w:rPr>
        <w:t>:</w:t>
      </w:r>
      <w:r>
        <w:rPr>
          <w:rFonts w:eastAsia="仿宋"/>
          <w:b/>
          <w:sz w:val="32"/>
          <w:szCs w:val="32"/>
        </w:rPr>
        <w:t>一般公共服务（类）</w:t>
      </w:r>
      <w:r>
        <w:rPr>
          <w:rFonts w:eastAsia="仿宋"/>
          <w:sz w:val="32"/>
          <w:szCs w:val="32"/>
        </w:rPr>
        <w:t>支出</w:t>
      </w:r>
      <w:r>
        <w:rPr>
          <w:rFonts w:eastAsia="仿宋"/>
          <w:sz w:val="32"/>
          <w:szCs w:val="32"/>
        </w:rPr>
        <w:t>180.31</w:t>
      </w:r>
      <w:r>
        <w:rPr>
          <w:rFonts w:eastAsia="仿宋"/>
          <w:sz w:val="32"/>
          <w:szCs w:val="32"/>
        </w:rPr>
        <w:t>万元，占</w:t>
      </w:r>
      <w:r>
        <w:rPr>
          <w:rFonts w:eastAsia="仿宋"/>
          <w:sz w:val="32"/>
          <w:szCs w:val="32"/>
        </w:rPr>
        <w:t>81.42%</w:t>
      </w:r>
      <w:r>
        <w:rPr>
          <w:rFonts w:eastAsia="仿宋"/>
          <w:sz w:val="32"/>
          <w:szCs w:val="32"/>
        </w:rPr>
        <w:t>；</w:t>
      </w:r>
      <w:r>
        <w:rPr>
          <w:rFonts w:eastAsia="仿宋"/>
          <w:b/>
          <w:sz w:val="32"/>
          <w:szCs w:val="32"/>
        </w:rPr>
        <w:t>社会保障和就业（类）</w:t>
      </w:r>
      <w:r>
        <w:rPr>
          <w:rFonts w:eastAsia="仿宋"/>
          <w:sz w:val="32"/>
          <w:szCs w:val="32"/>
        </w:rPr>
        <w:t>支出</w:t>
      </w:r>
      <w:r>
        <w:rPr>
          <w:rFonts w:eastAsia="仿宋"/>
          <w:sz w:val="32"/>
          <w:szCs w:val="32"/>
        </w:rPr>
        <w:t>13.53</w:t>
      </w:r>
      <w:r>
        <w:rPr>
          <w:rFonts w:eastAsia="仿宋"/>
          <w:sz w:val="32"/>
          <w:szCs w:val="32"/>
        </w:rPr>
        <w:t>万元，占</w:t>
      </w:r>
      <w:r>
        <w:rPr>
          <w:rFonts w:eastAsia="仿宋"/>
          <w:sz w:val="32"/>
          <w:szCs w:val="32"/>
        </w:rPr>
        <w:t>6.11%</w:t>
      </w:r>
      <w:r>
        <w:rPr>
          <w:rFonts w:eastAsia="仿宋"/>
          <w:sz w:val="32"/>
          <w:szCs w:val="32"/>
        </w:rPr>
        <w:t>；</w:t>
      </w:r>
      <w:r>
        <w:rPr>
          <w:rFonts w:eastAsia="仿宋"/>
          <w:b/>
          <w:bCs/>
          <w:sz w:val="32"/>
          <w:szCs w:val="32"/>
        </w:rPr>
        <w:t>卫生健康支出</w:t>
      </w:r>
      <w:r>
        <w:rPr>
          <w:rFonts w:eastAsia="仿宋"/>
          <w:sz w:val="32"/>
          <w:szCs w:val="32"/>
        </w:rPr>
        <w:t>7.02</w:t>
      </w:r>
      <w:r>
        <w:rPr>
          <w:rFonts w:eastAsia="仿宋"/>
          <w:sz w:val="32"/>
          <w:szCs w:val="32"/>
        </w:rPr>
        <w:t>万元，占</w:t>
      </w:r>
      <w:r>
        <w:rPr>
          <w:rFonts w:eastAsia="仿宋"/>
          <w:sz w:val="32"/>
          <w:szCs w:val="32"/>
        </w:rPr>
        <w:t>3.17%</w:t>
      </w:r>
      <w:r>
        <w:rPr>
          <w:rFonts w:eastAsia="仿宋"/>
          <w:sz w:val="32"/>
          <w:szCs w:val="32"/>
        </w:rPr>
        <w:t>；</w:t>
      </w:r>
      <w:r>
        <w:rPr>
          <w:rFonts w:eastAsia="仿宋"/>
          <w:b/>
          <w:sz w:val="32"/>
          <w:szCs w:val="32"/>
        </w:rPr>
        <w:t>住房保障</w:t>
      </w:r>
      <w:r>
        <w:rPr>
          <w:rFonts w:eastAsia="仿宋"/>
          <w:sz w:val="32"/>
          <w:szCs w:val="32"/>
        </w:rPr>
        <w:t>支出</w:t>
      </w:r>
      <w:r>
        <w:rPr>
          <w:rFonts w:eastAsia="仿宋"/>
          <w:sz w:val="32"/>
          <w:szCs w:val="32"/>
        </w:rPr>
        <w:t>20.60</w:t>
      </w:r>
      <w:r>
        <w:rPr>
          <w:rFonts w:eastAsia="仿宋"/>
          <w:sz w:val="32"/>
          <w:szCs w:val="32"/>
        </w:rPr>
        <w:t>万元，占</w:t>
      </w:r>
      <w:r>
        <w:rPr>
          <w:rFonts w:eastAsia="仿宋"/>
          <w:sz w:val="32"/>
          <w:szCs w:val="32"/>
        </w:rPr>
        <w:t>9.30%</w:t>
      </w:r>
      <w:r>
        <w:rPr>
          <w:rFonts w:eastAsia="仿宋"/>
          <w:sz w:val="32"/>
          <w:szCs w:val="32"/>
        </w:rPr>
        <w:t>。</w:t>
      </w:r>
    </w:p>
    <w:p w:rsidR="004E0AB4" w:rsidRDefault="00D63766">
      <w:pPr>
        <w:pStyle w:val="a4"/>
        <w:spacing w:before="93"/>
        <w:rPr>
          <w:rFonts w:ascii="Times New Roman"/>
        </w:rPr>
      </w:pPr>
      <w:r>
        <w:rPr>
          <w:rFonts w:ascii="Times New Roman"/>
          <w:noProof/>
        </w:rPr>
        <w:lastRenderedPageBreak/>
        <w:drawing>
          <wp:anchor distT="0" distB="0" distL="114300" distR="114300" simplePos="0" relativeHeight="251664384" behindDoc="0" locked="0" layoutInCell="1" allowOverlap="1">
            <wp:simplePos x="0" y="0"/>
            <wp:positionH relativeFrom="column">
              <wp:posOffset>234950</wp:posOffset>
            </wp:positionH>
            <wp:positionV relativeFrom="paragraph">
              <wp:posOffset>139700</wp:posOffset>
            </wp:positionV>
            <wp:extent cx="4715510" cy="2743200"/>
            <wp:effectExtent l="19050" t="0" r="27940" b="0"/>
            <wp:wrapTopAndBottom/>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E0AB4" w:rsidRDefault="00D63766" w:rsidP="004E0AB4">
      <w:pPr>
        <w:spacing w:line="600" w:lineRule="exact"/>
        <w:ind w:firstLineChars="200" w:firstLine="643"/>
        <w:outlineLvl w:val="2"/>
        <w:rPr>
          <w:rFonts w:eastAsia="楷体_GB2312"/>
          <w:b/>
          <w:sz w:val="32"/>
          <w:szCs w:val="32"/>
        </w:rPr>
      </w:pPr>
      <w:bookmarkStart w:id="45" w:name="_Toc113010956"/>
      <w:bookmarkStart w:id="46" w:name="_Toc15377212"/>
      <w:r>
        <w:rPr>
          <w:rFonts w:eastAsia="楷体_GB2312"/>
          <w:b/>
          <w:sz w:val="32"/>
          <w:szCs w:val="32"/>
        </w:rPr>
        <w:t>（三）一般公共预算财政拨款支出决算具体情况</w:t>
      </w:r>
      <w:bookmarkEnd w:id="45"/>
      <w:bookmarkEnd w:id="46"/>
    </w:p>
    <w:p w:rsidR="004E0AB4" w:rsidRDefault="00D63766" w:rsidP="004E0AB4">
      <w:pPr>
        <w:spacing w:line="600" w:lineRule="exact"/>
        <w:ind w:firstLineChars="200" w:firstLine="643"/>
        <w:outlineLvl w:val="2"/>
        <w:rPr>
          <w:rFonts w:eastAsia="仿宋"/>
          <w:sz w:val="32"/>
          <w:szCs w:val="32"/>
        </w:rPr>
      </w:pPr>
      <w:bookmarkStart w:id="47" w:name="_Toc15377213"/>
      <w:bookmarkStart w:id="48" w:name="_Toc15378460"/>
      <w:bookmarkStart w:id="49" w:name="_Toc15377444"/>
      <w:bookmarkStart w:id="50" w:name="_Toc113010957"/>
      <w:r>
        <w:rPr>
          <w:rFonts w:eastAsia="仿宋"/>
          <w:b/>
          <w:sz w:val="32"/>
          <w:szCs w:val="32"/>
        </w:rPr>
        <w:t>2021</w:t>
      </w:r>
      <w:r>
        <w:rPr>
          <w:rFonts w:eastAsia="仿宋"/>
          <w:b/>
          <w:sz w:val="32"/>
          <w:szCs w:val="32"/>
        </w:rPr>
        <w:t>年一般公共预算支出决算数为</w:t>
      </w:r>
      <w:r>
        <w:rPr>
          <w:rFonts w:eastAsia="仿宋"/>
          <w:b/>
          <w:sz w:val="32"/>
          <w:szCs w:val="32"/>
        </w:rPr>
        <w:t>221.46</w:t>
      </w:r>
      <w:r>
        <w:rPr>
          <w:rFonts w:eastAsia="仿宋" w:hint="eastAsia"/>
          <w:b/>
          <w:sz w:val="32"/>
          <w:szCs w:val="32"/>
        </w:rPr>
        <w:t>万元</w:t>
      </w:r>
      <w:r>
        <w:rPr>
          <w:rFonts w:eastAsia="仿宋"/>
          <w:sz w:val="32"/>
          <w:szCs w:val="32"/>
        </w:rPr>
        <w:t>，</w:t>
      </w:r>
      <w:r>
        <w:rPr>
          <w:rStyle w:val="a8"/>
          <w:rFonts w:eastAsia="仿宋"/>
          <w:bCs/>
          <w:sz w:val="32"/>
          <w:szCs w:val="32"/>
        </w:rPr>
        <w:t>完成预算</w:t>
      </w:r>
      <w:r>
        <w:rPr>
          <w:rStyle w:val="a8"/>
          <w:rFonts w:eastAsia="仿宋"/>
          <w:bCs/>
          <w:sz w:val="32"/>
          <w:szCs w:val="32"/>
        </w:rPr>
        <w:t>100%</w:t>
      </w:r>
      <w:r>
        <w:rPr>
          <w:rStyle w:val="a8"/>
          <w:rFonts w:eastAsia="仿宋"/>
          <w:bCs/>
          <w:sz w:val="32"/>
          <w:szCs w:val="32"/>
        </w:rPr>
        <w:t>。其中：</w:t>
      </w:r>
      <w:bookmarkEnd w:id="47"/>
      <w:bookmarkEnd w:id="48"/>
      <w:bookmarkEnd w:id="49"/>
      <w:bookmarkEnd w:id="50"/>
    </w:p>
    <w:p w:rsidR="004E0AB4" w:rsidRDefault="00D63766" w:rsidP="004E0AB4">
      <w:pPr>
        <w:spacing w:line="600" w:lineRule="exact"/>
        <w:ind w:firstLineChars="200" w:firstLine="643"/>
        <w:rPr>
          <w:rFonts w:eastAsia="仿宋_GB2312"/>
          <w:bCs/>
          <w:sz w:val="32"/>
          <w:szCs w:val="32"/>
        </w:rPr>
      </w:pPr>
      <w:r>
        <w:rPr>
          <w:rFonts w:eastAsia="仿宋"/>
          <w:b/>
          <w:bCs/>
          <w:sz w:val="32"/>
          <w:szCs w:val="32"/>
        </w:rPr>
        <w:t>1.</w:t>
      </w:r>
      <w:r>
        <w:rPr>
          <w:rFonts w:eastAsia="仿宋"/>
          <w:b/>
          <w:bCs/>
          <w:sz w:val="32"/>
          <w:szCs w:val="32"/>
        </w:rPr>
        <w:t>一般公共服务支出（类）发展与改革事务（款）行政运行（项）</w:t>
      </w:r>
      <w:r>
        <w:rPr>
          <w:rFonts w:eastAsia="仿宋"/>
          <w:b/>
          <w:bCs/>
          <w:sz w:val="32"/>
          <w:szCs w:val="32"/>
        </w:rPr>
        <w:t>:</w:t>
      </w:r>
      <w:r>
        <w:rPr>
          <w:rFonts w:eastAsia="仿宋_GB2312"/>
          <w:bCs/>
          <w:sz w:val="32"/>
          <w:szCs w:val="32"/>
        </w:rPr>
        <w:t>支出决算为</w:t>
      </w:r>
      <w:r>
        <w:rPr>
          <w:rFonts w:eastAsia="仿宋_GB2312"/>
          <w:bCs/>
          <w:sz w:val="32"/>
          <w:szCs w:val="32"/>
        </w:rPr>
        <w:t>90.02</w:t>
      </w:r>
      <w:r>
        <w:rPr>
          <w:rFonts w:eastAsia="仿宋_GB2312"/>
          <w:bCs/>
          <w:sz w:val="32"/>
          <w:szCs w:val="32"/>
        </w:rPr>
        <w:t>万元，完成预算</w:t>
      </w:r>
      <w:r>
        <w:rPr>
          <w:rFonts w:eastAsia="仿宋_GB2312"/>
          <w:bCs/>
          <w:sz w:val="32"/>
          <w:szCs w:val="32"/>
        </w:rPr>
        <w:t>100%</w:t>
      </w:r>
      <w:r>
        <w:rPr>
          <w:rFonts w:eastAsia="仿宋_GB2312"/>
          <w:bCs/>
          <w:sz w:val="32"/>
          <w:szCs w:val="32"/>
        </w:rPr>
        <w:t>，决算数等于预算数。</w:t>
      </w:r>
    </w:p>
    <w:p w:rsidR="004E0AB4" w:rsidRDefault="00D63766" w:rsidP="004E0AB4">
      <w:pPr>
        <w:spacing w:line="600" w:lineRule="exact"/>
        <w:ind w:firstLineChars="200" w:firstLine="643"/>
        <w:rPr>
          <w:rFonts w:eastAsia="仿宋"/>
          <w:b/>
          <w:bCs/>
          <w:sz w:val="32"/>
          <w:szCs w:val="32"/>
        </w:rPr>
      </w:pPr>
      <w:r>
        <w:rPr>
          <w:rFonts w:eastAsia="仿宋"/>
          <w:b/>
          <w:bCs/>
          <w:sz w:val="32"/>
          <w:szCs w:val="32"/>
        </w:rPr>
        <w:t>2.</w:t>
      </w:r>
      <w:r>
        <w:rPr>
          <w:rFonts w:eastAsia="仿宋"/>
          <w:b/>
          <w:bCs/>
          <w:sz w:val="32"/>
          <w:szCs w:val="32"/>
        </w:rPr>
        <w:t>一般公共服务支出（类）发展与改革事务（款）一般行政管理事务（项）</w:t>
      </w:r>
      <w:r>
        <w:rPr>
          <w:rFonts w:eastAsia="仿宋"/>
          <w:b/>
          <w:bCs/>
          <w:sz w:val="32"/>
          <w:szCs w:val="32"/>
        </w:rPr>
        <w:t>:</w:t>
      </w:r>
      <w:r>
        <w:rPr>
          <w:rFonts w:eastAsia="仿宋"/>
          <w:bCs/>
          <w:sz w:val="32"/>
          <w:szCs w:val="32"/>
        </w:rPr>
        <w:t>支出决算为</w:t>
      </w:r>
      <w:r>
        <w:rPr>
          <w:rFonts w:eastAsia="仿宋"/>
          <w:bCs/>
          <w:sz w:val="32"/>
          <w:szCs w:val="32"/>
        </w:rPr>
        <w:t>90.29</w:t>
      </w:r>
      <w:r>
        <w:rPr>
          <w:rFonts w:eastAsia="仿宋"/>
          <w:bCs/>
          <w:sz w:val="32"/>
          <w:szCs w:val="32"/>
        </w:rPr>
        <w:t>万元，完成预算</w:t>
      </w:r>
      <w:r>
        <w:rPr>
          <w:rFonts w:eastAsia="仿宋"/>
          <w:bCs/>
          <w:sz w:val="32"/>
          <w:szCs w:val="32"/>
        </w:rPr>
        <w:t>100%</w:t>
      </w:r>
      <w:r>
        <w:rPr>
          <w:rFonts w:eastAsia="仿宋"/>
          <w:bCs/>
          <w:sz w:val="32"/>
          <w:szCs w:val="32"/>
        </w:rPr>
        <w:t>，决算数等于预算数。</w:t>
      </w:r>
    </w:p>
    <w:p w:rsidR="004E0AB4" w:rsidRDefault="00D63766" w:rsidP="004E0AB4">
      <w:pPr>
        <w:spacing w:line="600" w:lineRule="exact"/>
        <w:ind w:firstLineChars="200" w:firstLine="643"/>
        <w:rPr>
          <w:rFonts w:eastAsia="仿宋"/>
          <w:b/>
          <w:bCs/>
          <w:sz w:val="32"/>
          <w:szCs w:val="32"/>
        </w:rPr>
      </w:pPr>
      <w:r>
        <w:rPr>
          <w:rFonts w:eastAsia="仿宋"/>
          <w:b/>
          <w:bCs/>
          <w:sz w:val="32"/>
          <w:szCs w:val="32"/>
        </w:rPr>
        <w:t>3.</w:t>
      </w:r>
      <w:r>
        <w:rPr>
          <w:rFonts w:eastAsia="仿宋"/>
          <w:b/>
          <w:bCs/>
          <w:sz w:val="32"/>
          <w:szCs w:val="32"/>
        </w:rPr>
        <w:t>社会保障和就业支出（类）行政事业单位养老支出（款）行政单位离退休（项）</w:t>
      </w:r>
      <w:r>
        <w:rPr>
          <w:rFonts w:eastAsia="仿宋"/>
          <w:b/>
          <w:bCs/>
          <w:sz w:val="32"/>
          <w:szCs w:val="32"/>
        </w:rPr>
        <w:t>:</w:t>
      </w:r>
      <w:r>
        <w:rPr>
          <w:rFonts w:eastAsia="仿宋"/>
          <w:bCs/>
          <w:sz w:val="32"/>
          <w:szCs w:val="32"/>
        </w:rPr>
        <w:t>支出决算为</w:t>
      </w:r>
      <w:r>
        <w:rPr>
          <w:rFonts w:eastAsia="仿宋"/>
          <w:bCs/>
          <w:sz w:val="32"/>
          <w:szCs w:val="32"/>
        </w:rPr>
        <w:t>6.</w:t>
      </w:r>
      <w:r>
        <w:rPr>
          <w:rFonts w:eastAsia="仿宋"/>
          <w:bCs/>
          <w:sz w:val="32"/>
          <w:szCs w:val="32"/>
        </w:rPr>
        <w:t>74</w:t>
      </w:r>
      <w:r>
        <w:rPr>
          <w:rFonts w:eastAsia="仿宋"/>
          <w:bCs/>
          <w:sz w:val="32"/>
          <w:szCs w:val="32"/>
        </w:rPr>
        <w:t>万元，完成预算</w:t>
      </w:r>
      <w:r>
        <w:rPr>
          <w:rFonts w:eastAsia="仿宋"/>
          <w:bCs/>
          <w:sz w:val="32"/>
          <w:szCs w:val="32"/>
        </w:rPr>
        <w:t>100%</w:t>
      </w:r>
      <w:r>
        <w:rPr>
          <w:rFonts w:eastAsia="仿宋"/>
          <w:bCs/>
          <w:sz w:val="32"/>
          <w:szCs w:val="32"/>
        </w:rPr>
        <w:t>，决算数等于预算数。</w:t>
      </w:r>
    </w:p>
    <w:p w:rsidR="004E0AB4" w:rsidRDefault="00D63766" w:rsidP="004E0AB4">
      <w:pPr>
        <w:spacing w:line="600" w:lineRule="exact"/>
        <w:ind w:firstLineChars="200" w:firstLine="643"/>
        <w:rPr>
          <w:rFonts w:eastAsia="仿宋"/>
          <w:bCs/>
          <w:sz w:val="32"/>
          <w:szCs w:val="32"/>
        </w:rPr>
      </w:pPr>
      <w:r>
        <w:rPr>
          <w:rFonts w:eastAsia="仿宋"/>
          <w:b/>
          <w:bCs/>
          <w:sz w:val="32"/>
          <w:szCs w:val="32"/>
        </w:rPr>
        <w:t>4.</w:t>
      </w:r>
      <w:r>
        <w:rPr>
          <w:rFonts w:eastAsia="仿宋"/>
          <w:b/>
          <w:bCs/>
          <w:sz w:val="32"/>
          <w:szCs w:val="32"/>
        </w:rPr>
        <w:t>社会保障和就业支出（类）行政事业单位养老支出（款）机关事业单位基本养老保险缴费支出（项）</w:t>
      </w:r>
      <w:r>
        <w:rPr>
          <w:rFonts w:eastAsia="仿宋"/>
          <w:b/>
          <w:bCs/>
          <w:sz w:val="32"/>
          <w:szCs w:val="32"/>
        </w:rPr>
        <w:t>:</w:t>
      </w:r>
      <w:r>
        <w:rPr>
          <w:rFonts w:eastAsia="仿宋"/>
          <w:bCs/>
          <w:sz w:val="32"/>
          <w:szCs w:val="32"/>
        </w:rPr>
        <w:t>支出决算为</w:t>
      </w:r>
      <w:r>
        <w:rPr>
          <w:rFonts w:eastAsia="仿宋"/>
          <w:bCs/>
          <w:sz w:val="32"/>
          <w:szCs w:val="32"/>
        </w:rPr>
        <w:t>6.79</w:t>
      </w:r>
      <w:r>
        <w:rPr>
          <w:rFonts w:eastAsia="仿宋"/>
          <w:bCs/>
          <w:sz w:val="32"/>
          <w:szCs w:val="32"/>
        </w:rPr>
        <w:lastRenderedPageBreak/>
        <w:t>元，完成预算</w:t>
      </w:r>
      <w:r>
        <w:rPr>
          <w:rFonts w:eastAsia="仿宋"/>
          <w:bCs/>
          <w:sz w:val="32"/>
          <w:szCs w:val="32"/>
        </w:rPr>
        <w:t>100%</w:t>
      </w:r>
      <w:r>
        <w:rPr>
          <w:rFonts w:eastAsia="仿宋"/>
          <w:bCs/>
          <w:sz w:val="32"/>
          <w:szCs w:val="32"/>
        </w:rPr>
        <w:t>，决算数等于预算数。</w:t>
      </w:r>
    </w:p>
    <w:p w:rsidR="004E0AB4" w:rsidRDefault="00D63766" w:rsidP="004E0AB4">
      <w:pPr>
        <w:spacing w:line="600" w:lineRule="exact"/>
        <w:ind w:firstLineChars="200" w:firstLine="643"/>
        <w:rPr>
          <w:rFonts w:eastAsia="仿宋"/>
          <w:b/>
          <w:bCs/>
          <w:sz w:val="32"/>
          <w:szCs w:val="32"/>
        </w:rPr>
      </w:pPr>
      <w:r>
        <w:rPr>
          <w:rFonts w:eastAsia="仿宋"/>
          <w:b/>
          <w:bCs/>
          <w:sz w:val="32"/>
          <w:szCs w:val="32"/>
        </w:rPr>
        <w:t>5.</w:t>
      </w:r>
      <w:r>
        <w:rPr>
          <w:rFonts w:eastAsia="仿宋"/>
          <w:b/>
          <w:bCs/>
          <w:sz w:val="32"/>
          <w:szCs w:val="32"/>
        </w:rPr>
        <w:t>卫生健康（类）行政事业单位医疗（款）行政单位医疗（项）</w:t>
      </w:r>
      <w:r>
        <w:rPr>
          <w:rFonts w:eastAsia="仿宋"/>
          <w:b/>
          <w:bCs/>
          <w:sz w:val="32"/>
          <w:szCs w:val="32"/>
        </w:rPr>
        <w:t>:</w:t>
      </w:r>
      <w:r>
        <w:rPr>
          <w:rFonts w:eastAsia="仿宋"/>
          <w:bCs/>
          <w:sz w:val="32"/>
          <w:szCs w:val="32"/>
        </w:rPr>
        <w:t>支出决算为</w:t>
      </w:r>
      <w:r>
        <w:rPr>
          <w:rFonts w:eastAsia="仿宋"/>
          <w:bCs/>
          <w:sz w:val="32"/>
          <w:szCs w:val="32"/>
        </w:rPr>
        <w:t>5.55</w:t>
      </w:r>
      <w:r>
        <w:rPr>
          <w:rFonts w:eastAsia="仿宋"/>
          <w:bCs/>
          <w:sz w:val="32"/>
          <w:szCs w:val="32"/>
        </w:rPr>
        <w:t>万元，完成预算</w:t>
      </w:r>
      <w:r>
        <w:rPr>
          <w:rFonts w:eastAsia="仿宋"/>
          <w:bCs/>
          <w:sz w:val="32"/>
          <w:szCs w:val="32"/>
        </w:rPr>
        <w:t>100%</w:t>
      </w:r>
      <w:r>
        <w:rPr>
          <w:rFonts w:eastAsia="仿宋"/>
          <w:bCs/>
          <w:sz w:val="32"/>
          <w:szCs w:val="32"/>
        </w:rPr>
        <w:t>，决算数等于预算数。</w:t>
      </w:r>
    </w:p>
    <w:p w:rsidR="004E0AB4" w:rsidRDefault="00D63766" w:rsidP="004E0AB4">
      <w:pPr>
        <w:spacing w:line="600" w:lineRule="exact"/>
        <w:ind w:firstLineChars="200" w:firstLine="643"/>
        <w:rPr>
          <w:rFonts w:eastAsia="仿宋"/>
          <w:b/>
          <w:bCs/>
          <w:sz w:val="32"/>
          <w:szCs w:val="32"/>
        </w:rPr>
      </w:pPr>
      <w:r>
        <w:rPr>
          <w:rFonts w:eastAsia="仿宋"/>
          <w:b/>
          <w:bCs/>
          <w:sz w:val="32"/>
          <w:szCs w:val="32"/>
        </w:rPr>
        <w:t>6.</w:t>
      </w:r>
      <w:r>
        <w:rPr>
          <w:rFonts w:eastAsia="仿宋"/>
          <w:b/>
          <w:bCs/>
          <w:sz w:val="32"/>
          <w:szCs w:val="32"/>
        </w:rPr>
        <w:t>卫生健康（类）行政事业单位医疗（款）公务员医疗补助（项）</w:t>
      </w:r>
      <w:r>
        <w:rPr>
          <w:rFonts w:eastAsia="仿宋"/>
          <w:b/>
          <w:bCs/>
          <w:sz w:val="32"/>
          <w:szCs w:val="32"/>
        </w:rPr>
        <w:t>:</w:t>
      </w:r>
      <w:r>
        <w:rPr>
          <w:rFonts w:eastAsia="仿宋"/>
          <w:bCs/>
          <w:sz w:val="32"/>
          <w:szCs w:val="32"/>
        </w:rPr>
        <w:t>支出决算为</w:t>
      </w:r>
      <w:r>
        <w:rPr>
          <w:rFonts w:eastAsia="仿宋"/>
          <w:bCs/>
          <w:sz w:val="32"/>
          <w:szCs w:val="32"/>
        </w:rPr>
        <w:t>1.47</w:t>
      </w:r>
      <w:r>
        <w:rPr>
          <w:rFonts w:eastAsia="仿宋"/>
          <w:bCs/>
          <w:sz w:val="32"/>
          <w:szCs w:val="32"/>
        </w:rPr>
        <w:t>万元，完成预算</w:t>
      </w:r>
      <w:r>
        <w:rPr>
          <w:rFonts w:eastAsia="仿宋"/>
          <w:bCs/>
          <w:sz w:val="32"/>
          <w:szCs w:val="32"/>
        </w:rPr>
        <w:t>100%</w:t>
      </w:r>
      <w:r>
        <w:rPr>
          <w:rFonts w:eastAsia="仿宋"/>
          <w:bCs/>
          <w:sz w:val="32"/>
          <w:szCs w:val="32"/>
        </w:rPr>
        <w:t>，决算数等于预算数。</w:t>
      </w:r>
    </w:p>
    <w:p w:rsidR="004E0AB4" w:rsidRDefault="00D63766" w:rsidP="004E0AB4">
      <w:pPr>
        <w:spacing w:line="600" w:lineRule="exact"/>
        <w:ind w:firstLineChars="200" w:firstLine="643"/>
        <w:rPr>
          <w:rFonts w:eastAsia="仿宋"/>
          <w:b/>
          <w:bCs/>
          <w:sz w:val="32"/>
          <w:szCs w:val="32"/>
        </w:rPr>
      </w:pPr>
      <w:r>
        <w:rPr>
          <w:rFonts w:eastAsia="仿宋"/>
          <w:b/>
          <w:bCs/>
          <w:sz w:val="32"/>
          <w:szCs w:val="32"/>
        </w:rPr>
        <w:t>7.</w:t>
      </w:r>
      <w:r>
        <w:rPr>
          <w:rFonts w:eastAsia="仿宋"/>
          <w:b/>
          <w:bCs/>
          <w:sz w:val="32"/>
          <w:szCs w:val="32"/>
        </w:rPr>
        <w:t>住房保障支出（类）住房改革支出（款）住房公积金（项）</w:t>
      </w:r>
      <w:r>
        <w:rPr>
          <w:rFonts w:eastAsia="仿宋"/>
          <w:b/>
          <w:bCs/>
          <w:sz w:val="32"/>
          <w:szCs w:val="32"/>
        </w:rPr>
        <w:t>:</w:t>
      </w:r>
      <w:r>
        <w:rPr>
          <w:rFonts w:eastAsia="仿宋"/>
          <w:bCs/>
          <w:sz w:val="32"/>
          <w:szCs w:val="32"/>
        </w:rPr>
        <w:t>支出决</w:t>
      </w:r>
      <w:r>
        <w:rPr>
          <w:rFonts w:eastAsia="仿宋"/>
          <w:bCs/>
          <w:sz w:val="32"/>
          <w:szCs w:val="32"/>
        </w:rPr>
        <w:t>算为</w:t>
      </w:r>
      <w:r>
        <w:rPr>
          <w:rFonts w:eastAsia="仿宋"/>
          <w:bCs/>
          <w:sz w:val="32"/>
          <w:szCs w:val="32"/>
        </w:rPr>
        <w:t>7.09</w:t>
      </w:r>
      <w:r>
        <w:rPr>
          <w:rFonts w:eastAsia="仿宋"/>
          <w:bCs/>
          <w:sz w:val="32"/>
          <w:szCs w:val="32"/>
        </w:rPr>
        <w:t>万元，完成预算</w:t>
      </w:r>
      <w:r>
        <w:rPr>
          <w:rFonts w:eastAsia="仿宋"/>
          <w:bCs/>
          <w:sz w:val="32"/>
          <w:szCs w:val="32"/>
        </w:rPr>
        <w:t>100%</w:t>
      </w:r>
      <w:r>
        <w:rPr>
          <w:rFonts w:eastAsia="仿宋"/>
          <w:bCs/>
          <w:sz w:val="32"/>
          <w:szCs w:val="32"/>
        </w:rPr>
        <w:t>，决算数等于预算数。</w:t>
      </w:r>
    </w:p>
    <w:p w:rsidR="004E0AB4" w:rsidRDefault="00D63766" w:rsidP="004E0AB4">
      <w:pPr>
        <w:spacing w:line="600" w:lineRule="exact"/>
        <w:ind w:firstLineChars="200" w:firstLine="643"/>
        <w:rPr>
          <w:rFonts w:eastAsia="仿宋"/>
          <w:b/>
          <w:bCs/>
          <w:sz w:val="32"/>
          <w:szCs w:val="32"/>
        </w:rPr>
      </w:pPr>
      <w:r>
        <w:rPr>
          <w:rFonts w:eastAsia="仿宋"/>
          <w:b/>
          <w:bCs/>
          <w:sz w:val="32"/>
          <w:szCs w:val="32"/>
        </w:rPr>
        <w:t xml:space="preserve">8. </w:t>
      </w:r>
      <w:r>
        <w:rPr>
          <w:rFonts w:eastAsia="仿宋"/>
          <w:b/>
          <w:bCs/>
          <w:sz w:val="32"/>
          <w:szCs w:val="32"/>
        </w:rPr>
        <w:t>住房保障支出（类）住房改革支出（款）购房补贴（项）</w:t>
      </w:r>
      <w:r>
        <w:rPr>
          <w:rFonts w:eastAsia="仿宋"/>
          <w:b/>
          <w:bCs/>
          <w:sz w:val="32"/>
          <w:szCs w:val="32"/>
        </w:rPr>
        <w:t>:</w:t>
      </w:r>
      <w:r>
        <w:rPr>
          <w:rFonts w:eastAsia="仿宋"/>
          <w:bCs/>
          <w:sz w:val="32"/>
          <w:szCs w:val="32"/>
        </w:rPr>
        <w:t>支出决算为</w:t>
      </w:r>
      <w:r>
        <w:rPr>
          <w:rFonts w:eastAsia="仿宋"/>
          <w:bCs/>
          <w:sz w:val="32"/>
          <w:szCs w:val="32"/>
        </w:rPr>
        <w:t>13.51</w:t>
      </w:r>
      <w:r>
        <w:rPr>
          <w:rFonts w:eastAsia="仿宋"/>
          <w:bCs/>
          <w:sz w:val="32"/>
          <w:szCs w:val="32"/>
        </w:rPr>
        <w:t>万元，完成预算</w:t>
      </w:r>
      <w:r>
        <w:rPr>
          <w:rFonts w:eastAsia="仿宋"/>
          <w:bCs/>
          <w:sz w:val="32"/>
          <w:szCs w:val="32"/>
        </w:rPr>
        <w:t>100%</w:t>
      </w:r>
      <w:r>
        <w:rPr>
          <w:rFonts w:eastAsia="仿宋"/>
          <w:bCs/>
          <w:sz w:val="32"/>
          <w:szCs w:val="32"/>
        </w:rPr>
        <w:t>，决算数等于预算数。</w:t>
      </w:r>
    </w:p>
    <w:p w:rsidR="004E0AB4" w:rsidRDefault="00D63766">
      <w:pPr>
        <w:tabs>
          <w:tab w:val="right" w:pos="8306"/>
        </w:tabs>
        <w:spacing w:line="600" w:lineRule="exact"/>
        <w:ind w:firstLine="640"/>
        <w:outlineLvl w:val="1"/>
        <w:rPr>
          <w:rStyle w:val="2Char"/>
          <w:rFonts w:ascii="Times New Roman" w:hAnsi="Times New Roman" w:cs="Times New Roman"/>
        </w:rPr>
      </w:pPr>
      <w:bookmarkStart w:id="51" w:name="_Toc113010958"/>
      <w:bookmarkStart w:id="52" w:name="_Toc15377214"/>
      <w:bookmarkStart w:id="53" w:name="_Toc15396608"/>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51"/>
      <w:bookmarkEnd w:id="52"/>
      <w:bookmarkEnd w:id="53"/>
      <w:r>
        <w:rPr>
          <w:rStyle w:val="2Char"/>
          <w:rFonts w:ascii="Times New Roman" w:eastAsia="黑体" w:hAnsi="Times New Roman" w:cs="Times New Roman"/>
          <w:b w:val="0"/>
        </w:rPr>
        <w:tab/>
      </w:r>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年一般公共预算财政拨款基本支出</w:t>
      </w:r>
      <w:r>
        <w:rPr>
          <w:rFonts w:eastAsia="仿宋_GB2312"/>
          <w:bCs/>
          <w:sz w:val="32"/>
          <w:szCs w:val="32"/>
        </w:rPr>
        <w:t>191.46</w:t>
      </w:r>
      <w:r>
        <w:rPr>
          <w:rFonts w:eastAsia="仿宋_GB2312"/>
          <w:bCs/>
          <w:sz w:val="32"/>
          <w:szCs w:val="32"/>
        </w:rPr>
        <w:t>万元，其中：</w:t>
      </w:r>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人员经费</w:t>
      </w:r>
      <w:r>
        <w:rPr>
          <w:rFonts w:eastAsia="仿宋_GB2312"/>
          <w:bCs/>
          <w:sz w:val="32"/>
          <w:szCs w:val="32"/>
        </w:rPr>
        <w:t>104.6</w:t>
      </w:r>
      <w:r>
        <w:rPr>
          <w:rFonts w:eastAsia="仿宋_GB2312" w:hint="eastAsia"/>
          <w:bCs/>
          <w:sz w:val="32"/>
          <w:szCs w:val="32"/>
        </w:rPr>
        <w:t>7</w:t>
      </w:r>
      <w:r>
        <w:rPr>
          <w:rFonts w:eastAsia="仿宋_GB2312"/>
          <w:bCs/>
          <w:sz w:val="32"/>
          <w:szCs w:val="32"/>
        </w:rPr>
        <w:t>万元，主要包括：基本工资、津贴补贴、奖金、机关事业单位基本养老保险缴费、其他工资福利支出、住房公积金、其他对个人和家庭的补助支出等。</w:t>
      </w:r>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公用经费</w:t>
      </w:r>
      <w:r>
        <w:rPr>
          <w:rFonts w:eastAsia="仿宋_GB2312"/>
          <w:bCs/>
          <w:sz w:val="32"/>
          <w:szCs w:val="32"/>
        </w:rPr>
        <w:t>86.</w:t>
      </w:r>
      <w:r>
        <w:rPr>
          <w:rFonts w:eastAsia="仿宋_GB2312" w:hint="eastAsia"/>
          <w:bCs/>
          <w:sz w:val="32"/>
          <w:szCs w:val="32"/>
        </w:rPr>
        <w:t>79</w:t>
      </w:r>
      <w:r>
        <w:rPr>
          <w:rFonts w:eastAsia="仿宋_GB2312"/>
          <w:bCs/>
          <w:sz w:val="32"/>
          <w:szCs w:val="32"/>
        </w:rPr>
        <w:t>万元，主要包括：邮电费、差旅费、工会经费、福利费、其他交通费、其他商品和服务支出。</w:t>
      </w:r>
    </w:p>
    <w:p w:rsidR="004E0AB4" w:rsidRDefault="00D63766">
      <w:pPr>
        <w:spacing w:line="600" w:lineRule="exact"/>
        <w:ind w:firstLine="640"/>
        <w:outlineLvl w:val="1"/>
        <w:rPr>
          <w:rStyle w:val="2Char"/>
          <w:rFonts w:ascii="Times New Roman" w:eastAsia="黑体" w:hAnsi="Times New Roman" w:cs="Times New Roman"/>
          <w:b w:val="0"/>
        </w:rPr>
      </w:pPr>
      <w:bookmarkStart w:id="54" w:name="_Toc15377215"/>
      <w:bookmarkStart w:id="55" w:name="_Toc113010959"/>
      <w:bookmarkStart w:id="56" w:name="_Toc15396609"/>
      <w:r>
        <w:rPr>
          <w:rFonts w:eastAsia="黑体"/>
          <w:sz w:val="32"/>
          <w:szCs w:val="32"/>
        </w:rPr>
        <w:t>七、</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经费财政拨款支出决算情况说明</w:t>
      </w:r>
      <w:bookmarkEnd w:id="54"/>
      <w:bookmarkEnd w:id="55"/>
      <w:bookmarkEnd w:id="56"/>
    </w:p>
    <w:p w:rsidR="004E0AB4" w:rsidRDefault="00D63766">
      <w:pPr>
        <w:spacing w:line="600" w:lineRule="exact"/>
        <w:ind w:firstLine="640"/>
        <w:outlineLvl w:val="2"/>
        <w:rPr>
          <w:rFonts w:eastAsia="楷体_GB2312"/>
          <w:b/>
          <w:sz w:val="32"/>
          <w:szCs w:val="32"/>
        </w:rPr>
      </w:pPr>
      <w:bookmarkStart w:id="57" w:name="_Toc15377216"/>
      <w:bookmarkStart w:id="58" w:name="_Toc113010960"/>
      <w:r>
        <w:rPr>
          <w:rFonts w:eastAsia="楷体_GB2312"/>
          <w:b/>
          <w:sz w:val="32"/>
          <w:szCs w:val="32"/>
        </w:rPr>
        <w:t>（一）</w:t>
      </w:r>
      <w:r>
        <w:rPr>
          <w:rFonts w:eastAsia="楷体_GB2312"/>
          <w:b/>
          <w:sz w:val="32"/>
          <w:szCs w:val="32"/>
        </w:rPr>
        <w:t>“</w:t>
      </w:r>
      <w:r>
        <w:rPr>
          <w:rFonts w:eastAsia="楷体_GB2312"/>
          <w:b/>
          <w:sz w:val="32"/>
          <w:szCs w:val="32"/>
        </w:rPr>
        <w:t>三公</w:t>
      </w:r>
      <w:r>
        <w:rPr>
          <w:rFonts w:eastAsia="楷体_GB2312"/>
          <w:b/>
          <w:sz w:val="32"/>
          <w:szCs w:val="32"/>
        </w:rPr>
        <w:t>”</w:t>
      </w:r>
      <w:r>
        <w:rPr>
          <w:rFonts w:eastAsia="楷体_GB2312"/>
          <w:b/>
          <w:sz w:val="32"/>
          <w:szCs w:val="32"/>
        </w:rPr>
        <w:t>经费财政拨款支出决算总体情况说明</w:t>
      </w:r>
      <w:bookmarkEnd w:id="57"/>
      <w:bookmarkEnd w:id="58"/>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w:t>
      </w:r>
      <w:r>
        <w:rPr>
          <w:rFonts w:eastAsia="仿宋_GB2312"/>
          <w:bCs/>
          <w:sz w:val="32"/>
          <w:szCs w:val="32"/>
        </w:rPr>
        <w:t>“</w:t>
      </w:r>
      <w:r>
        <w:rPr>
          <w:rFonts w:eastAsia="仿宋_GB2312"/>
          <w:bCs/>
          <w:sz w:val="32"/>
          <w:szCs w:val="32"/>
        </w:rPr>
        <w:t>三公</w:t>
      </w:r>
      <w:r>
        <w:rPr>
          <w:rFonts w:eastAsia="仿宋_GB2312"/>
          <w:bCs/>
          <w:sz w:val="32"/>
          <w:szCs w:val="32"/>
        </w:rPr>
        <w:t>”</w:t>
      </w:r>
      <w:r>
        <w:rPr>
          <w:rFonts w:eastAsia="仿宋_GB2312"/>
          <w:bCs/>
          <w:sz w:val="32"/>
          <w:szCs w:val="32"/>
        </w:rPr>
        <w:t>经费财政拨款支出决算为</w:t>
      </w:r>
      <w:r>
        <w:rPr>
          <w:rFonts w:eastAsia="仿宋_GB2312"/>
          <w:bCs/>
          <w:sz w:val="32"/>
          <w:szCs w:val="32"/>
        </w:rPr>
        <w:t>0</w:t>
      </w:r>
      <w:r>
        <w:rPr>
          <w:rFonts w:eastAsia="仿宋_GB2312"/>
          <w:bCs/>
          <w:sz w:val="32"/>
          <w:szCs w:val="32"/>
        </w:rPr>
        <w:t>万元，完成预</w:t>
      </w:r>
      <w:r>
        <w:rPr>
          <w:rFonts w:eastAsia="仿宋_GB2312"/>
          <w:bCs/>
          <w:sz w:val="32"/>
          <w:szCs w:val="32"/>
        </w:rPr>
        <w:lastRenderedPageBreak/>
        <w:t>算</w:t>
      </w:r>
      <w:r>
        <w:rPr>
          <w:rFonts w:eastAsia="仿宋_GB2312"/>
          <w:bCs/>
          <w:sz w:val="32"/>
          <w:szCs w:val="32"/>
        </w:rPr>
        <w:t>100%</w:t>
      </w:r>
      <w:r>
        <w:rPr>
          <w:rFonts w:eastAsia="仿宋_GB2312"/>
          <w:bCs/>
          <w:sz w:val="32"/>
          <w:szCs w:val="32"/>
        </w:rPr>
        <w:t>，决算数与预算数持平。</w:t>
      </w:r>
    </w:p>
    <w:p w:rsidR="004E0AB4" w:rsidRDefault="00D63766">
      <w:pPr>
        <w:spacing w:line="600" w:lineRule="exact"/>
        <w:ind w:firstLine="640"/>
        <w:outlineLvl w:val="2"/>
        <w:rPr>
          <w:rFonts w:eastAsia="楷体_GB2312"/>
          <w:b/>
          <w:sz w:val="32"/>
          <w:szCs w:val="32"/>
        </w:rPr>
      </w:pPr>
      <w:bookmarkStart w:id="59" w:name="_Toc113010961"/>
      <w:bookmarkStart w:id="60" w:name="_Toc15377217"/>
      <w:r>
        <w:rPr>
          <w:rFonts w:eastAsia="楷体_GB2312"/>
          <w:b/>
          <w:sz w:val="32"/>
          <w:szCs w:val="32"/>
        </w:rPr>
        <w:t>（二）</w:t>
      </w:r>
      <w:r>
        <w:rPr>
          <w:rFonts w:eastAsia="楷体_GB2312"/>
          <w:b/>
          <w:sz w:val="32"/>
          <w:szCs w:val="32"/>
        </w:rPr>
        <w:t>“</w:t>
      </w:r>
      <w:r>
        <w:rPr>
          <w:rFonts w:eastAsia="楷体_GB2312"/>
          <w:b/>
          <w:sz w:val="32"/>
          <w:szCs w:val="32"/>
        </w:rPr>
        <w:t>三公</w:t>
      </w:r>
      <w:r>
        <w:rPr>
          <w:rFonts w:eastAsia="楷体_GB2312"/>
          <w:b/>
          <w:sz w:val="32"/>
          <w:szCs w:val="32"/>
        </w:rPr>
        <w:t>”</w:t>
      </w:r>
      <w:r>
        <w:rPr>
          <w:rFonts w:eastAsia="楷体_GB2312"/>
          <w:b/>
          <w:sz w:val="32"/>
          <w:szCs w:val="32"/>
        </w:rPr>
        <w:t>经费财政拨款支出决算具体情况说明</w:t>
      </w:r>
      <w:bookmarkEnd w:id="59"/>
      <w:bookmarkEnd w:id="60"/>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w:t>
      </w:r>
      <w:r>
        <w:rPr>
          <w:rFonts w:eastAsia="仿宋_GB2312"/>
          <w:bCs/>
          <w:sz w:val="32"/>
          <w:szCs w:val="32"/>
        </w:rPr>
        <w:t>“</w:t>
      </w:r>
      <w:r>
        <w:rPr>
          <w:rFonts w:eastAsia="仿宋_GB2312"/>
          <w:bCs/>
          <w:sz w:val="32"/>
          <w:szCs w:val="32"/>
        </w:rPr>
        <w:t>三公</w:t>
      </w:r>
      <w:r>
        <w:rPr>
          <w:rFonts w:eastAsia="仿宋_GB2312"/>
          <w:bCs/>
          <w:sz w:val="32"/>
          <w:szCs w:val="32"/>
        </w:rPr>
        <w:t>”</w:t>
      </w:r>
      <w:r>
        <w:rPr>
          <w:rFonts w:eastAsia="仿宋_GB2312"/>
          <w:bCs/>
          <w:sz w:val="32"/>
          <w:szCs w:val="32"/>
        </w:rPr>
        <w:t>经费财政拨款支出决算中，因公出国（境）费支出决算</w:t>
      </w:r>
      <w:r>
        <w:rPr>
          <w:rFonts w:eastAsia="仿宋_GB2312"/>
          <w:bCs/>
          <w:sz w:val="32"/>
          <w:szCs w:val="32"/>
        </w:rPr>
        <w:t>0</w:t>
      </w:r>
      <w:r>
        <w:rPr>
          <w:rFonts w:eastAsia="仿宋_GB2312"/>
          <w:bCs/>
          <w:sz w:val="32"/>
          <w:szCs w:val="32"/>
        </w:rPr>
        <w:t>万元，占</w:t>
      </w:r>
      <w:r>
        <w:rPr>
          <w:rFonts w:eastAsia="仿宋_GB2312"/>
          <w:bCs/>
          <w:sz w:val="32"/>
          <w:szCs w:val="32"/>
        </w:rPr>
        <w:t>0%</w:t>
      </w:r>
      <w:r>
        <w:rPr>
          <w:rFonts w:eastAsia="仿宋_GB2312"/>
          <w:bCs/>
          <w:sz w:val="32"/>
          <w:szCs w:val="32"/>
        </w:rPr>
        <w:t>；公务用车购置及运行维护费支出决算</w:t>
      </w:r>
      <w:r>
        <w:rPr>
          <w:rFonts w:eastAsia="仿宋_GB2312"/>
          <w:bCs/>
          <w:sz w:val="32"/>
          <w:szCs w:val="32"/>
        </w:rPr>
        <w:t>0</w:t>
      </w:r>
      <w:r>
        <w:rPr>
          <w:rFonts w:eastAsia="仿宋_GB2312"/>
          <w:bCs/>
          <w:sz w:val="32"/>
          <w:szCs w:val="32"/>
        </w:rPr>
        <w:t>万元，占</w:t>
      </w:r>
      <w:r>
        <w:rPr>
          <w:rFonts w:eastAsia="仿宋_GB2312"/>
          <w:bCs/>
          <w:sz w:val="32"/>
          <w:szCs w:val="32"/>
        </w:rPr>
        <w:t>0%</w:t>
      </w:r>
      <w:r>
        <w:rPr>
          <w:rFonts w:eastAsia="仿宋_GB2312"/>
          <w:bCs/>
          <w:sz w:val="32"/>
          <w:szCs w:val="32"/>
        </w:rPr>
        <w:t>；公务接待费支出决算</w:t>
      </w:r>
      <w:r>
        <w:rPr>
          <w:rFonts w:eastAsia="仿宋_GB2312"/>
          <w:bCs/>
          <w:sz w:val="32"/>
          <w:szCs w:val="32"/>
        </w:rPr>
        <w:t>0</w:t>
      </w:r>
      <w:r>
        <w:rPr>
          <w:rFonts w:eastAsia="仿宋_GB2312"/>
          <w:bCs/>
          <w:sz w:val="32"/>
          <w:szCs w:val="32"/>
        </w:rPr>
        <w:t>万元，占</w:t>
      </w:r>
      <w:r>
        <w:rPr>
          <w:rFonts w:eastAsia="仿宋_GB2312"/>
          <w:bCs/>
          <w:sz w:val="32"/>
          <w:szCs w:val="32"/>
        </w:rPr>
        <w:t>0%</w:t>
      </w:r>
      <w:r>
        <w:rPr>
          <w:rFonts w:eastAsia="仿宋_GB2312"/>
          <w:bCs/>
          <w:sz w:val="32"/>
          <w:szCs w:val="32"/>
        </w:rPr>
        <w:t>。具体情况如下：</w:t>
      </w:r>
    </w:p>
    <w:p w:rsidR="004E0AB4" w:rsidRDefault="00D63766">
      <w:pPr>
        <w:spacing w:line="600" w:lineRule="exact"/>
        <w:ind w:firstLine="640"/>
        <w:rPr>
          <w:rFonts w:eastAsia="仿宋_GB2312"/>
          <w:bCs/>
          <w:sz w:val="32"/>
          <w:szCs w:val="32"/>
        </w:rPr>
      </w:pPr>
      <w:r>
        <w:rPr>
          <w:rFonts w:eastAsia="仿宋_GB2312"/>
          <w:b/>
          <w:sz w:val="32"/>
          <w:szCs w:val="32"/>
        </w:rPr>
        <w:t>1.</w:t>
      </w:r>
      <w:r>
        <w:rPr>
          <w:rFonts w:eastAsia="仿宋_GB2312"/>
          <w:b/>
          <w:sz w:val="32"/>
          <w:szCs w:val="32"/>
        </w:rPr>
        <w:t>因公出国（境）经费</w:t>
      </w:r>
      <w:r>
        <w:rPr>
          <w:rFonts w:eastAsia="仿宋_GB2312"/>
          <w:b/>
          <w:sz w:val="32"/>
          <w:szCs w:val="32"/>
        </w:rPr>
        <w:t>支出</w:t>
      </w:r>
      <w:r>
        <w:rPr>
          <w:rFonts w:eastAsia="仿宋_GB2312"/>
          <w:bCs/>
          <w:sz w:val="32"/>
          <w:szCs w:val="32"/>
        </w:rPr>
        <w:t>0</w:t>
      </w:r>
      <w:r>
        <w:rPr>
          <w:rFonts w:eastAsia="仿宋_GB2312"/>
          <w:bCs/>
          <w:sz w:val="32"/>
          <w:szCs w:val="32"/>
        </w:rPr>
        <w:t>万元，完成预算</w:t>
      </w:r>
      <w:r>
        <w:rPr>
          <w:rFonts w:eastAsia="仿宋_GB2312"/>
          <w:bCs/>
          <w:sz w:val="32"/>
          <w:szCs w:val="32"/>
        </w:rPr>
        <w:t>100%</w:t>
      </w:r>
      <w:r>
        <w:rPr>
          <w:rFonts w:eastAsia="仿宋_GB2312"/>
          <w:bCs/>
          <w:sz w:val="32"/>
          <w:szCs w:val="32"/>
        </w:rPr>
        <w:t>。全年安排因公出国（境）团组</w:t>
      </w:r>
      <w:r>
        <w:rPr>
          <w:rFonts w:eastAsia="仿宋_GB2312"/>
          <w:bCs/>
          <w:sz w:val="32"/>
          <w:szCs w:val="32"/>
        </w:rPr>
        <w:t>0</w:t>
      </w:r>
      <w:r>
        <w:rPr>
          <w:rFonts w:eastAsia="仿宋_GB2312"/>
          <w:bCs/>
          <w:sz w:val="32"/>
          <w:szCs w:val="32"/>
        </w:rPr>
        <w:t>次，出国（境）</w:t>
      </w:r>
      <w:r>
        <w:rPr>
          <w:rFonts w:eastAsia="仿宋_GB2312"/>
          <w:bCs/>
          <w:sz w:val="32"/>
          <w:szCs w:val="32"/>
        </w:rPr>
        <w:t>0</w:t>
      </w:r>
      <w:r>
        <w:rPr>
          <w:rFonts w:eastAsia="仿宋_GB2312"/>
          <w:bCs/>
          <w:sz w:val="32"/>
          <w:szCs w:val="32"/>
        </w:rPr>
        <w:t>人。因公出国（境）支出决算与</w:t>
      </w:r>
      <w:r>
        <w:rPr>
          <w:rFonts w:eastAsia="仿宋_GB2312"/>
          <w:bCs/>
          <w:sz w:val="32"/>
          <w:szCs w:val="32"/>
        </w:rPr>
        <w:t>2020</w:t>
      </w:r>
      <w:r>
        <w:rPr>
          <w:rFonts w:eastAsia="仿宋_GB2312"/>
          <w:bCs/>
          <w:sz w:val="32"/>
          <w:szCs w:val="32"/>
        </w:rPr>
        <w:t>年持平。</w:t>
      </w:r>
    </w:p>
    <w:p w:rsidR="004E0AB4" w:rsidRDefault="00D63766">
      <w:pPr>
        <w:spacing w:line="600" w:lineRule="exact"/>
        <w:ind w:firstLine="640"/>
        <w:rPr>
          <w:rFonts w:eastAsia="仿宋_GB2312"/>
          <w:bCs/>
          <w:sz w:val="32"/>
          <w:szCs w:val="32"/>
        </w:rPr>
      </w:pPr>
      <w:r>
        <w:rPr>
          <w:rFonts w:eastAsia="仿宋_GB2312"/>
          <w:b/>
          <w:sz w:val="32"/>
          <w:szCs w:val="32"/>
        </w:rPr>
        <w:t>2.</w:t>
      </w:r>
      <w:r>
        <w:rPr>
          <w:rFonts w:eastAsia="仿宋_GB2312"/>
          <w:b/>
          <w:sz w:val="32"/>
          <w:szCs w:val="32"/>
        </w:rPr>
        <w:t>公务用车购置及运行维护费支出</w:t>
      </w:r>
      <w:r>
        <w:rPr>
          <w:rFonts w:eastAsia="仿宋_GB2312"/>
          <w:bCs/>
          <w:sz w:val="32"/>
          <w:szCs w:val="32"/>
        </w:rPr>
        <w:t>0</w:t>
      </w:r>
      <w:r>
        <w:rPr>
          <w:rFonts w:eastAsia="仿宋_GB2312"/>
          <w:bCs/>
          <w:sz w:val="32"/>
          <w:szCs w:val="32"/>
        </w:rPr>
        <w:t>万元</w:t>
      </w:r>
      <w:r>
        <w:rPr>
          <w:rFonts w:eastAsia="仿宋_GB2312"/>
          <w:bCs/>
          <w:sz w:val="32"/>
          <w:szCs w:val="32"/>
        </w:rPr>
        <w:t>,</w:t>
      </w:r>
      <w:r>
        <w:rPr>
          <w:rFonts w:eastAsia="仿宋_GB2312"/>
          <w:bCs/>
          <w:sz w:val="32"/>
          <w:szCs w:val="32"/>
        </w:rPr>
        <w:t>完成预算</w:t>
      </w:r>
      <w:r>
        <w:rPr>
          <w:rFonts w:eastAsia="仿宋_GB2312"/>
          <w:bCs/>
          <w:sz w:val="32"/>
          <w:szCs w:val="32"/>
        </w:rPr>
        <w:t>100*%</w:t>
      </w:r>
      <w:r>
        <w:rPr>
          <w:rFonts w:eastAsia="仿宋_GB2312"/>
          <w:bCs/>
          <w:sz w:val="32"/>
          <w:szCs w:val="32"/>
        </w:rPr>
        <w:t>。公务用车购置及运行维护费支出决算与</w:t>
      </w:r>
      <w:r>
        <w:rPr>
          <w:rFonts w:eastAsia="仿宋_GB2312"/>
          <w:bCs/>
          <w:sz w:val="32"/>
          <w:szCs w:val="32"/>
        </w:rPr>
        <w:t>2020</w:t>
      </w:r>
      <w:r>
        <w:rPr>
          <w:rFonts w:eastAsia="仿宋_GB2312"/>
          <w:bCs/>
          <w:sz w:val="32"/>
          <w:szCs w:val="32"/>
        </w:rPr>
        <w:t>年持平。</w:t>
      </w:r>
    </w:p>
    <w:p w:rsidR="004E0AB4" w:rsidRDefault="00D63766">
      <w:pPr>
        <w:spacing w:line="600" w:lineRule="exact"/>
        <w:ind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辆、越野车</w:t>
      </w:r>
      <w:r>
        <w:rPr>
          <w:rFonts w:eastAsia="仿宋_GB2312"/>
          <w:sz w:val="32"/>
          <w:szCs w:val="32"/>
        </w:rPr>
        <w:t>0</w:t>
      </w:r>
      <w:r>
        <w:rPr>
          <w:rFonts w:eastAsia="仿宋_GB2312"/>
          <w:sz w:val="32"/>
          <w:szCs w:val="32"/>
        </w:rPr>
        <w:t>辆、载客汽车</w:t>
      </w:r>
      <w:r>
        <w:rPr>
          <w:rFonts w:eastAsia="仿宋_GB2312"/>
          <w:sz w:val="32"/>
          <w:szCs w:val="32"/>
        </w:rPr>
        <w:t>0</w:t>
      </w:r>
      <w:r>
        <w:rPr>
          <w:rFonts w:eastAsia="仿宋_GB2312"/>
          <w:sz w:val="32"/>
          <w:szCs w:val="32"/>
        </w:rPr>
        <w:t>辆。</w:t>
      </w:r>
    </w:p>
    <w:p w:rsidR="004E0AB4" w:rsidRDefault="00D63766">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0</w:t>
      </w:r>
      <w:r>
        <w:rPr>
          <w:rFonts w:eastAsia="仿宋_GB2312"/>
          <w:sz w:val="32"/>
          <w:szCs w:val="32"/>
        </w:rPr>
        <w:t>万元。</w:t>
      </w:r>
    </w:p>
    <w:p w:rsidR="004E0AB4" w:rsidRDefault="00D63766">
      <w:pPr>
        <w:spacing w:line="600"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sz w:val="32"/>
          <w:szCs w:val="32"/>
        </w:rPr>
        <w:t>0</w:t>
      </w:r>
      <w:r>
        <w:rPr>
          <w:rFonts w:eastAsia="仿宋_GB2312"/>
          <w:sz w:val="32"/>
          <w:szCs w:val="32"/>
        </w:rPr>
        <w:t>万元，</w:t>
      </w:r>
      <w:r>
        <w:rPr>
          <w:rStyle w:val="a8"/>
          <w:rFonts w:eastAsia="仿宋"/>
          <w:b w:val="0"/>
          <w:bCs/>
          <w:sz w:val="32"/>
          <w:szCs w:val="32"/>
        </w:rPr>
        <w:t>完成预算</w:t>
      </w:r>
      <w:r>
        <w:rPr>
          <w:rStyle w:val="a8"/>
          <w:rFonts w:eastAsia="仿宋"/>
          <w:b w:val="0"/>
          <w:bCs/>
          <w:sz w:val="32"/>
          <w:szCs w:val="32"/>
        </w:rPr>
        <w:t>100%</w:t>
      </w:r>
      <w:r>
        <w:rPr>
          <w:rStyle w:val="a8"/>
          <w:rFonts w:eastAsia="仿宋"/>
          <w:b w:val="0"/>
          <w:bCs/>
          <w:sz w:val="32"/>
          <w:szCs w:val="32"/>
        </w:rPr>
        <w:t>。</w:t>
      </w:r>
      <w:r>
        <w:rPr>
          <w:rFonts w:eastAsia="仿宋_GB2312"/>
          <w:sz w:val="32"/>
          <w:szCs w:val="32"/>
        </w:rPr>
        <w:t>公务接待费支出决算与</w:t>
      </w:r>
      <w:r>
        <w:rPr>
          <w:rFonts w:eastAsia="仿宋_GB2312"/>
          <w:sz w:val="32"/>
          <w:szCs w:val="32"/>
        </w:rPr>
        <w:t>2020</w:t>
      </w:r>
      <w:r>
        <w:rPr>
          <w:rFonts w:eastAsia="仿宋_GB2312"/>
          <w:sz w:val="32"/>
          <w:szCs w:val="32"/>
        </w:rPr>
        <w:t>年持平。其中：</w:t>
      </w:r>
    </w:p>
    <w:p w:rsidR="004E0AB4" w:rsidRDefault="00D63766">
      <w:pPr>
        <w:spacing w:line="600" w:lineRule="exact"/>
        <w:ind w:firstLine="640"/>
        <w:rPr>
          <w:rFonts w:eastAsia="仿宋_GB2312"/>
          <w:sz w:val="32"/>
          <w:szCs w:val="32"/>
        </w:rPr>
      </w:pPr>
      <w:r>
        <w:rPr>
          <w:rFonts w:eastAsia="仿宋"/>
          <w:b/>
          <w:sz w:val="32"/>
          <w:szCs w:val="32"/>
        </w:rPr>
        <w:t>国内公务接待支出</w:t>
      </w:r>
      <w:r>
        <w:rPr>
          <w:rFonts w:eastAsia="仿宋"/>
          <w:sz w:val="32"/>
          <w:szCs w:val="32"/>
        </w:rPr>
        <w:t>0</w:t>
      </w:r>
      <w:r>
        <w:rPr>
          <w:rFonts w:eastAsia="仿宋_GB2312"/>
          <w:sz w:val="32"/>
          <w:szCs w:val="32"/>
        </w:rPr>
        <w:t>万元。国内公务接待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人次（不包括陪同人员），共计支出</w:t>
      </w:r>
      <w:r>
        <w:rPr>
          <w:rFonts w:eastAsia="仿宋_GB2312"/>
          <w:sz w:val="32"/>
          <w:szCs w:val="32"/>
        </w:rPr>
        <w:t>0</w:t>
      </w:r>
      <w:r>
        <w:rPr>
          <w:rFonts w:eastAsia="仿宋_GB2312"/>
          <w:sz w:val="32"/>
          <w:szCs w:val="32"/>
        </w:rPr>
        <w:t>万元。</w:t>
      </w:r>
    </w:p>
    <w:p w:rsidR="004E0AB4" w:rsidRDefault="00D63766" w:rsidP="004E0AB4">
      <w:pPr>
        <w:spacing w:line="600" w:lineRule="exact"/>
        <w:ind w:firstLineChars="200" w:firstLine="643"/>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人，共计支出</w:t>
      </w:r>
      <w:r>
        <w:rPr>
          <w:rFonts w:eastAsia="仿宋_GB2312"/>
          <w:sz w:val="32"/>
          <w:szCs w:val="32"/>
        </w:rPr>
        <w:t>0</w:t>
      </w:r>
      <w:r>
        <w:rPr>
          <w:rFonts w:eastAsia="仿宋_GB2312"/>
          <w:sz w:val="32"/>
          <w:szCs w:val="32"/>
        </w:rPr>
        <w:t>万元。</w:t>
      </w:r>
      <w:bookmarkStart w:id="61" w:name="_Toc15377218"/>
      <w:bookmarkStart w:id="62" w:name="_Toc15396610"/>
    </w:p>
    <w:p w:rsidR="004E0AB4" w:rsidRDefault="00D63766">
      <w:pPr>
        <w:spacing w:line="600" w:lineRule="exact"/>
        <w:ind w:firstLine="640"/>
        <w:outlineLvl w:val="1"/>
        <w:rPr>
          <w:rStyle w:val="2Char"/>
          <w:rFonts w:ascii="Times New Roman" w:eastAsia="黑体" w:hAnsi="Times New Roman" w:cs="Times New Roman"/>
        </w:rPr>
      </w:pPr>
      <w:bookmarkStart w:id="63" w:name="_Toc113010962"/>
      <w:r>
        <w:rPr>
          <w:rFonts w:eastAsia="黑体"/>
          <w:sz w:val="32"/>
          <w:szCs w:val="32"/>
        </w:rPr>
        <w:lastRenderedPageBreak/>
        <w:t>八、</w:t>
      </w:r>
      <w:r>
        <w:rPr>
          <w:rStyle w:val="2Char"/>
          <w:rFonts w:ascii="Times New Roman" w:eastAsia="黑体" w:hAnsi="Times New Roman" w:cs="Times New Roman"/>
          <w:b w:val="0"/>
        </w:rPr>
        <w:t>政府性基金预算支出决算情况说明</w:t>
      </w:r>
      <w:bookmarkEnd w:id="61"/>
      <w:bookmarkEnd w:id="62"/>
      <w:bookmarkEnd w:id="63"/>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年政府性基金预算财政拨款支出</w:t>
      </w:r>
      <w:r>
        <w:rPr>
          <w:rFonts w:eastAsia="仿宋_GB2312"/>
          <w:bCs/>
          <w:sz w:val="32"/>
          <w:szCs w:val="32"/>
        </w:rPr>
        <w:t>0</w:t>
      </w:r>
      <w:r>
        <w:rPr>
          <w:rFonts w:eastAsia="仿宋_GB2312"/>
          <w:bCs/>
          <w:sz w:val="32"/>
          <w:szCs w:val="32"/>
        </w:rPr>
        <w:t>万元。</w:t>
      </w:r>
    </w:p>
    <w:p w:rsidR="004E0AB4" w:rsidRDefault="00D63766">
      <w:pPr>
        <w:numPr>
          <w:ilvl w:val="0"/>
          <w:numId w:val="2"/>
        </w:numPr>
        <w:spacing w:line="600" w:lineRule="exact"/>
        <w:ind w:firstLine="640"/>
        <w:outlineLvl w:val="1"/>
        <w:rPr>
          <w:rStyle w:val="2Char"/>
          <w:rFonts w:ascii="Times New Roman" w:eastAsia="黑体" w:hAnsi="Times New Roman" w:cs="Times New Roman"/>
          <w:b w:val="0"/>
        </w:rPr>
      </w:pPr>
      <w:bookmarkStart w:id="64" w:name="_Toc113010963"/>
      <w:bookmarkStart w:id="65" w:name="_Toc15377219"/>
      <w:bookmarkStart w:id="66" w:name="_Toc15396611"/>
      <w:r>
        <w:rPr>
          <w:rStyle w:val="2Char"/>
          <w:rFonts w:ascii="Times New Roman" w:eastAsia="黑体" w:hAnsi="Times New Roman" w:cs="Times New Roman"/>
          <w:b w:val="0"/>
        </w:rPr>
        <w:t>国有资本经营预算支出决算情况说明</w:t>
      </w:r>
      <w:bookmarkEnd w:id="64"/>
      <w:bookmarkEnd w:id="65"/>
      <w:bookmarkEnd w:id="66"/>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年国有资本经营预算财政拨款支出</w:t>
      </w:r>
      <w:r>
        <w:rPr>
          <w:rFonts w:eastAsia="仿宋_GB2312"/>
          <w:bCs/>
          <w:sz w:val="32"/>
          <w:szCs w:val="32"/>
        </w:rPr>
        <w:t>0</w:t>
      </w:r>
      <w:r>
        <w:rPr>
          <w:rFonts w:eastAsia="仿宋_GB2312"/>
          <w:bCs/>
          <w:sz w:val="32"/>
          <w:szCs w:val="32"/>
        </w:rPr>
        <w:t>万元。</w:t>
      </w:r>
    </w:p>
    <w:p w:rsidR="004E0AB4" w:rsidRDefault="00D63766">
      <w:pPr>
        <w:numPr>
          <w:ilvl w:val="0"/>
          <w:numId w:val="2"/>
        </w:numPr>
        <w:spacing w:line="600" w:lineRule="exact"/>
        <w:ind w:firstLine="640"/>
        <w:outlineLvl w:val="1"/>
        <w:rPr>
          <w:rStyle w:val="2Char"/>
          <w:rFonts w:ascii="Times New Roman" w:eastAsia="黑体" w:hAnsi="Times New Roman" w:cs="Times New Roman"/>
          <w:b w:val="0"/>
        </w:rPr>
      </w:pPr>
      <w:bookmarkStart w:id="67" w:name="_Toc15396612"/>
      <w:bookmarkStart w:id="68" w:name="_Toc113010964"/>
      <w:bookmarkStart w:id="69" w:name="_Toc15377221"/>
      <w:r>
        <w:rPr>
          <w:rStyle w:val="2Char"/>
          <w:rFonts w:ascii="Times New Roman" w:eastAsia="黑体" w:hAnsi="Times New Roman" w:cs="Times New Roman"/>
          <w:b w:val="0"/>
        </w:rPr>
        <w:t>其他重要事项的情况说明</w:t>
      </w:r>
      <w:bookmarkEnd w:id="67"/>
      <w:bookmarkEnd w:id="68"/>
      <w:bookmarkEnd w:id="69"/>
    </w:p>
    <w:p w:rsidR="004E0AB4" w:rsidRDefault="00D63766" w:rsidP="004E0AB4">
      <w:pPr>
        <w:spacing w:line="600" w:lineRule="exact"/>
        <w:ind w:firstLineChars="200" w:firstLine="643"/>
        <w:outlineLvl w:val="2"/>
        <w:rPr>
          <w:rFonts w:eastAsia="楷体_GB2312"/>
          <w:sz w:val="32"/>
          <w:szCs w:val="32"/>
        </w:rPr>
      </w:pPr>
      <w:bookmarkStart w:id="70" w:name="_Toc113010965"/>
      <w:bookmarkStart w:id="71" w:name="_Toc15377222"/>
      <w:r>
        <w:rPr>
          <w:rFonts w:eastAsia="楷体_GB2312"/>
          <w:b/>
          <w:sz w:val="32"/>
          <w:szCs w:val="32"/>
        </w:rPr>
        <w:t>（一）机关运行经费支出情况</w:t>
      </w:r>
      <w:bookmarkEnd w:id="70"/>
      <w:bookmarkEnd w:id="71"/>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年，四川省对外交流合作中心机关运行经费支出</w:t>
      </w:r>
      <w:r>
        <w:rPr>
          <w:rFonts w:eastAsia="仿宋_GB2312" w:hint="eastAsia"/>
          <w:bCs/>
          <w:sz w:val="32"/>
          <w:szCs w:val="32"/>
        </w:rPr>
        <w:t>86.8</w:t>
      </w:r>
      <w:r>
        <w:rPr>
          <w:rFonts w:eastAsia="仿宋_GB2312"/>
          <w:bCs/>
          <w:sz w:val="32"/>
          <w:szCs w:val="32"/>
        </w:rPr>
        <w:t>万元，比</w:t>
      </w:r>
      <w:r>
        <w:rPr>
          <w:rFonts w:eastAsia="仿宋_GB2312"/>
          <w:bCs/>
          <w:sz w:val="32"/>
          <w:szCs w:val="32"/>
        </w:rPr>
        <w:t>2020</w:t>
      </w:r>
      <w:r>
        <w:rPr>
          <w:rFonts w:eastAsia="仿宋_GB2312"/>
          <w:bCs/>
          <w:sz w:val="32"/>
          <w:szCs w:val="32"/>
        </w:rPr>
        <w:t>年增加</w:t>
      </w:r>
      <w:r>
        <w:rPr>
          <w:rFonts w:eastAsia="仿宋_GB2312"/>
          <w:bCs/>
          <w:sz w:val="32"/>
          <w:szCs w:val="32"/>
        </w:rPr>
        <w:t>6.51</w:t>
      </w:r>
      <w:r>
        <w:rPr>
          <w:rFonts w:eastAsia="仿宋_GB2312"/>
          <w:bCs/>
          <w:sz w:val="32"/>
          <w:szCs w:val="32"/>
        </w:rPr>
        <w:t>万元，增长</w:t>
      </w:r>
      <w:r>
        <w:rPr>
          <w:rFonts w:eastAsia="仿宋_GB2312"/>
          <w:bCs/>
          <w:sz w:val="32"/>
          <w:szCs w:val="32"/>
        </w:rPr>
        <w:t>8.10%</w:t>
      </w:r>
      <w:r>
        <w:rPr>
          <w:rFonts w:eastAsia="仿宋_GB2312"/>
          <w:bCs/>
          <w:sz w:val="32"/>
          <w:szCs w:val="32"/>
        </w:rPr>
        <w:t>。主要原因是办公</w:t>
      </w:r>
      <w:r>
        <w:rPr>
          <w:rFonts w:eastAsia="仿宋_GB2312" w:hint="eastAsia"/>
          <w:bCs/>
          <w:sz w:val="32"/>
          <w:szCs w:val="32"/>
        </w:rPr>
        <w:t>经费支出</w:t>
      </w:r>
      <w:r>
        <w:rPr>
          <w:rFonts w:eastAsia="仿宋_GB2312"/>
          <w:bCs/>
          <w:sz w:val="32"/>
          <w:szCs w:val="32"/>
        </w:rPr>
        <w:t>较</w:t>
      </w:r>
      <w:r>
        <w:rPr>
          <w:rFonts w:eastAsia="仿宋_GB2312"/>
          <w:bCs/>
          <w:sz w:val="32"/>
          <w:szCs w:val="32"/>
        </w:rPr>
        <w:t>2020</w:t>
      </w:r>
      <w:r>
        <w:rPr>
          <w:rFonts w:eastAsia="仿宋_GB2312"/>
          <w:bCs/>
          <w:sz w:val="32"/>
          <w:szCs w:val="32"/>
        </w:rPr>
        <w:t>年</w:t>
      </w:r>
      <w:r>
        <w:rPr>
          <w:rFonts w:eastAsia="仿宋_GB2312" w:hint="eastAsia"/>
          <w:bCs/>
          <w:sz w:val="32"/>
          <w:szCs w:val="32"/>
        </w:rPr>
        <w:t>略有</w:t>
      </w:r>
      <w:r>
        <w:rPr>
          <w:rFonts w:eastAsia="仿宋_GB2312"/>
          <w:bCs/>
          <w:sz w:val="32"/>
          <w:szCs w:val="32"/>
        </w:rPr>
        <w:t>增加。</w:t>
      </w:r>
    </w:p>
    <w:p w:rsidR="004E0AB4" w:rsidRDefault="00D63766" w:rsidP="004E0AB4">
      <w:pPr>
        <w:autoSpaceDE w:val="0"/>
        <w:autoSpaceDN w:val="0"/>
        <w:adjustRightInd w:val="0"/>
        <w:spacing w:line="600" w:lineRule="exact"/>
        <w:ind w:firstLineChars="200" w:firstLine="643"/>
        <w:jc w:val="left"/>
        <w:outlineLvl w:val="2"/>
        <w:rPr>
          <w:rFonts w:eastAsia="楷体_GB2312"/>
          <w:b/>
          <w:sz w:val="32"/>
          <w:szCs w:val="32"/>
        </w:rPr>
      </w:pPr>
      <w:bookmarkStart w:id="72" w:name="_Toc15377223"/>
      <w:bookmarkStart w:id="73" w:name="_Toc113010966"/>
      <w:r>
        <w:rPr>
          <w:rFonts w:eastAsia="楷体_GB2312"/>
          <w:b/>
          <w:sz w:val="32"/>
          <w:szCs w:val="32"/>
        </w:rPr>
        <w:t>（二）政府采购支出情况</w:t>
      </w:r>
      <w:bookmarkEnd w:id="72"/>
      <w:bookmarkEnd w:id="73"/>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2021</w:t>
      </w:r>
      <w:r>
        <w:rPr>
          <w:rFonts w:eastAsia="仿宋_GB2312"/>
          <w:bCs/>
          <w:sz w:val="32"/>
          <w:szCs w:val="32"/>
        </w:rPr>
        <w:t>年，四川省对外交流合作中心政府采购支出总额</w:t>
      </w:r>
      <w:r>
        <w:rPr>
          <w:rFonts w:eastAsia="仿宋_GB2312"/>
          <w:bCs/>
          <w:sz w:val="32"/>
          <w:szCs w:val="32"/>
        </w:rPr>
        <w:t>0</w:t>
      </w:r>
      <w:r>
        <w:rPr>
          <w:rFonts w:eastAsia="仿宋_GB2312"/>
          <w:bCs/>
          <w:sz w:val="32"/>
          <w:szCs w:val="32"/>
        </w:rPr>
        <w:t>万元，其中：政府采购货物支出</w:t>
      </w:r>
      <w:r>
        <w:rPr>
          <w:rFonts w:eastAsia="仿宋_GB2312"/>
          <w:bCs/>
          <w:sz w:val="32"/>
          <w:szCs w:val="32"/>
        </w:rPr>
        <w:t>0</w:t>
      </w:r>
      <w:r>
        <w:rPr>
          <w:rFonts w:eastAsia="仿宋_GB2312"/>
          <w:bCs/>
          <w:sz w:val="32"/>
          <w:szCs w:val="32"/>
        </w:rPr>
        <w:t>万元、政府采购工程支出</w:t>
      </w:r>
      <w:r>
        <w:rPr>
          <w:rFonts w:eastAsia="仿宋_GB2312"/>
          <w:bCs/>
          <w:sz w:val="32"/>
          <w:szCs w:val="32"/>
        </w:rPr>
        <w:t>0</w:t>
      </w:r>
      <w:r>
        <w:rPr>
          <w:rFonts w:eastAsia="仿宋_GB2312"/>
          <w:bCs/>
          <w:sz w:val="32"/>
          <w:szCs w:val="32"/>
        </w:rPr>
        <w:t>万元、政府采购服务支出</w:t>
      </w:r>
      <w:r>
        <w:rPr>
          <w:rFonts w:eastAsia="仿宋_GB2312"/>
          <w:bCs/>
          <w:sz w:val="32"/>
          <w:szCs w:val="32"/>
        </w:rPr>
        <w:t>0</w:t>
      </w:r>
      <w:r>
        <w:rPr>
          <w:rFonts w:eastAsia="仿宋_GB2312"/>
          <w:bCs/>
          <w:sz w:val="32"/>
          <w:szCs w:val="32"/>
        </w:rPr>
        <w:t>万元。授予中小企业合同金额</w:t>
      </w:r>
      <w:r>
        <w:rPr>
          <w:rFonts w:eastAsia="仿宋_GB2312"/>
          <w:bCs/>
          <w:sz w:val="32"/>
          <w:szCs w:val="32"/>
        </w:rPr>
        <w:t>0</w:t>
      </w:r>
      <w:r>
        <w:rPr>
          <w:rFonts w:eastAsia="仿宋_GB2312"/>
          <w:bCs/>
          <w:sz w:val="32"/>
          <w:szCs w:val="32"/>
        </w:rPr>
        <w:t>万元，占政府采购支出总额的</w:t>
      </w:r>
      <w:r>
        <w:rPr>
          <w:rFonts w:eastAsia="仿宋_GB2312"/>
          <w:bCs/>
          <w:sz w:val="32"/>
          <w:szCs w:val="32"/>
        </w:rPr>
        <w:t>0%</w:t>
      </w:r>
      <w:r>
        <w:rPr>
          <w:rFonts w:eastAsia="仿宋_GB2312"/>
          <w:bCs/>
          <w:sz w:val="32"/>
          <w:szCs w:val="32"/>
        </w:rPr>
        <w:t>，其中：授予小</w:t>
      </w:r>
      <w:proofErr w:type="gramStart"/>
      <w:r>
        <w:rPr>
          <w:rFonts w:eastAsia="仿宋_GB2312"/>
          <w:bCs/>
          <w:sz w:val="32"/>
          <w:szCs w:val="32"/>
        </w:rPr>
        <w:t>微企业</w:t>
      </w:r>
      <w:proofErr w:type="gramEnd"/>
      <w:r>
        <w:rPr>
          <w:rFonts w:eastAsia="仿宋_GB2312"/>
          <w:bCs/>
          <w:sz w:val="32"/>
          <w:szCs w:val="32"/>
        </w:rPr>
        <w:t>合同金额</w:t>
      </w:r>
      <w:r>
        <w:rPr>
          <w:rFonts w:eastAsia="仿宋_GB2312"/>
          <w:bCs/>
          <w:sz w:val="32"/>
          <w:szCs w:val="32"/>
        </w:rPr>
        <w:t>0</w:t>
      </w:r>
      <w:r>
        <w:rPr>
          <w:rFonts w:eastAsia="仿宋_GB2312"/>
          <w:bCs/>
          <w:sz w:val="32"/>
          <w:szCs w:val="32"/>
        </w:rPr>
        <w:t>万元，占政府采购支出总额的</w:t>
      </w:r>
      <w:r>
        <w:rPr>
          <w:rFonts w:eastAsia="仿宋_GB2312"/>
          <w:bCs/>
          <w:sz w:val="32"/>
          <w:szCs w:val="32"/>
        </w:rPr>
        <w:t>0%</w:t>
      </w:r>
      <w:r>
        <w:rPr>
          <w:rFonts w:eastAsia="仿宋_GB2312"/>
          <w:bCs/>
          <w:sz w:val="32"/>
          <w:szCs w:val="32"/>
        </w:rPr>
        <w:t>。</w:t>
      </w:r>
    </w:p>
    <w:p w:rsidR="004E0AB4" w:rsidRDefault="00D63766" w:rsidP="004E0AB4">
      <w:pPr>
        <w:autoSpaceDE w:val="0"/>
        <w:autoSpaceDN w:val="0"/>
        <w:adjustRightInd w:val="0"/>
        <w:spacing w:line="600" w:lineRule="exact"/>
        <w:ind w:firstLineChars="200" w:firstLine="643"/>
        <w:jc w:val="left"/>
        <w:outlineLvl w:val="2"/>
        <w:rPr>
          <w:rFonts w:eastAsia="楷体_GB2312"/>
          <w:b/>
          <w:sz w:val="32"/>
          <w:szCs w:val="32"/>
        </w:rPr>
      </w:pPr>
      <w:bookmarkStart w:id="74" w:name="_Toc15377224"/>
      <w:bookmarkStart w:id="75" w:name="_Toc113010967"/>
      <w:r>
        <w:rPr>
          <w:rFonts w:eastAsia="楷体_GB2312"/>
          <w:b/>
          <w:sz w:val="32"/>
          <w:szCs w:val="32"/>
        </w:rPr>
        <w:t>（三）国有资产占有使用情况</w:t>
      </w:r>
      <w:bookmarkEnd w:id="74"/>
      <w:bookmarkEnd w:id="75"/>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截至</w:t>
      </w:r>
      <w:r>
        <w:rPr>
          <w:rFonts w:eastAsia="仿宋_GB2312"/>
          <w:bCs/>
          <w:sz w:val="32"/>
          <w:szCs w:val="32"/>
        </w:rPr>
        <w:t>2021</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日，四川省对外交流合作中心共有车辆</w:t>
      </w:r>
      <w:r>
        <w:rPr>
          <w:rFonts w:eastAsia="仿宋_GB2312"/>
          <w:bCs/>
          <w:sz w:val="32"/>
          <w:szCs w:val="32"/>
        </w:rPr>
        <w:t>0</w:t>
      </w:r>
      <w:r>
        <w:rPr>
          <w:rFonts w:eastAsia="仿宋_GB2312"/>
          <w:bCs/>
          <w:sz w:val="32"/>
          <w:szCs w:val="32"/>
        </w:rPr>
        <w:t>辆，其中：主要领导干部用车</w:t>
      </w:r>
      <w:r>
        <w:rPr>
          <w:rFonts w:eastAsia="仿宋_GB2312"/>
          <w:bCs/>
          <w:sz w:val="32"/>
          <w:szCs w:val="32"/>
        </w:rPr>
        <w:t>0</w:t>
      </w:r>
      <w:r>
        <w:rPr>
          <w:rFonts w:eastAsia="仿宋_GB2312"/>
          <w:bCs/>
          <w:sz w:val="32"/>
          <w:szCs w:val="32"/>
        </w:rPr>
        <w:t>辆、机要通信用车</w:t>
      </w:r>
      <w:r>
        <w:rPr>
          <w:rFonts w:eastAsia="仿宋_GB2312"/>
          <w:bCs/>
          <w:sz w:val="32"/>
          <w:szCs w:val="32"/>
        </w:rPr>
        <w:t>0</w:t>
      </w:r>
      <w:r>
        <w:rPr>
          <w:rFonts w:eastAsia="仿宋_GB2312"/>
          <w:bCs/>
          <w:sz w:val="32"/>
          <w:szCs w:val="32"/>
        </w:rPr>
        <w:t>辆、</w:t>
      </w:r>
      <w:r>
        <w:rPr>
          <w:rFonts w:eastAsia="仿宋_GB2312"/>
          <w:bCs/>
          <w:sz w:val="32"/>
          <w:szCs w:val="32"/>
        </w:rPr>
        <w:t>应急保障用车</w:t>
      </w:r>
      <w:r>
        <w:rPr>
          <w:rFonts w:eastAsia="仿宋_GB2312"/>
          <w:bCs/>
          <w:sz w:val="32"/>
          <w:szCs w:val="32"/>
        </w:rPr>
        <w:t>0</w:t>
      </w:r>
      <w:r>
        <w:rPr>
          <w:rFonts w:eastAsia="仿宋_GB2312"/>
          <w:bCs/>
          <w:sz w:val="32"/>
          <w:szCs w:val="32"/>
        </w:rPr>
        <w:t>辆、其他用车</w:t>
      </w:r>
      <w:r>
        <w:rPr>
          <w:rFonts w:eastAsia="仿宋_GB2312"/>
          <w:bCs/>
          <w:sz w:val="32"/>
          <w:szCs w:val="32"/>
        </w:rPr>
        <w:t>0</w:t>
      </w:r>
      <w:r>
        <w:rPr>
          <w:rFonts w:eastAsia="仿宋_GB2312"/>
          <w:bCs/>
          <w:sz w:val="32"/>
          <w:szCs w:val="32"/>
        </w:rPr>
        <w:t>辆，单价</w:t>
      </w:r>
      <w:r>
        <w:rPr>
          <w:rFonts w:eastAsia="仿宋_GB2312"/>
          <w:bCs/>
          <w:sz w:val="32"/>
          <w:szCs w:val="32"/>
        </w:rPr>
        <w:t>50</w:t>
      </w:r>
      <w:r>
        <w:rPr>
          <w:rFonts w:eastAsia="仿宋_GB2312"/>
          <w:bCs/>
          <w:sz w:val="32"/>
          <w:szCs w:val="32"/>
        </w:rPr>
        <w:t>万元以上通用设备</w:t>
      </w:r>
      <w:r>
        <w:rPr>
          <w:rFonts w:eastAsia="仿宋_GB2312"/>
          <w:bCs/>
          <w:sz w:val="32"/>
          <w:szCs w:val="32"/>
        </w:rPr>
        <w:t>0</w:t>
      </w:r>
      <w:r>
        <w:rPr>
          <w:rFonts w:eastAsia="仿宋_GB2312"/>
          <w:bCs/>
          <w:sz w:val="32"/>
          <w:szCs w:val="32"/>
        </w:rPr>
        <w:t>台（套），单价</w:t>
      </w:r>
      <w:r>
        <w:rPr>
          <w:rFonts w:eastAsia="仿宋_GB2312"/>
          <w:bCs/>
          <w:sz w:val="32"/>
          <w:szCs w:val="32"/>
        </w:rPr>
        <w:t>100</w:t>
      </w:r>
      <w:r>
        <w:rPr>
          <w:rFonts w:eastAsia="仿宋_GB2312"/>
          <w:bCs/>
          <w:sz w:val="32"/>
          <w:szCs w:val="32"/>
        </w:rPr>
        <w:t>万元以上专用设备</w:t>
      </w:r>
      <w:r>
        <w:rPr>
          <w:rFonts w:eastAsia="仿宋_GB2312"/>
          <w:bCs/>
          <w:sz w:val="32"/>
          <w:szCs w:val="32"/>
        </w:rPr>
        <w:t>0</w:t>
      </w:r>
      <w:r>
        <w:rPr>
          <w:rFonts w:eastAsia="仿宋_GB2312"/>
          <w:bCs/>
          <w:sz w:val="32"/>
          <w:szCs w:val="32"/>
        </w:rPr>
        <w:t>台（套）。</w:t>
      </w:r>
    </w:p>
    <w:p w:rsidR="004E0AB4" w:rsidRDefault="00D63766" w:rsidP="004E0AB4">
      <w:pPr>
        <w:autoSpaceDE w:val="0"/>
        <w:autoSpaceDN w:val="0"/>
        <w:adjustRightInd w:val="0"/>
        <w:spacing w:line="600" w:lineRule="exact"/>
        <w:ind w:firstLineChars="200" w:firstLine="643"/>
        <w:jc w:val="left"/>
        <w:outlineLvl w:val="2"/>
        <w:rPr>
          <w:rFonts w:eastAsia="楷体_GB2312"/>
          <w:b/>
          <w:sz w:val="32"/>
          <w:szCs w:val="32"/>
        </w:rPr>
      </w:pPr>
      <w:bookmarkStart w:id="76" w:name="_Toc113010968"/>
      <w:r>
        <w:rPr>
          <w:rFonts w:eastAsia="楷体_GB2312"/>
          <w:b/>
          <w:sz w:val="32"/>
          <w:szCs w:val="32"/>
        </w:rPr>
        <w:t>（四）预算绩效管理情况</w:t>
      </w:r>
      <w:bookmarkEnd w:id="76"/>
    </w:p>
    <w:p w:rsidR="004E0AB4" w:rsidRDefault="00D63766">
      <w:pPr>
        <w:snapToGrid w:val="0"/>
        <w:spacing w:line="560" w:lineRule="exact"/>
        <w:ind w:firstLineChars="200" w:firstLine="640"/>
        <w:rPr>
          <w:rFonts w:eastAsia="仿宋_GB2312"/>
          <w:bCs/>
          <w:sz w:val="32"/>
          <w:szCs w:val="32"/>
        </w:rPr>
      </w:pPr>
      <w:r>
        <w:rPr>
          <w:rFonts w:eastAsia="仿宋_GB2312"/>
          <w:bCs/>
          <w:sz w:val="32"/>
          <w:szCs w:val="32"/>
        </w:rPr>
        <w:t>根据预算绩效管理要求，本单位在</w:t>
      </w:r>
      <w:r>
        <w:rPr>
          <w:rFonts w:eastAsia="仿宋_GB2312"/>
          <w:bCs/>
          <w:sz w:val="32"/>
          <w:szCs w:val="32"/>
        </w:rPr>
        <w:t>2021</w:t>
      </w:r>
      <w:r>
        <w:rPr>
          <w:rFonts w:eastAsia="仿宋_GB2312"/>
          <w:bCs/>
          <w:sz w:val="32"/>
          <w:szCs w:val="32"/>
        </w:rPr>
        <w:t>年度预算编制阶段，组织对</w:t>
      </w:r>
      <w:r>
        <w:rPr>
          <w:rFonts w:eastAsia="仿宋_GB2312"/>
          <w:bCs/>
          <w:sz w:val="32"/>
          <w:szCs w:val="32"/>
        </w:rPr>
        <w:t>0</w:t>
      </w:r>
      <w:r>
        <w:rPr>
          <w:rFonts w:eastAsia="仿宋_GB2312"/>
          <w:bCs/>
          <w:sz w:val="32"/>
          <w:szCs w:val="32"/>
        </w:rPr>
        <w:t>个项目开展了预算事前绩效评估，对</w:t>
      </w:r>
      <w:r>
        <w:rPr>
          <w:rFonts w:eastAsia="仿宋_GB2312"/>
          <w:bCs/>
          <w:sz w:val="32"/>
          <w:szCs w:val="32"/>
        </w:rPr>
        <w:t>0</w:t>
      </w:r>
      <w:r>
        <w:rPr>
          <w:rFonts w:eastAsia="仿宋_GB2312"/>
          <w:bCs/>
          <w:sz w:val="32"/>
          <w:szCs w:val="32"/>
        </w:rPr>
        <w:t>个项目编制了绩效目标，预算执行过程中，选取</w:t>
      </w:r>
      <w:r>
        <w:rPr>
          <w:rFonts w:eastAsia="仿宋_GB2312"/>
          <w:bCs/>
          <w:sz w:val="32"/>
          <w:szCs w:val="32"/>
        </w:rPr>
        <w:t>0</w:t>
      </w:r>
      <w:r>
        <w:rPr>
          <w:rFonts w:eastAsia="仿宋_GB2312"/>
          <w:bCs/>
          <w:sz w:val="32"/>
          <w:szCs w:val="32"/>
        </w:rPr>
        <w:t>个项目开展绩</w:t>
      </w:r>
      <w:r>
        <w:rPr>
          <w:rFonts w:eastAsia="仿宋_GB2312"/>
          <w:bCs/>
          <w:sz w:val="32"/>
          <w:szCs w:val="32"/>
        </w:rPr>
        <w:lastRenderedPageBreak/>
        <w:t>效监控，年终执行完毕后，对</w:t>
      </w:r>
      <w:r>
        <w:rPr>
          <w:rFonts w:eastAsia="仿宋_GB2312"/>
          <w:bCs/>
          <w:sz w:val="32"/>
          <w:szCs w:val="32"/>
        </w:rPr>
        <w:t>0</w:t>
      </w:r>
      <w:r>
        <w:rPr>
          <w:rFonts w:eastAsia="仿宋_GB2312"/>
          <w:bCs/>
          <w:sz w:val="32"/>
          <w:szCs w:val="32"/>
        </w:rPr>
        <w:t>个项目开展了绩效自评，</w:t>
      </w:r>
      <w:r>
        <w:rPr>
          <w:rFonts w:eastAsia="仿宋_GB2312"/>
          <w:bCs/>
          <w:sz w:val="32"/>
          <w:szCs w:val="32"/>
        </w:rPr>
        <w:t>2021</w:t>
      </w:r>
      <w:r>
        <w:rPr>
          <w:rFonts w:eastAsia="仿宋_GB2312"/>
          <w:bCs/>
          <w:sz w:val="32"/>
          <w:szCs w:val="32"/>
        </w:rPr>
        <w:t>年特定目标类部门预算项目绩效目标自评表见附件（第四部分）。</w:t>
      </w:r>
    </w:p>
    <w:p w:rsidR="004E0AB4" w:rsidRDefault="004E0AB4">
      <w:pPr>
        <w:pStyle w:val="a4"/>
        <w:spacing w:before="93"/>
        <w:rPr>
          <w:rFonts w:ascii="Times New Roman"/>
          <w:highlight w:val="yellow"/>
        </w:rPr>
      </w:pPr>
    </w:p>
    <w:p w:rsidR="004E0AB4" w:rsidRDefault="00D63766">
      <w:pPr>
        <w:widowControl/>
        <w:jc w:val="left"/>
        <w:rPr>
          <w:rFonts w:eastAsia="仿宋_GB2312"/>
          <w:b/>
          <w:sz w:val="32"/>
          <w:szCs w:val="32"/>
        </w:rPr>
      </w:pPr>
      <w:r>
        <w:rPr>
          <w:rFonts w:eastAsia="仿宋_GB2312"/>
          <w:b/>
          <w:sz w:val="32"/>
          <w:szCs w:val="32"/>
        </w:rPr>
        <w:br w:type="page"/>
      </w:r>
    </w:p>
    <w:p w:rsidR="004E0AB4" w:rsidRDefault="00D63766">
      <w:pPr>
        <w:numPr>
          <w:ilvl w:val="0"/>
          <w:numId w:val="3"/>
        </w:numPr>
        <w:spacing w:line="600" w:lineRule="exact"/>
        <w:ind w:firstLineChars="150" w:firstLine="660"/>
        <w:jc w:val="center"/>
        <w:outlineLvl w:val="0"/>
        <w:rPr>
          <w:rStyle w:val="1Char"/>
          <w:rFonts w:eastAsia="黑体"/>
          <w:b w:val="0"/>
        </w:rPr>
      </w:pPr>
      <w:bookmarkStart w:id="77" w:name="_Toc15396613"/>
      <w:bookmarkStart w:id="78" w:name="_Toc113010969"/>
      <w:bookmarkStart w:id="79" w:name="_Toc15377225"/>
      <w:r>
        <w:rPr>
          <w:rFonts w:eastAsia="黑体"/>
          <w:sz w:val="44"/>
          <w:szCs w:val="44"/>
        </w:rPr>
        <w:lastRenderedPageBreak/>
        <w:t>名</w:t>
      </w:r>
      <w:r>
        <w:rPr>
          <w:rStyle w:val="1Char"/>
          <w:rFonts w:eastAsia="黑体"/>
          <w:b w:val="0"/>
        </w:rPr>
        <w:t>词解释</w:t>
      </w:r>
      <w:bookmarkEnd w:id="77"/>
      <w:bookmarkEnd w:id="78"/>
      <w:bookmarkEnd w:id="79"/>
    </w:p>
    <w:p w:rsidR="004E0AB4" w:rsidRDefault="004E0AB4">
      <w:pPr>
        <w:spacing w:line="600" w:lineRule="exact"/>
        <w:jc w:val="left"/>
        <w:rPr>
          <w:b/>
          <w:sz w:val="44"/>
          <w:szCs w:val="44"/>
        </w:rPr>
      </w:pPr>
    </w:p>
    <w:p w:rsidR="004E0AB4" w:rsidRDefault="00D63766">
      <w:pPr>
        <w:pStyle w:val="Default"/>
        <w:spacing w:line="550" w:lineRule="exact"/>
        <w:ind w:firstLineChars="200" w:firstLine="640"/>
        <w:rPr>
          <w:rFonts w:ascii="Times New Roman" w:eastAsia="仿宋_GB2312" w:hAnsi="Times New Roman" w:cs="Times New Roman"/>
          <w:color w:val="auto"/>
          <w:sz w:val="32"/>
          <w:szCs w:val="32"/>
        </w:rPr>
      </w:pPr>
      <w:bookmarkStart w:id="80" w:name="_Toc15396614"/>
      <w:bookmarkStart w:id="81" w:name="_Toc15377226"/>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财政拨款收入：指单位从同级财政部门取得的财政预算资金。</w:t>
      </w:r>
    </w:p>
    <w:p w:rsidR="004E0AB4" w:rsidRDefault="00D63766">
      <w:pPr>
        <w:spacing w:line="55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w:t>
      </w:r>
      <w:r>
        <w:rPr>
          <w:rFonts w:eastAsia="仿宋_GB2312"/>
          <w:kern w:val="0"/>
          <w:sz w:val="32"/>
          <w:szCs w:val="32"/>
        </w:rPr>
        <w:t>一般公共服务支出（类）发展与改革事务（款）行政运行（项）</w:t>
      </w:r>
      <w:r>
        <w:rPr>
          <w:rFonts w:eastAsia="仿宋_GB2312"/>
          <w:kern w:val="0"/>
          <w:sz w:val="32"/>
          <w:szCs w:val="32"/>
        </w:rPr>
        <w:t xml:space="preserve">: </w:t>
      </w:r>
      <w:r>
        <w:rPr>
          <w:rFonts w:eastAsia="仿宋_GB2312"/>
          <w:kern w:val="0"/>
          <w:sz w:val="32"/>
          <w:szCs w:val="32"/>
        </w:rPr>
        <w:t>指反映行政单位（包括实行公务员管理的事业单位）的基本支出。</w:t>
      </w:r>
    </w:p>
    <w:p w:rsidR="004E0AB4" w:rsidRDefault="00D63766">
      <w:pPr>
        <w:spacing w:line="55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kern w:val="0"/>
          <w:sz w:val="32"/>
          <w:szCs w:val="32"/>
        </w:rPr>
        <w:t>.</w:t>
      </w:r>
      <w:r>
        <w:rPr>
          <w:rFonts w:eastAsia="仿宋_GB2312"/>
          <w:kern w:val="0"/>
          <w:sz w:val="32"/>
          <w:szCs w:val="32"/>
        </w:rPr>
        <w:t>一般公共服务支出（类）发展与改革事务（款）一般行政管理事务（项）</w:t>
      </w:r>
      <w:r>
        <w:rPr>
          <w:rFonts w:eastAsia="仿宋_GB2312"/>
          <w:kern w:val="0"/>
          <w:sz w:val="32"/>
          <w:szCs w:val="32"/>
        </w:rPr>
        <w:t xml:space="preserve">: </w:t>
      </w:r>
      <w:r>
        <w:rPr>
          <w:rFonts w:eastAsia="仿宋_GB2312"/>
          <w:kern w:val="0"/>
          <w:sz w:val="32"/>
          <w:szCs w:val="32"/>
        </w:rPr>
        <w:t>指反映行政单位（包括实行公务员管理的事业单位）未单独设置项级科目的其他项目支出。</w:t>
      </w:r>
    </w:p>
    <w:p w:rsidR="004E0AB4" w:rsidRDefault="00D63766">
      <w:pPr>
        <w:shd w:val="solid" w:color="FFFFFF" w:fill="auto"/>
        <w:autoSpaceDN w:val="0"/>
        <w:spacing w:line="55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kern w:val="0"/>
          <w:sz w:val="32"/>
          <w:szCs w:val="32"/>
        </w:rPr>
        <w:t>.</w:t>
      </w:r>
      <w:r>
        <w:rPr>
          <w:rFonts w:eastAsia="仿宋_GB2312"/>
          <w:kern w:val="0"/>
          <w:sz w:val="32"/>
          <w:szCs w:val="32"/>
        </w:rPr>
        <w:t>社会保障和就业支出（类）行政事业单位养老支出（款）行政单位离退休（项）</w:t>
      </w:r>
      <w:r>
        <w:rPr>
          <w:rFonts w:eastAsia="仿宋_GB2312"/>
          <w:kern w:val="0"/>
          <w:sz w:val="32"/>
          <w:szCs w:val="32"/>
        </w:rPr>
        <w:t xml:space="preserve">: </w:t>
      </w:r>
      <w:r>
        <w:rPr>
          <w:rFonts w:eastAsia="仿宋_GB2312"/>
          <w:kern w:val="0"/>
          <w:sz w:val="32"/>
          <w:szCs w:val="32"/>
        </w:rPr>
        <w:t>指行政单位（包括实行公务员管理的事业单位）开支的离退休经费。</w:t>
      </w:r>
    </w:p>
    <w:p w:rsidR="004E0AB4" w:rsidRDefault="00D63766">
      <w:pPr>
        <w:spacing w:line="55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kern w:val="0"/>
          <w:sz w:val="32"/>
          <w:szCs w:val="32"/>
        </w:rPr>
        <w:t>.</w:t>
      </w:r>
      <w:r>
        <w:rPr>
          <w:rFonts w:eastAsia="仿宋_GB2312"/>
          <w:kern w:val="0"/>
          <w:sz w:val="32"/>
          <w:szCs w:val="32"/>
        </w:rPr>
        <w:t>社会保障和就业支出（类）行政事业单位养老支出（款）机关事业单位基本养老保险缴费支出（项）</w:t>
      </w:r>
      <w:r>
        <w:rPr>
          <w:rFonts w:eastAsia="仿宋_GB2312"/>
          <w:kern w:val="0"/>
          <w:sz w:val="32"/>
          <w:szCs w:val="32"/>
        </w:rPr>
        <w:t xml:space="preserve">: </w:t>
      </w:r>
      <w:r>
        <w:rPr>
          <w:rFonts w:eastAsia="仿宋_GB2312"/>
          <w:kern w:val="0"/>
          <w:sz w:val="32"/>
          <w:szCs w:val="32"/>
        </w:rPr>
        <w:t>反映机关事业单位实施养老保险制度由单位缴纳的基本养老保险费支出。</w:t>
      </w:r>
    </w:p>
    <w:p w:rsidR="004E0AB4" w:rsidRDefault="00D63766">
      <w:pPr>
        <w:shd w:val="solid" w:color="FFFFFF" w:fill="auto"/>
        <w:autoSpaceDN w:val="0"/>
        <w:spacing w:line="55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kern w:val="0"/>
          <w:sz w:val="32"/>
          <w:szCs w:val="32"/>
        </w:rPr>
        <w:t>.</w:t>
      </w:r>
      <w:r>
        <w:rPr>
          <w:rFonts w:eastAsia="仿宋_GB2312"/>
          <w:kern w:val="0"/>
          <w:sz w:val="32"/>
          <w:szCs w:val="32"/>
        </w:rPr>
        <w:t>卫生健康（类）行政事业单位医疗（款）行政单位医疗（项）</w:t>
      </w:r>
      <w:r>
        <w:rPr>
          <w:rFonts w:eastAsia="仿宋_GB2312"/>
          <w:kern w:val="0"/>
          <w:sz w:val="32"/>
          <w:szCs w:val="32"/>
        </w:rPr>
        <w:t xml:space="preserve">: </w:t>
      </w:r>
      <w:r>
        <w:rPr>
          <w:rFonts w:eastAsia="仿宋_GB2312"/>
          <w:kern w:val="0"/>
          <w:sz w:val="32"/>
          <w:szCs w:val="32"/>
        </w:rPr>
        <w:t>指反映财政部门安排的行政单位（包括实行公务员管理的事业单位）基本医疗保险缴费经费，未参加医疗保险的行政单位的公费医疗经费，按国家规定享受离休人员、红军老战士待遇人员的医疗经费。</w:t>
      </w:r>
    </w:p>
    <w:p w:rsidR="004E0AB4" w:rsidRDefault="00D63766">
      <w:pPr>
        <w:shd w:val="solid" w:color="FFFFFF" w:fill="auto"/>
        <w:autoSpaceDN w:val="0"/>
        <w:spacing w:line="550" w:lineRule="exact"/>
        <w:ind w:firstLineChars="200" w:firstLine="640"/>
        <w:rPr>
          <w:rFonts w:eastAsia="仿宋_GB2312"/>
          <w:kern w:val="0"/>
          <w:sz w:val="32"/>
          <w:szCs w:val="32"/>
        </w:rPr>
      </w:pPr>
      <w:r>
        <w:rPr>
          <w:rFonts w:eastAsia="仿宋_GB2312" w:hint="eastAsia"/>
          <w:kern w:val="0"/>
          <w:sz w:val="32"/>
          <w:szCs w:val="32"/>
        </w:rPr>
        <w:t>7</w:t>
      </w:r>
      <w:r>
        <w:rPr>
          <w:rFonts w:eastAsia="仿宋_GB2312"/>
          <w:kern w:val="0"/>
          <w:sz w:val="32"/>
          <w:szCs w:val="32"/>
        </w:rPr>
        <w:t>.</w:t>
      </w:r>
      <w:r>
        <w:rPr>
          <w:rFonts w:eastAsia="仿宋_GB2312"/>
          <w:kern w:val="0"/>
          <w:sz w:val="32"/>
          <w:szCs w:val="32"/>
        </w:rPr>
        <w:t>卫生健康（类）行政事业单位医疗（款）公务员医疗补助（项）</w:t>
      </w:r>
      <w:r>
        <w:rPr>
          <w:rFonts w:eastAsia="仿宋_GB2312"/>
          <w:kern w:val="0"/>
          <w:sz w:val="32"/>
          <w:szCs w:val="32"/>
        </w:rPr>
        <w:t xml:space="preserve">: </w:t>
      </w:r>
      <w:r>
        <w:rPr>
          <w:rFonts w:eastAsia="仿宋_GB2312"/>
          <w:kern w:val="0"/>
          <w:sz w:val="32"/>
          <w:szCs w:val="32"/>
        </w:rPr>
        <w:t>指反映财政部门安排的公务员医疗补助经费。</w:t>
      </w:r>
    </w:p>
    <w:p w:rsidR="004E0AB4" w:rsidRDefault="00D63766">
      <w:pPr>
        <w:spacing w:line="550" w:lineRule="exact"/>
        <w:ind w:firstLineChars="200" w:firstLine="640"/>
        <w:rPr>
          <w:rFonts w:eastAsia="仿宋_GB2312"/>
          <w:kern w:val="0"/>
          <w:sz w:val="32"/>
          <w:szCs w:val="32"/>
        </w:rPr>
      </w:pPr>
      <w:r>
        <w:rPr>
          <w:rFonts w:eastAsia="仿宋_GB2312" w:hint="eastAsia"/>
          <w:kern w:val="0"/>
          <w:sz w:val="32"/>
          <w:szCs w:val="32"/>
        </w:rPr>
        <w:t>8</w:t>
      </w:r>
      <w:r>
        <w:rPr>
          <w:rFonts w:eastAsia="仿宋_GB2312"/>
          <w:kern w:val="0"/>
          <w:sz w:val="32"/>
          <w:szCs w:val="32"/>
        </w:rPr>
        <w:t>.</w:t>
      </w:r>
      <w:r>
        <w:rPr>
          <w:rFonts w:eastAsia="仿宋_GB2312"/>
          <w:kern w:val="0"/>
          <w:sz w:val="32"/>
          <w:szCs w:val="32"/>
        </w:rPr>
        <w:t>住房保障支出（类）住房改革支出（款）住房公积金（项）</w:t>
      </w:r>
      <w:r>
        <w:rPr>
          <w:rFonts w:eastAsia="仿宋_GB2312"/>
          <w:kern w:val="0"/>
          <w:sz w:val="32"/>
          <w:szCs w:val="32"/>
        </w:rPr>
        <w:t xml:space="preserve">: </w:t>
      </w:r>
      <w:r>
        <w:rPr>
          <w:rFonts w:eastAsia="仿宋_GB2312"/>
          <w:kern w:val="0"/>
          <w:sz w:val="32"/>
          <w:szCs w:val="32"/>
        </w:rPr>
        <w:t>指反映行政事业单位按人力资源和社会保障部</w:t>
      </w:r>
      <w:r>
        <w:rPr>
          <w:rFonts w:eastAsia="仿宋_GB2312"/>
          <w:kern w:val="0"/>
          <w:sz w:val="32"/>
          <w:szCs w:val="32"/>
        </w:rPr>
        <w:t>、财</w:t>
      </w:r>
      <w:r>
        <w:rPr>
          <w:rFonts w:eastAsia="仿宋_GB2312"/>
          <w:kern w:val="0"/>
          <w:sz w:val="32"/>
          <w:szCs w:val="32"/>
        </w:rPr>
        <w:lastRenderedPageBreak/>
        <w:t>政部规定的基本工资和津贴补贴以及规定比例为职工缴纳的住房公积金。</w:t>
      </w:r>
    </w:p>
    <w:p w:rsidR="004E0AB4" w:rsidRDefault="00D63766">
      <w:pPr>
        <w:shd w:val="solid" w:color="FFFFFF" w:fill="auto"/>
        <w:autoSpaceDN w:val="0"/>
        <w:spacing w:line="550" w:lineRule="exact"/>
        <w:ind w:firstLineChars="200" w:firstLine="640"/>
        <w:rPr>
          <w:rFonts w:eastAsia="仿宋_GB2312"/>
          <w:kern w:val="0"/>
          <w:sz w:val="32"/>
          <w:szCs w:val="32"/>
        </w:rPr>
      </w:pPr>
      <w:r>
        <w:rPr>
          <w:rFonts w:eastAsia="仿宋_GB2312" w:hint="eastAsia"/>
          <w:kern w:val="0"/>
          <w:sz w:val="32"/>
          <w:szCs w:val="32"/>
        </w:rPr>
        <w:t>9</w:t>
      </w:r>
      <w:r>
        <w:rPr>
          <w:rFonts w:eastAsia="仿宋_GB2312"/>
          <w:kern w:val="0"/>
          <w:sz w:val="32"/>
          <w:szCs w:val="32"/>
        </w:rPr>
        <w:t>.</w:t>
      </w:r>
      <w:r>
        <w:rPr>
          <w:rFonts w:eastAsia="仿宋_GB2312"/>
          <w:kern w:val="0"/>
          <w:sz w:val="32"/>
          <w:szCs w:val="32"/>
        </w:rPr>
        <w:t>住房保障支出（类）住房改革支出（款）购房补贴（项）</w:t>
      </w:r>
      <w:r>
        <w:rPr>
          <w:rFonts w:eastAsia="仿宋_GB2312"/>
          <w:kern w:val="0"/>
          <w:sz w:val="32"/>
          <w:szCs w:val="32"/>
        </w:rPr>
        <w:t xml:space="preserve">: </w:t>
      </w:r>
      <w:r>
        <w:rPr>
          <w:rFonts w:eastAsia="仿宋_GB2312"/>
          <w:kern w:val="0"/>
          <w:sz w:val="32"/>
          <w:szCs w:val="32"/>
        </w:rPr>
        <w:t>指反映按房改政策规定，行政事业单位向符合条件职工（含离退休）、军队（含武警）向转役复员离退休人员发放的用于购买住房的补贴。</w:t>
      </w:r>
    </w:p>
    <w:p w:rsidR="004E0AB4" w:rsidRDefault="00D63766">
      <w:pPr>
        <w:spacing w:line="550" w:lineRule="exact"/>
        <w:ind w:firstLineChars="200" w:firstLine="640"/>
        <w:rPr>
          <w:rFonts w:eastAsia="仿宋_GB2312"/>
          <w:kern w:val="0"/>
          <w:sz w:val="32"/>
          <w:szCs w:val="32"/>
        </w:rPr>
      </w:pPr>
      <w:r>
        <w:rPr>
          <w:rFonts w:eastAsia="仿宋_GB2312" w:hint="eastAsia"/>
          <w:kern w:val="0"/>
          <w:sz w:val="32"/>
          <w:szCs w:val="32"/>
        </w:rPr>
        <w:t>10</w:t>
      </w:r>
      <w:r>
        <w:rPr>
          <w:rFonts w:eastAsia="仿宋_GB2312"/>
          <w:kern w:val="0"/>
          <w:sz w:val="32"/>
          <w:szCs w:val="32"/>
        </w:rPr>
        <w:t>.</w:t>
      </w:r>
      <w:r>
        <w:rPr>
          <w:rFonts w:eastAsia="仿宋_GB2312"/>
          <w:kern w:val="0"/>
          <w:sz w:val="32"/>
          <w:szCs w:val="32"/>
        </w:rPr>
        <w:t>基本支出：指为保障机构正常运转、完成日常工作任务而发生的人员支出和公用支出。</w:t>
      </w:r>
    </w:p>
    <w:p w:rsidR="004E0AB4" w:rsidRDefault="00D63766">
      <w:pPr>
        <w:spacing w:line="55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1</w:t>
      </w:r>
      <w:r>
        <w:rPr>
          <w:rFonts w:eastAsia="仿宋_GB2312"/>
          <w:kern w:val="0"/>
          <w:sz w:val="32"/>
          <w:szCs w:val="32"/>
        </w:rPr>
        <w:t>.</w:t>
      </w:r>
      <w:r>
        <w:rPr>
          <w:rFonts w:eastAsia="仿宋_GB2312"/>
          <w:kern w:val="0"/>
          <w:sz w:val="32"/>
          <w:szCs w:val="32"/>
        </w:rPr>
        <w:t>项目支出：指在基本支出之外为完成特定行政任务和事业发展目标所发生的支出。</w:t>
      </w:r>
    </w:p>
    <w:p w:rsidR="004E0AB4" w:rsidRDefault="00D63766">
      <w:pPr>
        <w:pStyle w:val="Default"/>
        <w:spacing w:line="55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经费：指部门用财政拨款安排的因公出国（境）费、公务用车购置及运行费和公务接待费。其</w:t>
      </w:r>
      <w:r>
        <w:rPr>
          <w:rFonts w:ascii="Times New Roman" w:eastAsia="仿宋_GB2312" w:hAnsi="Times New Roman" w:cs="Times New Roman"/>
          <w:color w:val="auto"/>
          <w:sz w:val="32"/>
          <w:szCs w:val="32"/>
        </w:rPr>
        <w:t>中，因公出国（境）</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单位公务出国（境）的国际旅费、国外城市间交通费、住宿费、伙食费、培训费、公杂费等支出；公务用车购置及运行</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单位公务用车车辆购置支出（</w:t>
      </w:r>
      <w:proofErr w:type="gramStart"/>
      <w:r>
        <w:rPr>
          <w:rFonts w:ascii="Times New Roman" w:eastAsia="仿宋_GB2312" w:hAnsi="Times New Roman" w:cs="Times New Roman"/>
          <w:color w:val="auto"/>
          <w:sz w:val="32"/>
          <w:szCs w:val="32"/>
        </w:rPr>
        <w:t>含车辆</w:t>
      </w:r>
      <w:proofErr w:type="gramEnd"/>
      <w:r>
        <w:rPr>
          <w:rFonts w:ascii="Times New Roman" w:eastAsia="仿宋_GB2312" w:hAnsi="Times New Roman" w:cs="Times New Roman"/>
          <w:color w:val="auto"/>
          <w:sz w:val="32"/>
          <w:szCs w:val="32"/>
        </w:rPr>
        <w:t>购置税）及租用费、燃料费、维修费、过路过桥费、保险费等支出；公务接待</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单位按规定开支的各类公务接待（含外宾接待）支出。</w:t>
      </w:r>
    </w:p>
    <w:p w:rsidR="004E0AB4" w:rsidRDefault="00D63766">
      <w:pPr>
        <w:pStyle w:val="Default"/>
        <w:spacing w:line="55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w:t>
      </w:r>
      <w:r>
        <w:rPr>
          <w:rFonts w:ascii="Times New Roman" w:eastAsia="仿宋_GB2312" w:hAnsi="Times New Roman" w:cs="Times New Roman"/>
          <w:color w:val="auto"/>
          <w:sz w:val="32"/>
          <w:szCs w:val="32"/>
        </w:rPr>
        <w:t>公用房物业管理费、公务用车运行维护费以及其他费用。</w:t>
      </w:r>
    </w:p>
    <w:p w:rsidR="004E0AB4" w:rsidRDefault="004E0AB4">
      <w:pPr>
        <w:pStyle w:val="Default"/>
        <w:spacing w:line="560" w:lineRule="exact"/>
        <w:ind w:firstLineChars="200" w:firstLine="640"/>
        <w:rPr>
          <w:rFonts w:ascii="Times New Roman" w:eastAsia="仿宋_GB2312" w:hAnsi="Times New Roman" w:cs="Times New Roman"/>
          <w:color w:val="auto"/>
          <w:sz w:val="32"/>
          <w:szCs w:val="32"/>
        </w:rPr>
      </w:pPr>
    </w:p>
    <w:p w:rsidR="004E0AB4" w:rsidRDefault="004E0AB4">
      <w:pPr>
        <w:pStyle w:val="Default"/>
        <w:spacing w:line="560" w:lineRule="exact"/>
        <w:ind w:firstLineChars="200" w:firstLine="640"/>
        <w:rPr>
          <w:rFonts w:ascii="Times New Roman" w:eastAsia="仿宋_GB2312" w:hAnsi="Times New Roman" w:cs="Times New Roman"/>
          <w:color w:val="auto"/>
          <w:sz w:val="32"/>
          <w:szCs w:val="32"/>
        </w:rPr>
      </w:pPr>
    </w:p>
    <w:p w:rsidR="004E0AB4" w:rsidRDefault="00D63766">
      <w:pPr>
        <w:spacing w:line="600" w:lineRule="exact"/>
        <w:jc w:val="center"/>
        <w:outlineLvl w:val="0"/>
        <w:rPr>
          <w:rStyle w:val="1Char"/>
          <w:rFonts w:eastAsia="黑体"/>
          <w:b w:val="0"/>
        </w:rPr>
      </w:pPr>
      <w:bookmarkStart w:id="82" w:name="_Toc113010970"/>
      <w:r>
        <w:rPr>
          <w:rFonts w:eastAsia="黑体"/>
          <w:sz w:val="44"/>
          <w:szCs w:val="44"/>
        </w:rPr>
        <w:t>第</w:t>
      </w:r>
      <w:r>
        <w:rPr>
          <w:rStyle w:val="1Char"/>
          <w:rFonts w:eastAsia="黑体"/>
          <w:b w:val="0"/>
        </w:rPr>
        <w:t>四部分</w:t>
      </w:r>
      <w:r>
        <w:rPr>
          <w:rStyle w:val="1Char"/>
          <w:rFonts w:eastAsia="黑体"/>
          <w:b w:val="0"/>
        </w:rPr>
        <w:t xml:space="preserve"> </w:t>
      </w:r>
      <w:r>
        <w:rPr>
          <w:rStyle w:val="1Char"/>
          <w:rFonts w:eastAsia="黑体"/>
          <w:b w:val="0"/>
        </w:rPr>
        <w:t>附件</w:t>
      </w:r>
      <w:bookmarkStart w:id="83" w:name="_GoBack"/>
      <w:bookmarkEnd w:id="80"/>
      <w:bookmarkEnd w:id="82"/>
      <w:bookmarkEnd w:id="83"/>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4E0AB4">
        <w:trPr>
          <w:trHeight w:val="675"/>
        </w:trPr>
        <w:tc>
          <w:tcPr>
            <w:tcW w:w="9577" w:type="dxa"/>
            <w:gridSpan w:val="6"/>
            <w:tcBorders>
              <w:top w:val="nil"/>
              <w:left w:val="nil"/>
              <w:bottom w:val="nil"/>
              <w:right w:val="nil"/>
            </w:tcBorders>
            <w:shd w:val="clear" w:color="auto" w:fill="auto"/>
            <w:vAlign w:val="center"/>
          </w:tcPr>
          <w:p w:rsidR="004E0AB4" w:rsidRDefault="00D63766">
            <w:pPr>
              <w:widowControl/>
              <w:textAlignment w:val="center"/>
              <w:rPr>
                <w:b/>
                <w:sz w:val="32"/>
                <w:szCs w:val="32"/>
              </w:rPr>
            </w:pPr>
            <w:bookmarkStart w:id="84" w:name="_Toc15396618"/>
            <w:r>
              <w:rPr>
                <w:b/>
                <w:sz w:val="32"/>
                <w:szCs w:val="32"/>
              </w:rPr>
              <w:t>2021</w:t>
            </w:r>
            <w:r>
              <w:rPr>
                <w:rFonts w:hAnsi="宋体"/>
                <w:b/>
                <w:sz w:val="32"/>
                <w:szCs w:val="32"/>
              </w:rPr>
              <w:t>年</w:t>
            </w:r>
            <w:r>
              <w:rPr>
                <w:b/>
                <w:sz w:val="32"/>
                <w:szCs w:val="32"/>
              </w:rPr>
              <w:t>100</w:t>
            </w:r>
            <w:r>
              <w:rPr>
                <w:rFonts w:hAnsi="宋体"/>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4E0AB4" w:rsidRDefault="004E0AB4">
            <w:pPr>
              <w:widowControl/>
              <w:jc w:val="center"/>
              <w:textAlignment w:val="center"/>
              <w:rPr>
                <w:b/>
                <w:kern w:val="0"/>
                <w:sz w:val="32"/>
                <w:szCs w:val="32"/>
              </w:rPr>
            </w:pPr>
          </w:p>
        </w:tc>
      </w:tr>
      <w:tr w:rsidR="004E0AB4">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sz w:val="24"/>
              </w:rPr>
            </w:pPr>
            <w:r>
              <w:rPr>
                <w:rFonts w:hAnsi="宋体"/>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sz w:val="24"/>
              </w:rPr>
            </w:pPr>
            <w:r>
              <w:rPr>
                <w:rFonts w:hAnsi="宋体"/>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jc w:val="center"/>
              <w:textAlignment w:val="center"/>
              <w:rPr>
                <w:sz w:val="24"/>
              </w:rPr>
            </w:pPr>
          </w:p>
        </w:tc>
      </w:tr>
      <w:tr w:rsidR="004E0AB4">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rFonts w:hAnsi="宋体"/>
                <w:kern w:val="0"/>
                <w:sz w:val="24"/>
              </w:rPr>
            </w:pPr>
            <w:r>
              <w:rPr>
                <w:rFonts w:hAnsi="宋体"/>
                <w:kern w:val="0"/>
                <w:sz w:val="24"/>
              </w:rPr>
              <w:t>项目预算</w:t>
            </w:r>
          </w:p>
          <w:p w:rsidR="004E0AB4" w:rsidRDefault="00D63766">
            <w:pPr>
              <w:widowControl/>
              <w:spacing w:line="320" w:lineRule="exact"/>
              <w:jc w:val="center"/>
              <w:textAlignment w:val="center"/>
              <w:rPr>
                <w:rFonts w:hAnsi="宋体"/>
                <w:kern w:val="0"/>
                <w:sz w:val="24"/>
              </w:rPr>
            </w:pPr>
            <w:r>
              <w:rPr>
                <w:rFonts w:hAnsi="宋体"/>
                <w:kern w:val="0"/>
                <w:sz w:val="24"/>
              </w:rPr>
              <w:t>执行情况</w:t>
            </w:r>
          </w:p>
          <w:p w:rsidR="004E0AB4" w:rsidRDefault="00D63766">
            <w:pPr>
              <w:widowControl/>
              <w:spacing w:line="320" w:lineRule="exact"/>
              <w:jc w:val="center"/>
              <w:textAlignment w:val="center"/>
              <w:rPr>
                <w:sz w:val="24"/>
              </w:rPr>
            </w:pPr>
            <w:r>
              <w:rPr>
                <w:rFonts w:hAnsi="宋体"/>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left"/>
              <w:textAlignment w:val="center"/>
              <w:rPr>
                <w:sz w:val="24"/>
              </w:rPr>
            </w:pPr>
            <w:r>
              <w:rPr>
                <w:rFonts w:hAnsi="宋体"/>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jc w:val="lef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left"/>
              <w:textAlignment w:val="center"/>
              <w:rPr>
                <w:sz w:val="24"/>
              </w:rPr>
            </w:pPr>
            <w:r>
              <w:rPr>
                <w:rFonts w:hAnsi="宋体"/>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jc w:val="right"/>
              <w:textAlignment w:val="center"/>
              <w:rPr>
                <w:sz w:val="24"/>
              </w:rPr>
            </w:pPr>
          </w:p>
        </w:tc>
      </w:tr>
      <w:tr w:rsidR="004E0AB4">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spacing w:line="320" w:lineRule="exact"/>
              <w:jc w:val="center"/>
              <w:rPr>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left"/>
              <w:textAlignment w:val="center"/>
              <w:rPr>
                <w:kern w:val="0"/>
                <w:sz w:val="24"/>
              </w:rPr>
            </w:pPr>
            <w:r>
              <w:rPr>
                <w:rFonts w:hAnsi="宋体"/>
                <w:kern w:val="0"/>
                <w:sz w:val="24"/>
              </w:rPr>
              <w:t>其中：</w:t>
            </w:r>
          </w:p>
          <w:p w:rsidR="004E0AB4" w:rsidRDefault="00D63766">
            <w:pPr>
              <w:widowControl/>
              <w:spacing w:line="320" w:lineRule="exact"/>
              <w:jc w:val="left"/>
              <w:textAlignment w:val="center"/>
              <w:rPr>
                <w:sz w:val="24"/>
              </w:rPr>
            </w:pPr>
            <w:r>
              <w:rPr>
                <w:rFonts w:hAnsi="宋体"/>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jc w:val="lef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left"/>
              <w:textAlignment w:val="center"/>
              <w:rPr>
                <w:kern w:val="0"/>
                <w:sz w:val="24"/>
              </w:rPr>
            </w:pPr>
            <w:r>
              <w:rPr>
                <w:rFonts w:hAnsi="宋体"/>
                <w:kern w:val="0"/>
                <w:sz w:val="24"/>
              </w:rPr>
              <w:t>其中：</w:t>
            </w:r>
          </w:p>
          <w:p w:rsidR="004E0AB4" w:rsidRDefault="00D63766">
            <w:pPr>
              <w:widowControl/>
              <w:spacing w:line="320" w:lineRule="exact"/>
              <w:jc w:val="left"/>
              <w:textAlignment w:val="center"/>
              <w:rPr>
                <w:sz w:val="24"/>
              </w:rPr>
            </w:pPr>
            <w:r>
              <w:rPr>
                <w:rFonts w:hAnsi="宋体"/>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textAlignment w:val="center"/>
              <w:rPr>
                <w:sz w:val="24"/>
              </w:rPr>
            </w:pPr>
          </w:p>
        </w:tc>
      </w:tr>
      <w:tr w:rsidR="004E0AB4">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spacing w:line="320" w:lineRule="exact"/>
              <w:jc w:val="center"/>
              <w:rPr>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left"/>
              <w:textAlignment w:val="center"/>
              <w:rPr>
                <w:sz w:val="24"/>
              </w:rPr>
            </w:pPr>
            <w:r>
              <w:rPr>
                <w:rFonts w:hAnsi="宋体"/>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jc w:val="lef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left"/>
              <w:textAlignment w:val="center"/>
              <w:rPr>
                <w:sz w:val="24"/>
              </w:rPr>
            </w:pPr>
            <w:r>
              <w:rPr>
                <w:rFonts w:hAnsi="宋体"/>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widowControl/>
              <w:spacing w:line="320" w:lineRule="exact"/>
              <w:jc w:val="center"/>
              <w:textAlignment w:val="center"/>
              <w:rPr>
                <w:sz w:val="24"/>
              </w:rPr>
            </w:pPr>
          </w:p>
        </w:tc>
      </w:tr>
      <w:tr w:rsidR="004E0AB4">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kern w:val="0"/>
                <w:sz w:val="24"/>
              </w:rPr>
            </w:pPr>
            <w:r>
              <w:rPr>
                <w:rFonts w:hAnsi="宋体"/>
                <w:kern w:val="0"/>
                <w:sz w:val="24"/>
              </w:rPr>
              <w:t>年度总体目标</w:t>
            </w:r>
          </w:p>
          <w:p w:rsidR="004E0AB4" w:rsidRDefault="00D63766">
            <w:pPr>
              <w:widowControl/>
              <w:spacing w:line="320" w:lineRule="exact"/>
              <w:jc w:val="center"/>
              <w:textAlignment w:val="center"/>
              <w:rPr>
                <w:sz w:val="24"/>
              </w:rPr>
            </w:pPr>
            <w:r>
              <w:rPr>
                <w:rFonts w:hAnsi="宋体"/>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sz w:val="24"/>
              </w:rPr>
            </w:pPr>
            <w:r>
              <w:rPr>
                <w:rFonts w:hAnsi="宋体"/>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sz w:val="24"/>
              </w:rPr>
            </w:pPr>
            <w:r>
              <w:rPr>
                <w:rFonts w:hAnsi="宋体"/>
                <w:kern w:val="0"/>
                <w:sz w:val="24"/>
              </w:rPr>
              <w:t>目标实际完成情况</w:t>
            </w:r>
          </w:p>
        </w:tc>
      </w:tr>
      <w:tr w:rsidR="004E0AB4">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4E0AB4">
            <w:pPr>
              <w:spacing w:line="320" w:lineRule="exact"/>
              <w:jc w:val="center"/>
              <w:rPr>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4E0AB4" w:rsidRDefault="004E0AB4">
            <w:pPr>
              <w:widowControl/>
              <w:spacing w:line="320" w:lineRule="exact"/>
              <w:jc w:val="left"/>
              <w:textAlignment w:val="top"/>
              <w:rPr>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4E0AB4" w:rsidRDefault="004E0AB4">
            <w:pPr>
              <w:widowControl/>
              <w:spacing w:line="320" w:lineRule="exact"/>
              <w:jc w:val="left"/>
              <w:textAlignment w:val="top"/>
              <w:rPr>
                <w:sz w:val="24"/>
              </w:rPr>
            </w:pPr>
          </w:p>
        </w:tc>
      </w:tr>
      <w:tr w:rsidR="004E0AB4">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rFonts w:eastAsia="仿宋_GB2312"/>
                <w:sz w:val="28"/>
                <w:szCs w:val="28"/>
              </w:rPr>
            </w:pPr>
            <w:r>
              <w:rPr>
                <w:rFonts w:eastAsia="仿宋_GB2312" w:hAnsi="仿宋_GB2312"/>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rFonts w:eastAsia="仿宋_GB2312"/>
                <w:kern w:val="0"/>
                <w:sz w:val="28"/>
                <w:szCs w:val="28"/>
              </w:rPr>
            </w:pPr>
            <w:r>
              <w:rPr>
                <w:rFonts w:eastAsia="仿宋_GB2312" w:hAnsi="仿宋_GB2312"/>
                <w:kern w:val="0"/>
                <w:sz w:val="28"/>
                <w:szCs w:val="28"/>
              </w:rPr>
              <w:t>一级</w:t>
            </w:r>
          </w:p>
          <w:p w:rsidR="004E0AB4" w:rsidRDefault="00D63766">
            <w:pPr>
              <w:widowControl/>
              <w:spacing w:line="320" w:lineRule="exact"/>
              <w:jc w:val="center"/>
              <w:textAlignment w:val="center"/>
              <w:rPr>
                <w:rFonts w:eastAsia="仿宋_GB2312"/>
                <w:sz w:val="28"/>
                <w:szCs w:val="28"/>
              </w:rPr>
            </w:pPr>
            <w:r>
              <w:rPr>
                <w:rFonts w:eastAsia="仿宋_GB2312" w:hAnsi="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rFonts w:eastAsia="仿宋_GB2312"/>
                <w:kern w:val="0"/>
                <w:sz w:val="28"/>
                <w:szCs w:val="28"/>
              </w:rPr>
            </w:pPr>
            <w:r>
              <w:rPr>
                <w:rFonts w:eastAsia="仿宋_GB2312" w:hAnsi="仿宋_GB2312"/>
                <w:kern w:val="0"/>
                <w:sz w:val="28"/>
                <w:szCs w:val="28"/>
              </w:rPr>
              <w:t>二级</w:t>
            </w:r>
          </w:p>
          <w:p w:rsidR="004E0AB4" w:rsidRDefault="00D63766">
            <w:pPr>
              <w:widowControl/>
              <w:spacing w:line="320" w:lineRule="exact"/>
              <w:jc w:val="center"/>
              <w:textAlignment w:val="center"/>
              <w:rPr>
                <w:rFonts w:eastAsia="仿宋_GB2312"/>
                <w:sz w:val="28"/>
                <w:szCs w:val="28"/>
              </w:rPr>
            </w:pPr>
            <w:r>
              <w:rPr>
                <w:rFonts w:eastAsia="仿宋_GB2312" w:hAnsi="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rFonts w:eastAsia="仿宋_GB2312"/>
                <w:kern w:val="0"/>
                <w:sz w:val="28"/>
                <w:szCs w:val="28"/>
              </w:rPr>
            </w:pPr>
            <w:r>
              <w:rPr>
                <w:rFonts w:eastAsia="仿宋_GB2312" w:hAnsi="仿宋_GB2312"/>
                <w:kern w:val="0"/>
                <w:sz w:val="28"/>
                <w:szCs w:val="28"/>
              </w:rPr>
              <w:t>三级</w:t>
            </w:r>
          </w:p>
          <w:p w:rsidR="004E0AB4" w:rsidRDefault="00D63766">
            <w:pPr>
              <w:widowControl/>
              <w:spacing w:line="320" w:lineRule="exact"/>
              <w:jc w:val="center"/>
              <w:textAlignment w:val="center"/>
              <w:rPr>
                <w:rFonts w:eastAsia="仿宋_GB2312"/>
                <w:sz w:val="28"/>
                <w:szCs w:val="28"/>
              </w:rPr>
            </w:pPr>
            <w:r>
              <w:rPr>
                <w:rFonts w:eastAsia="仿宋_GB2312" w:hAnsi="仿宋_GB2312"/>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rFonts w:eastAsia="仿宋_GB2312"/>
                <w:sz w:val="28"/>
                <w:szCs w:val="28"/>
              </w:rPr>
            </w:pPr>
            <w:r>
              <w:rPr>
                <w:rFonts w:eastAsia="仿宋_GB2312" w:hAnsi="仿宋_GB2312"/>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center"/>
              <w:rPr>
                <w:rFonts w:eastAsia="仿宋_GB2312"/>
                <w:sz w:val="28"/>
                <w:szCs w:val="28"/>
              </w:rPr>
            </w:pPr>
            <w:r>
              <w:rPr>
                <w:rFonts w:eastAsia="仿宋_GB2312" w:hAnsi="仿宋_GB2312"/>
                <w:kern w:val="0"/>
                <w:sz w:val="28"/>
                <w:szCs w:val="28"/>
              </w:rPr>
              <w:t>实际完成指标值</w:t>
            </w:r>
          </w:p>
        </w:tc>
      </w:tr>
      <w:tr w:rsidR="004E0AB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bottom"/>
              <w:rPr>
                <w:rFonts w:eastAsia="仿宋_GB2312"/>
                <w:kern w:val="0"/>
                <w:sz w:val="28"/>
                <w:szCs w:val="28"/>
              </w:rPr>
            </w:pPr>
            <w:r>
              <w:rPr>
                <w:rFonts w:eastAsia="仿宋_GB2312" w:hAnsi="仿宋_GB2312"/>
                <w:kern w:val="0"/>
                <w:sz w:val="28"/>
                <w:szCs w:val="28"/>
              </w:rPr>
              <w:t>完成</w:t>
            </w:r>
          </w:p>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AB4" w:rsidRDefault="00D63766">
            <w:pPr>
              <w:widowControl/>
              <w:spacing w:line="320" w:lineRule="exact"/>
              <w:jc w:val="center"/>
              <w:textAlignment w:val="bottom"/>
              <w:rPr>
                <w:rFonts w:eastAsia="仿宋_GB2312" w:hAnsi="仿宋_GB2312"/>
                <w:kern w:val="0"/>
                <w:sz w:val="28"/>
                <w:szCs w:val="28"/>
              </w:rPr>
            </w:pPr>
            <w:r>
              <w:rPr>
                <w:rFonts w:eastAsia="仿宋_GB2312" w:hAnsi="仿宋_GB2312"/>
                <w:kern w:val="0"/>
                <w:sz w:val="28"/>
                <w:szCs w:val="28"/>
              </w:rPr>
              <w:t>效益</w:t>
            </w:r>
          </w:p>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经济效益指标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社会效益指标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ind w:leftChars="87" w:left="463" w:hangingChars="100" w:hanging="280"/>
              <w:jc w:val="left"/>
              <w:textAlignment w:val="bottom"/>
              <w:rPr>
                <w:rFonts w:eastAsia="仿宋_GB2312"/>
                <w:sz w:val="28"/>
                <w:szCs w:val="28"/>
              </w:rPr>
            </w:pPr>
            <w:r>
              <w:rPr>
                <w:rFonts w:eastAsia="仿宋_GB2312" w:hAnsi="仿宋_GB2312"/>
                <w:kern w:val="0"/>
                <w:sz w:val="28"/>
                <w:szCs w:val="28"/>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r w:rsidR="004E0AB4">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4E0AB4" w:rsidRDefault="004E0AB4">
            <w:pPr>
              <w:spacing w:line="320" w:lineRule="exact"/>
              <w:jc w:val="center"/>
              <w:rPr>
                <w:rFonts w:eastAsia="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hAnsi="仿宋_GB2312"/>
                <w:kern w:val="0"/>
                <w:sz w:val="28"/>
                <w:szCs w:val="28"/>
              </w:rPr>
            </w:pPr>
            <w:r>
              <w:rPr>
                <w:rFonts w:eastAsia="仿宋_GB2312" w:hAnsi="仿宋_GB2312"/>
                <w:kern w:val="0"/>
                <w:sz w:val="28"/>
                <w:szCs w:val="28"/>
              </w:rPr>
              <w:t>满意</w:t>
            </w:r>
          </w:p>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D63766">
            <w:pPr>
              <w:widowControl/>
              <w:spacing w:line="320" w:lineRule="exact"/>
              <w:jc w:val="center"/>
              <w:textAlignment w:val="bottom"/>
              <w:rPr>
                <w:rFonts w:eastAsia="仿宋_GB2312"/>
                <w:kern w:val="0"/>
                <w:sz w:val="28"/>
                <w:szCs w:val="28"/>
              </w:rPr>
            </w:pPr>
            <w:r>
              <w:rPr>
                <w:rFonts w:eastAsia="仿宋_GB2312" w:hAnsi="仿宋_GB2312"/>
                <w:kern w:val="0"/>
                <w:sz w:val="28"/>
                <w:szCs w:val="28"/>
              </w:rPr>
              <w:t>满意度</w:t>
            </w:r>
          </w:p>
          <w:p w:rsidR="004E0AB4" w:rsidRDefault="00D63766">
            <w:pPr>
              <w:widowControl/>
              <w:spacing w:line="320" w:lineRule="exact"/>
              <w:jc w:val="center"/>
              <w:textAlignment w:val="bottom"/>
              <w:rPr>
                <w:rFonts w:eastAsia="仿宋_GB2312"/>
                <w:sz w:val="28"/>
                <w:szCs w:val="28"/>
              </w:rPr>
            </w:pPr>
            <w:r>
              <w:rPr>
                <w:rFonts w:eastAsia="仿宋_GB2312" w:hAnsi="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0AB4" w:rsidRDefault="004E0AB4">
            <w:pPr>
              <w:widowControl/>
              <w:spacing w:line="320" w:lineRule="exact"/>
              <w:jc w:val="center"/>
              <w:textAlignment w:val="bottom"/>
              <w:rPr>
                <w:rFonts w:eastAsia="仿宋_GB2312"/>
                <w:sz w:val="28"/>
                <w:szCs w:val="28"/>
              </w:rPr>
            </w:pPr>
          </w:p>
        </w:tc>
      </w:tr>
    </w:tbl>
    <w:p w:rsidR="004E0AB4" w:rsidRDefault="004E0AB4">
      <w:pPr>
        <w:spacing w:line="600" w:lineRule="exact"/>
        <w:jc w:val="center"/>
        <w:outlineLvl w:val="0"/>
        <w:rPr>
          <w:rFonts w:eastAsia="黑体"/>
          <w:sz w:val="44"/>
          <w:szCs w:val="44"/>
        </w:rPr>
      </w:pPr>
    </w:p>
    <w:p w:rsidR="004E0AB4" w:rsidRDefault="00D63766">
      <w:pPr>
        <w:widowControl/>
        <w:adjustRightInd w:val="0"/>
        <w:snapToGrid w:val="0"/>
        <w:spacing w:line="580" w:lineRule="exact"/>
        <w:contextualSpacing/>
        <w:jc w:val="left"/>
      </w:pPr>
      <w:r>
        <w:rPr>
          <w:rFonts w:eastAsia="仿宋_GB2312"/>
          <w:color w:val="000000"/>
          <w:kern w:val="0"/>
          <w:sz w:val="32"/>
          <w:szCs w:val="32"/>
          <w:shd w:val="clear" w:color="auto" w:fill="FFFFFF"/>
        </w:rPr>
        <w:t>（注：此表无数据）</w:t>
      </w:r>
    </w:p>
    <w:p w:rsidR="004E0AB4" w:rsidRDefault="004E0AB4">
      <w:pPr>
        <w:spacing w:line="600" w:lineRule="exact"/>
        <w:jc w:val="center"/>
        <w:outlineLvl w:val="0"/>
        <w:rPr>
          <w:rFonts w:eastAsia="黑体"/>
          <w:sz w:val="44"/>
          <w:szCs w:val="44"/>
        </w:rPr>
      </w:pPr>
    </w:p>
    <w:p w:rsidR="004E0AB4" w:rsidRDefault="004E0AB4">
      <w:pPr>
        <w:spacing w:line="600" w:lineRule="exact"/>
        <w:jc w:val="center"/>
        <w:outlineLvl w:val="0"/>
        <w:rPr>
          <w:rFonts w:eastAsia="黑体"/>
          <w:sz w:val="44"/>
          <w:szCs w:val="44"/>
        </w:rPr>
      </w:pPr>
    </w:p>
    <w:p w:rsidR="004E0AB4" w:rsidRDefault="004E0AB4">
      <w:pPr>
        <w:pStyle w:val="a4"/>
        <w:spacing w:before="93"/>
        <w:rPr>
          <w:rFonts w:ascii="Times New Roman"/>
        </w:rPr>
      </w:pPr>
    </w:p>
    <w:p w:rsidR="004E0AB4" w:rsidRDefault="00D63766">
      <w:pPr>
        <w:spacing w:line="600" w:lineRule="exact"/>
        <w:jc w:val="center"/>
        <w:outlineLvl w:val="0"/>
        <w:rPr>
          <w:rFonts w:eastAsia="仿宋"/>
        </w:rPr>
      </w:pPr>
      <w:bookmarkStart w:id="85" w:name="_Toc113010972"/>
      <w:r>
        <w:rPr>
          <w:rFonts w:eastAsia="黑体"/>
          <w:sz w:val="44"/>
          <w:szCs w:val="44"/>
        </w:rPr>
        <w:lastRenderedPageBreak/>
        <w:t>第</w:t>
      </w:r>
      <w:r>
        <w:rPr>
          <w:rStyle w:val="1Char"/>
          <w:rFonts w:eastAsia="黑体"/>
          <w:b w:val="0"/>
        </w:rPr>
        <w:t>五部分</w:t>
      </w:r>
      <w:r>
        <w:rPr>
          <w:rStyle w:val="1Char"/>
          <w:rFonts w:eastAsia="黑体"/>
          <w:b w:val="0"/>
        </w:rPr>
        <w:t xml:space="preserve"> </w:t>
      </w:r>
      <w:r>
        <w:rPr>
          <w:rStyle w:val="1Char"/>
          <w:rFonts w:eastAsia="黑体"/>
          <w:b w:val="0"/>
        </w:rPr>
        <w:t>附表</w:t>
      </w:r>
      <w:bookmarkStart w:id="86" w:name="_Toc15396619"/>
      <w:bookmarkEnd w:id="81"/>
      <w:bookmarkEnd w:id="84"/>
      <w:bookmarkEnd w:id="85"/>
    </w:p>
    <w:p w:rsidR="004E0AB4" w:rsidRDefault="00D63766">
      <w:pPr>
        <w:pStyle w:val="20"/>
        <w:rPr>
          <w:rFonts w:ascii="Times New Roman" w:eastAsia="仿宋_GB2312" w:hAnsi="Times New Roman" w:cs="Times New Roman"/>
          <w:b w:val="0"/>
          <w:bCs w:val="0"/>
        </w:rPr>
      </w:pPr>
      <w:bookmarkStart w:id="87" w:name="_Toc113010973"/>
      <w:r>
        <w:rPr>
          <w:rFonts w:ascii="Times New Roman" w:eastAsia="仿宋_GB2312" w:hAnsi="Times New Roman" w:cs="Times New Roman"/>
          <w:b w:val="0"/>
          <w:bCs w:val="0"/>
        </w:rPr>
        <w:t>一、收入支出决算总表</w:t>
      </w:r>
      <w:bookmarkEnd w:id="86"/>
      <w:bookmarkEnd w:id="87"/>
    </w:p>
    <w:p w:rsidR="004E0AB4" w:rsidRDefault="00D63766">
      <w:pPr>
        <w:pStyle w:val="20"/>
        <w:rPr>
          <w:rFonts w:ascii="Times New Roman" w:eastAsia="仿宋_GB2312" w:hAnsi="Times New Roman" w:cs="Times New Roman"/>
          <w:b w:val="0"/>
          <w:bCs w:val="0"/>
        </w:rPr>
      </w:pPr>
      <w:bookmarkStart w:id="88" w:name="_Toc113010974"/>
      <w:bookmarkStart w:id="89" w:name="_Toc15396620"/>
      <w:r>
        <w:rPr>
          <w:rFonts w:ascii="Times New Roman" w:eastAsia="仿宋_GB2312" w:hAnsi="Times New Roman" w:cs="Times New Roman"/>
          <w:b w:val="0"/>
          <w:bCs w:val="0"/>
        </w:rPr>
        <w:t>二、收入决算表</w:t>
      </w:r>
      <w:bookmarkEnd w:id="88"/>
      <w:bookmarkEnd w:id="89"/>
    </w:p>
    <w:p w:rsidR="004E0AB4" w:rsidRDefault="00D63766">
      <w:pPr>
        <w:pStyle w:val="20"/>
        <w:rPr>
          <w:rFonts w:ascii="Times New Roman" w:eastAsia="仿宋_GB2312" w:hAnsi="Times New Roman" w:cs="Times New Roman"/>
          <w:b w:val="0"/>
          <w:bCs w:val="0"/>
        </w:rPr>
      </w:pPr>
      <w:bookmarkStart w:id="90" w:name="_Toc113010975"/>
      <w:bookmarkStart w:id="91" w:name="_Toc15396621"/>
      <w:r>
        <w:rPr>
          <w:rFonts w:ascii="Times New Roman" w:eastAsia="仿宋_GB2312" w:hAnsi="Times New Roman" w:cs="Times New Roman"/>
          <w:b w:val="0"/>
          <w:bCs w:val="0"/>
        </w:rPr>
        <w:t>三、支出决算表</w:t>
      </w:r>
      <w:bookmarkEnd w:id="90"/>
      <w:bookmarkEnd w:id="91"/>
    </w:p>
    <w:p w:rsidR="004E0AB4" w:rsidRDefault="00D63766">
      <w:pPr>
        <w:pStyle w:val="20"/>
        <w:rPr>
          <w:rFonts w:ascii="Times New Roman" w:eastAsia="仿宋_GB2312" w:hAnsi="Times New Roman" w:cs="Times New Roman"/>
          <w:b w:val="0"/>
          <w:bCs w:val="0"/>
        </w:rPr>
      </w:pPr>
      <w:bookmarkStart w:id="92" w:name="_Toc15396622"/>
      <w:bookmarkStart w:id="93" w:name="_Toc113010976"/>
      <w:r>
        <w:rPr>
          <w:rFonts w:ascii="Times New Roman" w:eastAsia="仿宋_GB2312" w:hAnsi="Times New Roman" w:cs="Times New Roman"/>
          <w:b w:val="0"/>
          <w:bCs w:val="0"/>
        </w:rPr>
        <w:t>四、财政拨款收入支出决算总表</w:t>
      </w:r>
      <w:bookmarkEnd w:id="92"/>
      <w:bookmarkEnd w:id="93"/>
    </w:p>
    <w:p w:rsidR="004E0AB4" w:rsidRDefault="00D63766">
      <w:pPr>
        <w:pStyle w:val="20"/>
        <w:rPr>
          <w:rFonts w:ascii="Times New Roman" w:eastAsia="仿宋_GB2312" w:hAnsi="Times New Roman" w:cs="Times New Roman"/>
          <w:b w:val="0"/>
          <w:bCs w:val="0"/>
        </w:rPr>
      </w:pPr>
      <w:bookmarkStart w:id="94" w:name="_Toc15396623"/>
      <w:bookmarkStart w:id="95" w:name="_Toc113010977"/>
      <w:r>
        <w:rPr>
          <w:rFonts w:ascii="Times New Roman" w:eastAsia="仿宋_GB2312" w:hAnsi="Times New Roman" w:cs="Times New Roman"/>
          <w:b w:val="0"/>
          <w:bCs w:val="0"/>
        </w:rPr>
        <w:t>五、财政拨款支出决算明细表</w:t>
      </w:r>
      <w:bookmarkStart w:id="96" w:name="_Toc15396624"/>
      <w:bookmarkEnd w:id="94"/>
      <w:bookmarkEnd w:id="95"/>
    </w:p>
    <w:p w:rsidR="004E0AB4" w:rsidRDefault="00D63766">
      <w:pPr>
        <w:pStyle w:val="20"/>
        <w:rPr>
          <w:rFonts w:ascii="Times New Roman" w:eastAsia="仿宋_GB2312" w:hAnsi="Times New Roman" w:cs="Times New Roman"/>
          <w:b w:val="0"/>
          <w:bCs w:val="0"/>
        </w:rPr>
      </w:pPr>
      <w:bookmarkStart w:id="97" w:name="_Toc113010978"/>
      <w:r>
        <w:rPr>
          <w:rFonts w:ascii="Times New Roman" w:eastAsia="仿宋_GB2312" w:hAnsi="Times New Roman" w:cs="Times New Roman"/>
          <w:b w:val="0"/>
          <w:bCs w:val="0"/>
        </w:rPr>
        <w:t>六、一般公共预算财政拨款支出决算表</w:t>
      </w:r>
      <w:bookmarkEnd w:id="96"/>
      <w:bookmarkEnd w:id="97"/>
    </w:p>
    <w:p w:rsidR="004E0AB4" w:rsidRDefault="00D63766">
      <w:pPr>
        <w:pStyle w:val="20"/>
        <w:rPr>
          <w:rFonts w:ascii="Times New Roman" w:eastAsia="仿宋_GB2312" w:hAnsi="Times New Roman" w:cs="Times New Roman"/>
          <w:b w:val="0"/>
          <w:bCs w:val="0"/>
        </w:rPr>
      </w:pPr>
      <w:bookmarkStart w:id="98" w:name="_Toc15396625"/>
      <w:bookmarkStart w:id="99" w:name="_Toc113010979"/>
      <w:r>
        <w:rPr>
          <w:rFonts w:ascii="Times New Roman" w:eastAsia="仿宋_GB2312" w:hAnsi="Times New Roman" w:cs="Times New Roman"/>
          <w:b w:val="0"/>
          <w:bCs w:val="0"/>
        </w:rPr>
        <w:t>七、一般公共预算财政拨款支出决算明细表</w:t>
      </w:r>
      <w:bookmarkEnd w:id="98"/>
      <w:bookmarkEnd w:id="99"/>
    </w:p>
    <w:p w:rsidR="004E0AB4" w:rsidRDefault="00D63766">
      <w:pPr>
        <w:pStyle w:val="20"/>
        <w:rPr>
          <w:rFonts w:ascii="Times New Roman" w:eastAsia="仿宋_GB2312" w:hAnsi="Times New Roman" w:cs="Times New Roman"/>
          <w:b w:val="0"/>
          <w:bCs w:val="0"/>
        </w:rPr>
      </w:pPr>
      <w:bookmarkStart w:id="100" w:name="_Toc15396626"/>
      <w:bookmarkStart w:id="101" w:name="_Toc113010980"/>
      <w:r>
        <w:rPr>
          <w:rFonts w:ascii="Times New Roman" w:eastAsia="仿宋_GB2312" w:hAnsi="Times New Roman" w:cs="Times New Roman"/>
          <w:b w:val="0"/>
          <w:bCs w:val="0"/>
        </w:rPr>
        <w:t>八、一般公共预算财政拨款基本支出决算表</w:t>
      </w:r>
      <w:bookmarkEnd w:id="100"/>
      <w:bookmarkEnd w:id="101"/>
    </w:p>
    <w:p w:rsidR="004E0AB4" w:rsidRDefault="00D63766">
      <w:pPr>
        <w:pStyle w:val="20"/>
        <w:rPr>
          <w:rFonts w:ascii="Times New Roman" w:eastAsia="仿宋_GB2312" w:hAnsi="Times New Roman" w:cs="Times New Roman"/>
          <w:b w:val="0"/>
          <w:bCs w:val="0"/>
        </w:rPr>
      </w:pPr>
      <w:bookmarkStart w:id="102" w:name="_Toc15396627"/>
      <w:bookmarkStart w:id="103" w:name="_Toc113010981"/>
      <w:r>
        <w:rPr>
          <w:rFonts w:ascii="Times New Roman" w:eastAsia="仿宋_GB2312" w:hAnsi="Times New Roman" w:cs="Times New Roman"/>
          <w:b w:val="0"/>
          <w:bCs w:val="0"/>
        </w:rPr>
        <w:t>九、一般公共预算财政拨款项目支出决算表</w:t>
      </w:r>
      <w:bookmarkEnd w:id="102"/>
      <w:bookmarkEnd w:id="103"/>
    </w:p>
    <w:p w:rsidR="004E0AB4" w:rsidRDefault="00D63766">
      <w:pPr>
        <w:pStyle w:val="20"/>
        <w:rPr>
          <w:rFonts w:ascii="Times New Roman" w:eastAsia="仿宋_GB2312" w:hAnsi="Times New Roman" w:cs="Times New Roman"/>
          <w:b w:val="0"/>
          <w:bCs w:val="0"/>
        </w:rPr>
      </w:pPr>
      <w:bookmarkStart w:id="104" w:name="_Toc113010982"/>
      <w:bookmarkStart w:id="105" w:name="_Toc15396628"/>
      <w:r>
        <w:rPr>
          <w:rFonts w:ascii="Times New Roman" w:eastAsia="仿宋_GB2312" w:hAnsi="Times New Roman" w:cs="Times New Roman"/>
          <w:b w:val="0"/>
          <w:bCs w:val="0"/>
        </w:rPr>
        <w:t>十、一般公共预算财政拨款</w:t>
      </w:r>
      <w:r>
        <w:rPr>
          <w:rFonts w:ascii="Times New Roman" w:eastAsia="仿宋_GB2312" w:hAnsi="Times New Roman" w:cs="Times New Roman"/>
          <w:b w:val="0"/>
          <w:bCs w:val="0"/>
        </w:rPr>
        <w:t>“</w:t>
      </w:r>
      <w:r>
        <w:rPr>
          <w:rFonts w:ascii="Times New Roman" w:eastAsia="仿宋_GB2312" w:hAnsi="Times New Roman" w:cs="Times New Roman"/>
          <w:b w:val="0"/>
          <w:bCs w:val="0"/>
        </w:rPr>
        <w:t>三公</w:t>
      </w:r>
      <w:r>
        <w:rPr>
          <w:rFonts w:ascii="Times New Roman" w:eastAsia="仿宋_GB2312" w:hAnsi="Times New Roman" w:cs="Times New Roman"/>
          <w:b w:val="0"/>
          <w:bCs w:val="0"/>
        </w:rPr>
        <w:t>”</w:t>
      </w:r>
      <w:r>
        <w:rPr>
          <w:rFonts w:ascii="Times New Roman" w:eastAsia="仿宋_GB2312" w:hAnsi="Times New Roman" w:cs="Times New Roman"/>
          <w:b w:val="0"/>
          <w:bCs w:val="0"/>
        </w:rPr>
        <w:t>经费支出决算表</w:t>
      </w:r>
      <w:bookmarkEnd w:id="104"/>
      <w:bookmarkEnd w:id="105"/>
    </w:p>
    <w:p w:rsidR="004E0AB4" w:rsidRDefault="00D63766">
      <w:pPr>
        <w:pStyle w:val="20"/>
        <w:rPr>
          <w:rFonts w:ascii="Times New Roman" w:eastAsia="仿宋_GB2312" w:hAnsi="Times New Roman" w:cs="Times New Roman"/>
          <w:b w:val="0"/>
          <w:bCs w:val="0"/>
        </w:rPr>
      </w:pPr>
      <w:bookmarkStart w:id="106" w:name="_Toc15396629"/>
      <w:bookmarkStart w:id="107" w:name="_Toc113010983"/>
      <w:r>
        <w:rPr>
          <w:rFonts w:ascii="Times New Roman" w:eastAsia="仿宋_GB2312" w:hAnsi="Times New Roman" w:cs="Times New Roman"/>
          <w:b w:val="0"/>
          <w:bCs w:val="0"/>
        </w:rPr>
        <w:t>十一、政府性基金预算财政拨款收入支出决算表</w:t>
      </w:r>
      <w:bookmarkEnd w:id="106"/>
      <w:bookmarkEnd w:id="107"/>
    </w:p>
    <w:p w:rsidR="004E0AB4" w:rsidRDefault="00D63766">
      <w:pPr>
        <w:pStyle w:val="20"/>
        <w:rPr>
          <w:rFonts w:ascii="Times New Roman" w:eastAsia="仿宋_GB2312" w:hAnsi="Times New Roman" w:cs="Times New Roman"/>
          <w:b w:val="0"/>
          <w:bCs w:val="0"/>
        </w:rPr>
      </w:pPr>
      <w:bookmarkStart w:id="108" w:name="_Toc113010984"/>
      <w:bookmarkStart w:id="109" w:name="_Toc15396630"/>
      <w:r>
        <w:rPr>
          <w:rFonts w:ascii="Times New Roman" w:eastAsia="仿宋_GB2312" w:hAnsi="Times New Roman" w:cs="Times New Roman"/>
          <w:b w:val="0"/>
          <w:bCs w:val="0"/>
        </w:rPr>
        <w:t>十二、政府性基金预算财政拨款</w:t>
      </w:r>
      <w:r>
        <w:rPr>
          <w:rFonts w:ascii="Times New Roman" w:eastAsia="仿宋_GB2312" w:hAnsi="Times New Roman" w:cs="Times New Roman"/>
          <w:b w:val="0"/>
          <w:bCs w:val="0"/>
        </w:rPr>
        <w:t>“</w:t>
      </w:r>
      <w:r>
        <w:rPr>
          <w:rFonts w:ascii="Times New Roman" w:eastAsia="仿宋_GB2312" w:hAnsi="Times New Roman" w:cs="Times New Roman"/>
          <w:b w:val="0"/>
          <w:bCs w:val="0"/>
        </w:rPr>
        <w:t>三公</w:t>
      </w:r>
      <w:r>
        <w:rPr>
          <w:rFonts w:ascii="Times New Roman" w:eastAsia="仿宋_GB2312" w:hAnsi="Times New Roman" w:cs="Times New Roman"/>
          <w:b w:val="0"/>
          <w:bCs w:val="0"/>
        </w:rPr>
        <w:t>”</w:t>
      </w:r>
      <w:r>
        <w:rPr>
          <w:rFonts w:ascii="Times New Roman" w:eastAsia="仿宋_GB2312" w:hAnsi="Times New Roman" w:cs="Times New Roman"/>
          <w:b w:val="0"/>
          <w:bCs w:val="0"/>
        </w:rPr>
        <w:t>经费支出决算表</w:t>
      </w:r>
      <w:bookmarkEnd w:id="108"/>
      <w:bookmarkEnd w:id="109"/>
    </w:p>
    <w:p w:rsidR="004E0AB4" w:rsidRDefault="00D63766">
      <w:pPr>
        <w:pStyle w:val="20"/>
        <w:rPr>
          <w:rFonts w:ascii="Times New Roman" w:eastAsia="仿宋_GB2312" w:hAnsi="Times New Roman" w:cs="Times New Roman"/>
          <w:b w:val="0"/>
          <w:bCs w:val="0"/>
        </w:rPr>
      </w:pPr>
      <w:bookmarkStart w:id="110" w:name="_Toc15396631"/>
      <w:bookmarkStart w:id="111" w:name="_Toc113010985"/>
      <w:r>
        <w:rPr>
          <w:rFonts w:ascii="Times New Roman" w:eastAsia="仿宋_GB2312" w:hAnsi="Times New Roman" w:cs="Times New Roman"/>
          <w:b w:val="0"/>
          <w:bCs w:val="0"/>
        </w:rPr>
        <w:t>十三、国有资本经营预算财政拨款收入支出决算表</w:t>
      </w:r>
      <w:bookmarkEnd w:id="110"/>
      <w:bookmarkEnd w:id="111"/>
    </w:p>
    <w:p w:rsidR="004E0AB4" w:rsidRDefault="00D63766">
      <w:pPr>
        <w:rPr>
          <w:rFonts w:eastAsia="仿宋_GB2312"/>
          <w:sz w:val="32"/>
          <w:szCs w:val="32"/>
        </w:rPr>
      </w:pPr>
      <w:bookmarkStart w:id="112" w:name="_Toc113010986"/>
      <w:r>
        <w:rPr>
          <w:rFonts w:eastAsia="仿宋_GB2312"/>
          <w:sz w:val="32"/>
          <w:szCs w:val="32"/>
        </w:rPr>
        <w:t>十四、国有资本经营预算财政拨款支出决算表</w:t>
      </w:r>
      <w:bookmarkEnd w:id="112"/>
    </w:p>
    <w:sectPr w:rsidR="004E0AB4" w:rsidSect="004E0AB4">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B4" w:rsidRDefault="004E0AB4" w:rsidP="004E0AB4">
      <w:r>
        <w:separator/>
      </w:r>
    </w:p>
  </w:endnote>
  <w:endnote w:type="continuationSeparator" w:id="1">
    <w:p w:rsidR="004E0AB4" w:rsidRDefault="004E0AB4" w:rsidP="004E0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B4" w:rsidRDefault="004E0AB4">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filled="f" stroked="f">
          <v:textbox style="mso-fit-shape-to-text:t" inset="0,0,0,0">
            <w:txbxContent>
              <w:p w:rsidR="004E0AB4" w:rsidRDefault="00D63766">
                <w:pPr>
                  <w:pStyle w:val="a6"/>
                </w:pPr>
                <w:r>
                  <w:t>—</w:t>
                </w:r>
                <w:r w:rsidR="004E0AB4">
                  <w:rPr>
                    <w:rFonts w:ascii="Times New Roman" w:hAnsi="Times New Roman"/>
                    <w:sz w:val="24"/>
                    <w:szCs w:val="24"/>
                  </w:rPr>
                  <w:fldChar w:fldCharType="begin"/>
                </w:r>
                <w:r>
                  <w:rPr>
                    <w:rFonts w:ascii="Times New Roman" w:hAnsi="Times New Roman"/>
                    <w:sz w:val="24"/>
                    <w:szCs w:val="24"/>
                  </w:rPr>
                  <w:instrText xml:space="preserve"> PAGE  \* MERGEFORMAT </w:instrText>
                </w:r>
                <w:r w:rsidR="004E0AB4">
                  <w:rPr>
                    <w:rFonts w:ascii="Times New Roman" w:hAnsi="Times New Roman"/>
                    <w:sz w:val="24"/>
                    <w:szCs w:val="24"/>
                  </w:rPr>
                  <w:fldChar w:fldCharType="separate"/>
                </w:r>
                <w:r>
                  <w:rPr>
                    <w:rFonts w:ascii="Times New Roman" w:hAnsi="Times New Roman"/>
                    <w:noProof/>
                    <w:sz w:val="24"/>
                    <w:szCs w:val="24"/>
                  </w:rPr>
                  <w:t>2</w:t>
                </w:r>
                <w:r w:rsidR="004E0AB4">
                  <w:rPr>
                    <w:rFonts w:ascii="Times New Roman" w:hAnsi="Times New Roman"/>
                    <w:sz w:val="24"/>
                    <w:szCs w:val="24"/>
                  </w:rPr>
                  <w:fldChar w:fldCharType="end"/>
                </w:r>
                <w:r>
                  <w:t xml:space="preserve"> —</w:t>
                </w:r>
              </w:p>
            </w:txbxContent>
          </v:textbox>
          <w10:wrap anchorx="margin"/>
        </v:shape>
      </w:pict>
    </w:r>
  </w:p>
  <w:p w:rsidR="004E0AB4" w:rsidRDefault="004E0A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B4" w:rsidRDefault="004E0AB4" w:rsidP="004E0AB4">
      <w:r>
        <w:separator/>
      </w:r>
    </w:p>
  </w:footnote>
  <w:footnote w:type="continuationSeparator" w:id="1">
    <w:p w:rsidR="004E0AB4" w:rsidRDefault="004E0AB4" w:rsidP="004E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B4" w:rsidRDefault="004E0AB4">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UwZDA4YWIzMTVjZTExZTcwNWVhNjUzODU0NGI2ZjgifQ=="/>
  </w:docVars>
  <w:rsids>
    <w:rsidRoot w:val="00F1361C"/>
    <w:rsid w:val="9E3A10E2"/>
    <w:rsid w:val="F2E1F9D4"/>
    <w:rsid w:val="F7880819"/>
    <w:rsid w:val="000222C6"/>
    <w:rsid w:val="0002549F"/>
    <w:rsid w:val="000468DB"/>
    <w:rsid w:val="0006487A"/>
    <w:rsid w:val="00065F8F"/>
    <w:rsid w:val="00070A43"/>
    <w:rsid w:val="000768F2"/>
    <w:rsid w:val="00085AC1"/>
    <w:rsid w:val="0009184B"/>
    <w:rsid w:val="00094236"/>
    <w:rsid w:val="0009593C"/>
    <w:rsid w:val="00097322"/>
    <w:rsid w:val="000A6A92"/>
    <w:rsid w:val="000B047F"/>
    <w:rsid w:val="000B5923"/>
    <w:rsid w:val="000B5A48"/>
    <w:rsid w:val="000B6FF3"/>
    <w:rsid w:val="000C3467"/>
    <w:rsid w:val="000C3CA6"/>
    <w:rsid w:val="000C5AAF"/>
    <w:rsid w:val="000D1267"/>
    <w:rsid w:val="000D1D50"/>
    <w:rsid w:val="000D5782"/>
    <w:rsid w:val="000E6613"/>
    <w:rsid w:val="000E7119"/>
    <w:rsid w:val="00114E9B"/>
    <w:rsid w:val="00142178"/>
    <w:rsid w:val="00142216"/>
    <w:rsid w:val="00144D6A"/>
    <w:rsid w:val="0014729F"/>
    <w:rsid w:val="00157BAB"/>
    <w:rsid w:val="001654D1"/>
    <w:rsid w:val="0017187D"/>
    <w:rsid w:val="00174518"/>
    <w:rsid w:val="001749FB"/>
    <w:rsid w:val="0018106D"/>
    <w:rsid w:val="001877A7"/>
    <w:rsid w:val="00191536"/>
    <w:rsid w:val="00196687"/>
    <w:rsid w:val="001C0962"/>
    <w:rsid w:val="001D7531"/>
    <w:rsid w:val="001E737D"/>
    <w:rsid w:val="001F0472"/>
    <w:rsid w:val="001F0592"/>
    <w:rsid w:val="001F618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3E1"/>
    <w:rsid w:val="002F1818"/>
    <w:rsid w:val="002F567B"/>
    <w:rsid w:val="003216A9"/>
    <w:rsid w:val="00334C7D"/>
    <w:rsid w:val="00335A74"/>
    <w:rsid w:val="0036561B"/>
    <w:rsid w:val="0037013F"/>
    <w:rsid w:val="00380C92"/>
    <w:rsid w:val="003A484F"/>
    <w:rsid w:val="003A4883"/>
    <w:rsid w:val="003B0BE0"/>
    <w:rsid w:val="003B0C1B"/>
    <w:rsid w:val="003B688C"/>
    <w:rsid w:val="003C0291"/>
    <w:rsid w:val="003C2507"/>
    <w:rsid w:val="003C39AE"/>
    <w:rsid w:val="003C7B60"/>
    <w:rsid w:val="003D0C0F"/>
    <w:rsid w:val="003D1FB2"/>
    <w:rsid w:val="003D270E"/>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AF5"/>
    <w:rsid w:val="004D203B"/>
    <w:rsid w:val="004E0A2D"/>
    <w:rsid w:val="004E0AB4"/>
    <w:rsid w:val="004E206B"/>
    <w:rsid w:val="004E6DF7"/>
    <w:rsid w:val="004F0FBD"/>
    <w:rsid w:val="00505A47"/>
    <w:rsid w:val="00512FDA"/>
    <w:rsid w:val="00520DA0"/>
    <w:rsid w:val="0053487E"/>
    <w:rsid w:val="005664BB"/>
    <w:rsid w:val="00566FFA"/>
    <w:rsid w:val="0057481D"/>
    <w:rsid w:val="0058486E"/>
    <w:rsid w:val="00585B33"/>
    <w:rsid w:val="0059014D"/>
    <w:rsid w:val="005B5C64"/>
    <w:rsid w:val="005C5337"/>
    <w:rsid w:val="005C6BD0"/>
    <w:rsid w:val="005D1C8B"/>
    <w:rsid w:val="005D468D"/>
    <w:rsid w:val="005D5CED"/>
    <w:rsid w:val="005E0CEE"/>
    <w:rsid w:val="005F1A4C"/>
    <w:rsid w:val="00605688"/>
    <w:rsid w:val="006070AF"/>
    <w:rsid w:val="00607E6C"/>
    <w:rsid w:val="006101B1"/>
    <w:rsid w:val="006106D6"/>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197B"/>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C2EC9"/>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327D"/>
    <w:rsid w:val="00A91760"/>
    <w:rsid w:val="00A93B00"/>
    <w:rsid w:val="00A93C21"/>
    <w:rsid w:val="00AB64C9"/>
    <w:rsid w:val="00AC3C6A"/>
    <w:rsid w:val="00AD5620"/>
    <w:rsid w:val="00AD656B"/>
    <w:rsid w:val="00AD7C1B"/>
    <w:rsid w:val="00AE16BA"/>
    <w:rsid w:val="00AE1EBE"/>
    <w:rsid w:val="00AF7101"/>
    <w:rsid w:val="00B03C9D"/>
    <w:rsid w:val="00B060AE"/>
    <w:rsid w:val="00B075FC"/>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6939"/>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2DBF"/>
    <w:rsid w:val="00CC666F"/>
    <w:rsid w:val="00CD1E3F"/>
    <w:rsid w:val="00CD7A57"/>
    <w:rsid w:val="00CE44F6"/>
    <w:rsid w:val="00CE49DA"/>
    <w:rsid w:val="00CE7B61"/>
    <w:rsid w:val="00D00095"/>
    <w:rsid w:val="00D01A41"/>
    <w:rsid w:val="00D114F0"/>
    <w:rsid w:val="00D20620"/>
    <w:rsid w:val="00D254F7"/>
    <w:rsid w:val="00D26091"/>
    <w:rsid w:val="00D2685C"/>
    <w:rsid w:val="00D3466F"/>
    <w:rsid w:val="00D34E7C"/>
    <w:rsid w:val="00D35489"/>
    <w:rsid w:val="00D36AFE"/>
    <w:rsid w:val="00D51276"/>
    <w:rsid w:val="00D63766"/>
    <w:rsid w:val="00D7035F"/>
    <w:rsid w:val="00D770B0"/>
    <w:rsid w:val="00DA6033"/>
    <w:rsid w:val="00DA634F"/>
    <w:rsid w:val="00DA65AC"/>
    <w:rsid w:val="00DB1913"/>
    <w:rsid w:val="00DC410D"/>
    <w:rsid w:val="00DC5A81"/>
    <w:rsid w:val="00DC68CA"/>
    <w:rsid w:val="00DC7CBA"/>
    <w:rsid w:val="00DD73B7"/>
    <w:rsid w:val="00DF086B"/>
    <w:rsid w:val="00DF28BC"/>
    <w:rsid w:val="00DF34B9"/>
    <w:rsid w:val="00E01053"/>
    <w:rsid w:val="00E07ACF"/>
    <w:rsid w:val="00E150A2"/>
    <w:rsid w:val="00E151D8"/>
    <w:rsid w:val="00E3303A"/>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620C"/>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95E5769"/>
    <w:rsid w:val="1BE8440E"/>
    <w:rsid w:val="1D155CEE"/>
    <w:rsid w:val="1ED56814"/>
    <w:rsid w:val="20F57F95"/>
    <w:rsid w:val="240371BF"/>
    <w:rsid w:val="242A182E"/>
    <w:rsid w:val="25C741E6"/>
    <w:rsid w:val="27842671"/>
    <w:rsid w:val="29FD04D3"/>
    <w:rsid w:val="2ABE7A3E"/>
    <w:rsid w:val="2EFA178C"/>
    <w:rsid w:val="30B46D73"/>
    <w:rsid w:val="319F7F4E"/>
    <w:rsid w:val="39AE70AB"/>
    <w:rsid w:val="3C0C0783"/>
    <w:rsid w:val="3EA56329"/>
    <w:rsid w:val="3F9F3A96"/>
    <w:rsid w:val="493C27E9"/>
    <w:rsid w:val="496F39ED"/>
    <w:rsid w:val="49FF41D3"/>
    <w:rsid w:val="4BE068DB"/>
    <w:rsid w:val="4BF6002B"/>
    <w:rsid w:val="4ECE2238"/>
    <w:rsid w:val="51DB4B86"/>
    <w:rsid w:val="55333C3E"/>
    <w:rsid w:val="64CA39A1"/>
    <w:rsid w:val="6C4A05C8"/>
    <w:rsid w:val="6CBE4E10"/>
    <w:rsid w:val="72734D90"/>
    <w:rsid w:val="76A065A2"/>
    <w:rsid w:val="76EB7E51"/>
    <w:rsid w:val="77D42AE2"/>
    <w:rsid w:val="79E7B28D"/>
    <w:rsid w:val="7F9F20EE"/>
    <w:rsid w:val="7FF55B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E0AB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4E0AB4"/>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4E0AB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E0AB4"/>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rsid w:val="004E0AB4"/>
    <w:pPr>
      <w:spacing w:before="100" w:beforeAutospacing="1"/>
      <w:ind w:firstLineChars="200" w:firstLine="420"/>
    </w:pPr>
  </w:style>
  <w:style w:type="paragraph" w:styleId="a3">
    <w:name w:val="Body Text Indent"/>
    <w:basedOn w:val="a"/>
    <w:uiPriority w:val="99"/>
    <w:unhideWhenUsed/>
    <w:qFormat/>
    <w:rsid w:val="004E0AB4"/>
    <w:pPr>
      <w:spacing w:after="120"/>
      <w:ind w:leftChars="200" w:left="420"/>
    </w:pPr>
  </w:style>
  <w:style w:type="paragraph" w:styleId="a4">
    <w:name w:val="Body Text"/>
    <w:basedOn w:val="a"/>
    <w:link w:val="Char"/>
    <w:uiPriority w:val="99"/>
    <w:qFormat/>
    <w:rsid w:val="004E0AB4"/>
    <w:pPr>
      <w:spacing w:beforeLines="30"/>
    </w:pPr>
    <w:rPr>
      <w:rFonts w:ascii="仿宋_GB2312" w:eastAsia="仿宋_GB2312"/>
      <w:kern w:val="0"/>
      <w:sz w:val="30"/>
    </w:rPr>
  </w:style>
  <w:style w:type="paragraph" w:styleId="30">
    <w:name w:val="toc 3"/>
    <w:basedOn w:val="a"/>
    <w:next w:val="a"/>
    <w:uiPriority w:val="39"/>
    <w:unhideWhenUsed/>
    <w:qFormat/>
    <w:rsid w:val="004E0AB4"/>
    <w:pPr>
      <w:tabs>
        <w:tab w:val="right" w:leader="dot" w:pos="8296"/>
      </w:tabs>
      <w:ind w:leftChars="400" w:left="840"/>
    </w:pPr>
  </w:style>
  <w:style w:type="paragraph" w:styleId="a5">
    <w:name w:val="Balloon Text"/>
    <w:basedOn w:val="a"/>
    <w:link w:val="Char0"/>
    <w:uiPriority w:val="99"/>
    <w:semiHidden/>
    <w:unhideWhenUsed/>
    <w:qFormat/>
    <w:rsid w:val="004E0AB4"/>
    <w:rPr>
      <w:sz w:val="18"/>
      <w:szCs w:val="18"/>
    </w:rPr>
  </w:style>
  <w:style w:type="paragraph" w:styleId="a6">
    <w:name w:val="footer"/>
    <w:basedOn w:val="a"/>
    <w:link w:val="Char1"/>
    <w:uiPriority w:val="99"/>
    <w:qFormat/>
    <w:rsid w:val="004E0AB4"/>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4E0AB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4E0AB4"/>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4E0AB4"/>
    <w:pPr>
      <w:tabs>
        <w:tab w:val="right" w:leader="dot" w:pos="8296"/>
      </w:tabs>
      <w:ind w:leftChars="200" w:left="420"/>
    </w:pPr>
  </w:style>
  <w:style w:type="character" w:styleId="a8">
    <w:name w:val="Strong"/>
    <w:basedOn w:val="a0"/>
    <w:uiPriority w:val="99"/>
    <w:qFormat/>
    <w:rsid w:val="004E0AB4"/>
    <w:rPr>
      <w:b/>
    </w:rPr>
  </w:style>
  <w:style w:type="character" w:styleId="a9">
    <w:name w:val="Hyperlink"/>
    <w:basedOn w:val="a0"/>
    <w:uiPriority w:val="99"/>
    <w:unhideWhenUsed/>
    <w:qFormat/>
    <w:rsid w:val="004E0AB4"/>
    <w:rPr>
      <w:color w:val="0000FF" w:themeColor="hyperlink"/>
      <w:u w:val="single"/>
    </w:rPr>
  </w:style>
  <w:style w:type="paragraph" w:customStyle="1" w:styleId="BodyText">
    <w:name w:val="BodyText"/>
    <w:basedOn w:val="a"/>
    <w:qFormat/>
    <w:rsid w:val="004E0AB4"/>
    <w:pPr>
      <w:spacing w:after="120"/>
    </w:pPr>
    <w:rPr>
      <w:szCs w:val="22"/>
    </w:rPr>
  </w:style>
  <w:style w:type="character" w:customStyle="1" w:styleId="HeaderChar">
    <w:name w:val="Header Char"/>
    <w:basedOn w:val="a0"/>
    <w:uiPriority w:val="99"/>
    <w:semiHidden/>
    <w:qFormat/>
    <w:rsid w:val="004E0AB4"/>
    <w:rPr>
      <w:rFonts w:ascii="Times New Roman" w:hAnsi="Times New Roman"/>
      <w:sz w:val="18"/>
      <w:szCs w:val="18"/>
    </w:rPr>
  </w:style>
  <w:style w:type="character" w:customStyle="1" w:styleId="Char2">
    <w:name w:val="页眉 Char"/>
    <w:link w:val="a7"/>
    <w:uiPriority w:val="99"/>
    <w:semiHidden/>
    <w:qFormat/>
    <w:locked/>
    <w:rsid w:val="004E0AB4"/>
    <w:rPr>
      <w:sz w:val="18"/>
    </w:rPr>
  </w:style>
  <w:style w:type="character" w:customStyle="1" w:styleId="FooterChar">
    <w:name w:val="Footer Char"/>
    <w:basedOn w:val="a0"/>
    <w:uiPriority w:val="99"/>
    <w:semiHidden/>
    <w:qFormat/>
    <w:rsid w:val="004E0AB4"/>
    <w:rPr>
      <w:rFonts w:ascii="Times New Roman" w:hAnsi="Times New Roman"/>
      <w:sz w:val="18"/>
      <w:szCs w:val="18"/>
    </w:rPr>
  </w:style>
  <w:style w:type="character" w:customStyle="1" w:styleId="Char1">
    <w:name w:val="页脚 Char"/>
    <w:link w:val="a6"/>
    <w:uiPriority w:val="99"/>
    <w:qFormat/>
    <w:locked/>
    <w:rsid w:val="004E0AB4"/>
    <w:rPr>
      <w:sz w:val="18"/>
    </w:rPr>
  </w:style>
  <w:style w:type="character" w:customStyle="1" w:styleId="BodyTextChar">
    <w:name w:val="Body Text Char"/>
    <w:basedOn w:val="a0"/>
    <w:uiPriority w:val="99"/>
    <w:semiHidden/>
    <w:qFormat/>
    <w:rsid w:val="004E0AB4"/>
    <w:rPr>
      <w:rFonts w:ascii="Times New Roman" w:hAnsi="Times New Roman"/>
      <w:szCs w:val="24"/>
    </w:rPr>
  </w:style>
  <w:style w:type="character" w:customStyle="1" w:styleId="Char">
    <w:name w:val="正文文本 Char"/>
    <w:link w:val="a4"/>
    <w:uiPriority w:val="99"/>
    <w:qFormat/>
    <w:locked/>
    <w:rsid w:val="004E0AB4"/>
    <w:rPr>
      <w:rFonts w:ascii="仿宋_GB2312" w:eastAsia="仿宋_GB2312" w:hAnsi="Times New Roman"/>
      <w:sz w:val="24"/>
    </w:rPr>
  </w:style>
  <w:style w:type="paragraph" w:customStyle="1" w:styleId="Default">
    <w:name w:val="Default"/>
    <w:uiPriority w:val="99"/>
    <w:qFormat/>
    <w:rsid w:val="004E0AB4"/>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4E0AB4"/>
    <w:pPr>
      <w:ind w:firstLineChars="200" w:firstLine="420"/>
    </w:pPr>
  </w:style>
  <w:style w:type="character" w:customStyle="1" w:styleId="1Char">
    <w:name w:val="标题 1 Char"/>
    <w:basedOn w:val="a0"/>
    <w:link w:val="1"/>
    <w:uiPriority w:val="9"/>
    <w:qFormat/>
    <w:rsid w:val="004E0AB4"/>
    <w:rPr>
      <w:rFonts w:ascii="Times New Roman" w:hAnsi="Times New Roman"/>
      <w:b/>
      <w:bCs/>
      <w:kern w:val="44"/>
      <w:sz w:val="44"/>
      <w:szCs w:val="44"/>
    </w:rPr>
  </w:style>
  <w:style w:type="character" w:customStyle="1" w:styleId="2Char">
    <w:name w:val="标题 2 Char"/>
    <w:basedOn w:val="a0"/>
    <w:link w:val="20"/>
    <w:uiPriority w:val="9"/>
    <w:qFormat/>
    <w:rsid w:val="004E0AB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4E0AB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4E0AB4"/>
    <w:rPr>
      <w:rFonts w:ascii="Times New Roman" w:hAnsi="Times New Roman"/>
      <w:kern w:val="2"/>
      <w:sz w:val="18"/>
      <w:szCs w:val="18"/>
    </w:rPr>
  </w:style>
  <w:style w:type="character" w:customStyle="1" w:styleId="3Char">
    <w:name w:val="标题 3 Char"/>
    <w:basedOn w:val="a0"/>
    <w:link w:val="3"/>
    <w:uiPriority w:val="9"/>
    <w:qFormat/>
    <w:rsid w:val="004E0AB4"/>
    <w:rPr>
      <w:rFonts w:ascii="Times New Roman" w:hAnsi="Times New Roman"/>
      <w:b/>
      <w:bCs/>
      <w:kern w:val="2"/>
      <w:sz w:val="32"/>
      <w:szCs w:val="32"/>
    </w:rPr>
  </w:style>
  <w:style w:type="paragraph" w:customStyle="1" w:styleId="TOC2">
    <w:name w:val="TOC 标题2"/>
    <w:basedOn w:val="1"/>
    <w:next w:val="a"/>
    <w:uiPriority w:val="39"/>
    <w:unhideWhenUsed/>
    <w:qFormat/>
    <w:rsid w:val="004E0AB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semiHidden/>
    <w:unhideWhenUsed/>
    <w:qFormat/>
    <w:rsid w:val="004E0AB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1</a:t>
            </a:r>
            <a:r>
              <a:rPr lang="zh-CN" altLang="en-US" sz="1400" b="0" i="0" u="none" strike="noStrike" baseline="0"/>
              <a:t>：收、支决算总计变动情况图</a:t>
            </a:r>
            <a:endParaRPr lang="zh-CN" sz="1400" b="0" i="0" baseline="0">
              <a:latin typeface="黑体" panose="02010609060101010101" charset="-122"/>
              <a:ea typeface="黑体" panose="02010609060101010101" charset="-122"/>
            </a:endParaRPr>
          </a:p>
        </c:rich>
      </c:tx>
      <c:layout>
        <c:manualLayout>
          <c:xMode val="edge"/>
          <c:yMode val="edge"/>
          <c:x val="0.27764252294550101"/>
          <c:y val="3.6893687258165025E-2"/>
        </c:manualLayout>
      </c:layout>
    </c:title>
    <c:plotArea>
      <c:layout/>
      <c:barChart>
        <c:barDir val="col"/>
        <c:grouping val="clustered"/>
        <c:ser>
          <c:idx val="0"/>
          <c:order val="0"/>
          <c:dLbls>
            <c:dLbl>
              <c:idx val="0"/>
              <c:layout>
                <c:manualLayout>
                  <c:x val="-4.1407867494824028E-3"/>
                  <c:y val="1.7420605929413507E-2"/>
                </c:manualLayout>
              </c:layout>
              <c:dLblPos val="inEnd"/>
              <c:showVal val="1"/>
              <c:extLst>
                <c:ext xmlns:c15="http://schemas.microsoft.com/office/drawing/2012/chart" uri="{CE6537A1-D6FC-4f65-9D91-7224C49458BB}">
                  <c15:layout/>
                </c:ext>
              </c:extLst>
            </c:dLbl>
            <c:dLbl>
              <c:idx val="1"/>
              <c:layout>
                <c:manualLayout>
                  <c:x val="-2.7777777777777909E-3"/>
                  <c:y val="-0.101851851851852"/>
                </c:manualLayout>
              </c:layout>
              <c:dLblPos val="in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inEnd"/>
            <c:showVal val="1"/>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General</c:formatCode>
                <c:ptCount val="2"/>
                <c:pt idx="0">
                  <c:v>221.46</c:v>
                </c:pt>
                <c:pt idx="1">
                  <c:v>196.51</c:v>
                </c:pt>
              </c:numCache>
            </c:numRef>
          </c:val>
        </c:ser>
        <c:dLbls>
          <c:showVal val="1"/>
        </c:dLbls>
        <c:gapWidth val="75"/>
        <c:overlap val="40"/>
        <c:axId val="66810240"/>
        <c:axId val="66811776"/>
      </c:barChart>
      <c:catAx>
        <c:axId val="6681024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6811776"/>
        <c:crosses val="autoZero"/>
        <c:auto val="1"/>
        <c:lblAlgn val="ctr"/>
        <c:lblOffset val="100"/>
      </c:catAx>
      <c:valAx>
        <c:axId val="6681177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endParaRPr lang="zh-CN"/>
          </a:p>
        </c:txPr>
        <c:crossAx val="66810240"/>
        <c:crosses val="autoZero"/>
        <c:crossBetween val="between"/>
      </c:valAx>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2</a:t>
            </a:r>
            <a:r>
              <a:rPr lang="zh-CN" altLang="en-US" sz="1400" b="0" i="0" u="none" strike="noStrike" baseline="0"/>
              <a:t>：收入决算结构图</a:t>
            </a:r>
            <a:endParaRPr lang="zh-CN" altLang="en-US" sz="1400" b="0">
              <a:latin typeface="黑体" panose="02010609060101010101" charset="-122"/>
              <a:ea typeface="黑体" panose="02010609060101010101" charset="-122"/>
            </a:endParaRPr>
          </a:p>
        </c:rich>
      </c:tx>
      <c:layout/>
    </c:title>
    <c:plotArea>
      <c:layout/>
      <c:pieChart>
        <c:varyColors val="1"/>
        <c:ser>
          <c:idx val="0"/>
          <c:order val="0"/>
          <c:dPt>
            <c:idx val="0"/>
          </c:dPt>
          <c:dLbls>
            <c:dLbl>
              <c:idx val="0"/>
              <c:layout>
                <c:manualLayout>
                  <c:x val="-0.14618810148731404"/>
                  <c:y val="-3.6486585010207094E-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Sheet1!$M$5</c:f>
              <c:strCache>
                <c:ptCount val="1"/>
                <c:pt idx="0">
                  <c:v>一般公共预算财政拨款收入</c:v>
                </c:pt>
              </c:strCache>
            </c:strRef>
          </c:cat>
          <c:val>
            <c:numRef>
              <c:f>Sheet1!$N$5</c:f>
              <c:numCache>
                <c:formatCode>#,##0.00</c:formatCode>
                <c:ptCount val="1"/>
                <c:pt idx="0">
                  <c:v>221.46</c:v>
                </c:pt>
              </c:numCache>
            </c:numRef>
          </c:val>
        </c:ser>
        <c:dLbls>
          <c:showPercent val="1"/>
        </c:dLbls>
        <c:firstSliceAng val="0"/>
      </c:pieChart>
    </c:plotArea>
    <c:legend>
      <c:legendPos val="r"/>
      <c:layout/>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3</a:t>
            </a:r>
            <a:r>
              <a:rPr lang="zh-CN" altLang="en-US" sz="1400" b="0" i="0" u="none" strike="noStrike" baseline="0"/>
              <a:t>：支出决算结构图</a:t>
            </a:r>
            <a:endParaRPr lang="zh-CN" altLang="en-US" sz="1400" b="0">
              <a:latin typeface="黑体" panose="02010609060101010101" charset="-122"/>
              <a:ea typeface="黑体" panose="02010609060101010101" charset="-122"/>
            </a:endParaRPr>
          </a:p>
        </c:rich>
      </c:tx>
      <c:layout/>
    </c:title>
    <c:plotArea>
      <c:layout/>
      <c:pieChart>
        <c:varyColors val="1"/>
        <c:ser>
          <c:idx val="0"/>
          <c:order val="0"/>
          <c:dPt>
            <c:idx val="0"/>
          </c:dPt>
          <c:dPt>
            <c:idx val="1"/>
          </c:dPt>
          <c:dLbls>
            <c:dLbl>
              <c:idx val="0"/>
              <c:layout>
                <c:manualLayout>
                  <c:x val="-9.740754966604781E-2"/>
                  <c:y val="-0.21241251093613303"/>
                </c:manualLayout>
              </c:layout>
              <c:dLblPos val="bestFit"/>
              <c:showPercent val="1"/>
              <c:extLst>
                <c:ext xmlns:c15="http://schemas.microsoft.com/office/drawing/2012/chart" uri="{CE6537A1-D6FC-4f65-9D91-7224C49458BB}">
                  <c15:layout/>
                </c:ext>
              </c:extLst>
            </c:dLbl>
            <c:dLbl>
              <c:idx val="1"/>
              <c:layout>
                <c:manualLayout>
                  <c:x val="4.261412608067431E-2"/>
                  <c:y val="0.1534765966754160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Sheet1!$M$5:$M$6</c:f>
              <c:strCache>
                <c:ptCount val="2"/>
                <c:pt idx="0">
                  <c:v>基本支出</c:v>
                </c:pt>
                <c:pt idx="1">
                  <c:v>项目支出</c:v>
                </c:pt>
              </c:strCache>
            </c:strRef>
          </c:cat>
          <c:val>
            <c:numRef>
              <c:f>Sheet1!$N$5:$N$6</c:f>
              <c:numCache>
                <c:formatCode>#,##0.00</c:formatCode>
                <c:ptCount val="2"/>
                <c:pt idx="0">
                  <c:v>191.46</c:v>
                </c:pt>
                <c:pt idx="1">
                  <c:v>30</c:v>
                </c:pt>
              </c:numCache>
            </c:numRef>
          </c:val>
        </c:ser>
        <c:dLbls>
          <c:showPercent val="1"/>
        </c:dLbls>
        <c:firstSliceAng val="0"/>
      </c:pieChart>
    </c:plotArea>
    <c:legend>
      <c:legendPos val="r"/>
      <c:layout/>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4</a:t>
            </a:r>
            <a:r>
              <a:rPr lang="zh-CN" altLang="en-US" sz="1400" b="0" i="0" u="none" strike="noStrike" baseline="0"/>
              <a:t>：财政拨款收、支决算总计变动情况</a:t>
            </a:r>
            <a:endParaRPr lang="zh-CN" sz="1400" b="0" i="0" baseline="0">
              <a:latin typeface="黑体" panose="02010609060101010101" charset="-122"/>
              <a:ea typeface="黑体" panose="02010609060101010101" charset="-122"/>
            </a:endParaRPr>
          </a:p>
        </c:rich>
      </c:tx>
      <c:layout>
        <c:manualLayout>
          <c:xMode val="edge"/>
          <c:yMode val="edge"/>
          <c:x val="0.27764252294550101"/>
          <c:y val="3.6893687258165025E-2"/>
        </c:manualLayout>
      </c:layout>
    </c:title>
    <c:plotArea>
      <c:layout/>
      <c:barChart>
        <c:barDir val="col"/>
        <c:grouping val="clustered"/>
        <c:ser>
          <c:idx val="0"/>
          <c:order val="0"/>
          <c:dLbls>
            <c:dLbl>
              <c:idx val="0"/>
              <c:layout>
                <c:manualLayout>
                  <c:x val="-4.1407867494824028E-3"/>
                  <c:y val="1.7420605929413507E-2"/>
                </c:manualLayout>
              </c:layout>
              <c:dLblPos val="inEnd"/>
              <c:showVal val="1"/>
              <c:extLst>
                <c:ext xmlns:c15="http://schemas.microsoft.com/office/drawing/2012/chart" uri="{CE6537A1-D6FC-4f65-9D91-7224C49458BB}">
                  <c15:layout/>
                </c:ext>
              </c:extLst>
            </c:dLbl>
            <c:dLbl>
              <c:idx val="1"/>
              <c:layout>
                <c:manualLayout>
                  <c:x val="-2.7777777777777909E-3"/>
                  <c:y val="-0.101851851851852"/>
                </c:manualLayout>
              </c:layout>
              <c:dLblPos val="in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inEnd"/>
            <c:showVal val="1"/>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General</c:formatCode>
                <c:ptCount val="2"/>
                <c:pt idx="0">
                  <c:v>221.46</c:v>
                </c:pt>
                <c:pt idx="1">
                  <c:v>196.51</c:v>
                </c:pt>
              </c:numCache>
            </c:numRef>
          </c:val>
        </c:ser>
        <c:dLbls>
          <c:showVal val="1"/>
        </c:dLbls>
        <c:gapWidth val="75"/>
        <c:overlap val="40"/>
        <c:axId val="67087744"/>
        <c:axId val="67093632"/>
      </c:barChart>
      <c:catAx>
        <c:axId val="6708774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7093632"/>
        <c:crosses val="autoZero"/>
        <c:auto val="1"/>
        <c:lblAlgn val="ctr"/>
        <c:lblOffset val="100"/>
      </c:catAx>
      <c:valAx>
        <c:axId val="67093632"/>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endParaRPr lang="zh-CN"/>
          </a:p>
        </c:txPr>
        <c:crossAx val="67087744"/>
        <c:crosses val="autoZero"/>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5</a:t>
            </a:r>
            <a:r>
              <a:rPr lang="zh-CN" altLang="en-US" sz="1400" b="0" i="0" u="none" strike="noStrike" baseline="0"/>
              <a:t>：一般公共预算财政拨款支出决算变动情况</a:t>
            </a:r>
            <a:endParaRPr lang="zh-CN" sz="1400" b="0" i="0" baseline="0">
              <a:latin typeface="黑体" panose="02010609060101010101" charset="-122"/>
              <a:ea typeface="黑体" panose="02010609060101010101" charset="-122"/>
            </a:endParaRPr>
          </a:p>
        </c:rich>
      </c:tx>
      <c:layout>
        <c:manualLayout>
          <c:xMode val="edge"/>
          <c:yMode val="edge"/>
          <c:x val="0.13295960081189503"/>
          <c:y val="3.155200551854101E-2"/>
        </c:manualLayout>
      </c:layout>
    </c:title>
    <c:plotArea>
      <c:layout/>
      <c:barChart>
        <c:barDir val="col"/>
        <c:grouping val="clustered"/>
        <c:ser>
          <c:idx val="0"/>
          <c:order val="0"/>
          <c:dLbls>
            <c:dLbl>
              <c:idx val="0"/>
              <c:layout>
                <c:manualLayout>
                  <c:x val="5.8664473956827915E-3"/>
                  <c:y val="7.9653511912319522E-2"/>
                </c:manualLayout>
              </c:layout>
              <c:dLblPos val="inEnd"/>
              <c:showVal val="1"/>
              <c:extLst>
                <c:ext xmlns:c15="http://schemas.microsoft.com/office/drawing/2012/chart" uri="{CE6537A1-D6FC-4f65-9D91-7224C49458BB}">
                  <c15:layout/>
                </c:ext>
              </c:extLst>
            </c:dLbl>
            <c:dLbl>
              <c:idx val="1"/>
              <c:layout>
                <c:manualLayout>
                  <c:x val="-2.7777777777777909E-3"/>
                  <c:y val="-0.101851851851852"/>
                </c:manualLayout>
              </c:layout>
              <c:dLblPos val="in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inEnd"/>
            <c:showVal val="1"/>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General</c:formatCode>
                <c:ptCount val="2"/>
                <c:pt idx="0">
                  <c:v>221.46</c:v>
                </c:pt>
                <c:pt idx="1">
                  <c:v>196.51</c:v>
                </c:pt>
              </c:numCache>
            </c:numRef>
          </c:val>
        </c:ser>
        <c:dLbls>
          <c:showVal val="1"/>
        </c:dLbls>
        <c:gapWidth val="75"/>
        <c:overlap val="40"/>
        <c:axId val="67170304"/>
        <c:axId val="67171840"/>
      </c:barChart>
      <c:catAx>
        <c:axId val="6717030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7171840"/>
        <c:crosses val="autoZero"/>
        <c:auto val="1"/>
        <c:lblAlgn val="ctr"/>
        <c:lblOffset val="100"/>
      </c:catAx>
      <c:valAx>
        <c:axId val="67171840"/>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endParaRPr lang="zh-CN"/>
          </a:p>
        </c:txPr>
        <c:crossAx val="67170304"/>
        <c:crosses val="autoZero"/>
        <c:crossBetween val="between"/>
      </c:valAx>
    </c:plotArea>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6</a:t>
            </a:r>
            <a:r>
              <a:rPr lang="zh-CN" altLang="en-US" sz="1400" b="0" i="0" u="none" strike="noStrike" baseline="0"/>
              <a:t>：一般公共预算财政拨款支出决算结构</a:t>
            </a:r>
            <a:endParaRPr lang="zh-CN" altLang="en-US" sz="1400" b="0">
              <a:latin typeface="黑体" panose="02010609060101010101" charset="-122"/>
              <a:ea typeface="黑体" panose="02010609060101010101" charset="-122"/>
            </a:endParaRPr>
          </a:p>
        </c:rich>
      </c:tx>
      <c:layout/>
    </c:title>
    <c:plotArea>
      <c:layout/>
      <c:pieChart>
        <c:varyColors val="1"/>
        <c:ser>
          <c:idx val="0"/>
          <c:order val="0"/>
          <c:dPt>
            <c:idx val="0"/>
          </c:dPt>
          <c:dPt>
            <c:idx val="1"/>
          </c:dPt>
          <c:dPt>
            <c:idx val="2"/>
          </c:dPt>
          <c:dPt>
            <c:idx val="3"/>
          </c:dPt>
          <c:dLbls>
            <c:dLbl>
              <c:idx val="0"/>
              <c:layout>
                <c:manualLayout>
                  <c:x val="-9.740754966604781E-2"/>
                  <c:y val="-0.21241251093613303"/>
                </c:manualLayout>
              </c:layout>
              <c:dLblPos val="bestFit"/>
              <c:showPercent val="1"/>
              <c:extLst>
                <c:ext xmlns:c15="http://schemas.microsoft.com/office/drawing/2012/chart" uri="{CE6537A1-D6FC-4f65-9D91-7224C49458BB}">
                  <c15:layout/>
                </c:ext>
              </c:extLst>
            </c:dLbl>
            <c:dLbl>
              <c:idx val="1"/>
              <c:layout>
                <c:manualLayout>
                  <c:x val="6.9419684485641814E-2"/>
                  <c:y val="9.1671041119860006E-2"/>
                </c:manualLayout>
              </c:layout>
              <c:dLblPos val="bestFit"/>
              <c:showPercent val="1"/>
              <c:extLst>
                <c:ext xmlns:c15="http://schemas.microsoft.com/office/drawing/2012/chart" uri="{CE6537A1-D6FC-4f65-9D91-7224C49458BB}">
                  <c15:layout/>
                </c:ext>
              </c:extLst>
            </c:dLbl>
            <c:dLbl>
              <c:idx val="2"/>
              <c:layout>
                <c:manualLayout>
                  <c:x val="4.8161913232892005E-2"/>
                  <c:y val="0.102886045494314"/>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Sheet1!$M$5:$M$8</c:f>
              <c:strCache>
                <c:ptCount val="4"/>
                <c:pt idx="0">
                  <c:v>一般公共服务支出</c:v>
                </c:pt>
                <c:pt idx="1">
                  <c:v>社会保障和就业支出</c:v>
                </c:pt>
                <c:pt idx="2">
                  <c:v>卫生健康支出</c:v>
                </c:pt>
                <c:pt idx="3">
                  <c:v>住房保障支出</c:v>
                </c:pt>
              </c:strCache>
            </c:strRef>
          </c:cat>
          <c:val>
            <c:numRef>
              <c:f>Sheet1!$N$5:$N$8</c:f>
              <c:numCache>
                <c:formatCode>#,##0.00</c:formatCode>
                <c:ptCount val="4"/>
                <c:pt idx="0">
                  <c:v>180.31</c:v>
                </c:pt>
                <c:pt idx="1">
                  <c:v>13.53</c:v>
                </c:pt>
                <c:pt idx="2">
                  <c:v>7.02</c:v>
                </c:pt>
                <c:pt idx="3">
                  <c:v>20.6</c:v>
                </c:pt>
              </c:numCache>
            </c:numRef>
          </c:val>
        </c:ser>
        <c:dLbls>
          <c:showPercent val="1"/>
        </c:dLbls>
        <c:firstSliceAng val="0"/>
      </c:pieChart>
    </c:plotArea>
    <c:legend>
      <c:legendPos val="r"/>
      <c:layout/>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4636</Words>
  <Characters>2695</Characters>
  <Application>Microsoft Office Word</Application>
  <DocSecurity>0</DocSecurity>
  <Lines>22</Lines>
  <Paragraphs>14</Paragraphs>
  <ScaleCrop>false</ScaleCrop>
  <Company>四川省财政厅</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25</cp:revision>
  <cp:lastPrinted>2022-08-06T18:23:00Z</cp:lastPrinted>
  <dcterms:created xsi:type="dcterms:W3CDTF">2022-08-26T03:00:00Z</dcterms:created>
  <dcterms:modified xsi:type="dcterms:W3CDTF">2022-11-14T01:52:00Z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2B0259FEEB51420EA1535A9463017EA7</vt:lpwstr>
  </property>
</Properties>
</file>