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eastAsia="方正小标宋简体"/>
          <w:sz w:val="30"/>
          <w:szCs w:val="30"/>
        </w:rPr>
      </w:pPr>
      <w:bookmarkStart w:id="0" w:name="_Toc15306267"/>
    </w:p>
    <w:p>
      <w:pPr>
        <w:spacing w:line="600" w:lineRule="exact"/>
        <w:jc w:val="center"/>
        <w:outlineLvl w:val="0"/>
        <w:rPr>
          <w:rFonts w:eastAsia="方正小标宋简体"/>
          <w:sz w:val="72"/>
          <w:szCs w:val="72"/>
        </w:rPr>
      </w:pPr>
    </w:p>
    <w:p>
      <w:pPr>
        <w:spacing w:line="600" w:lineRule="exact"/>
        <w:jc w:val="center"/>
        <w:outlineLvl w:val="0"/>
        <w:rPr>
          <w:rFonts w:eastAsia="方正小标宋简体"/>
          <w:sz w:val="72"/>
          <w:szCs w:val="72"/>
        </w:rPr>
      </w:pPr>
    </w:p>
    <w:p>
      <w:pPr>
        <w:spacing w:line="600" w:lineRule="exact"/>
        <w:jc w:val="center"/>
        <w:outlineLvl w:val="0"/>
        <w:rPr>
          <w:rFonts w:eastAsia="方正小标宋简体"/>
          <w:sz w:val="72"/>
          <w:szCs w:val="72"/>
        </w:rPr>
      </w:pPr>
    </w:p>
    <w:p>
      <w:pPr>
        <w:adjustRightInd w:val="0"/>
        <w:snapToGrid w:val="0"/>
        <w:spacing w:line="360" w:lineRule="auto"/>
        <w:jc w:val="center"/>
        <w:outlineLvl w:val="0"/>
        <w:rPr>
          <w:rFonts w:eastAsia="方正小标宋简体"/>
          <w:sz w:val="72"/>
          <w:szCs w:val="72"/>
        </w:rPr>
      </w:pPr>
      <w:bookmarkStart w:id="1" w:name="_Toc15377193"/>
      <w:bookmarkStart w:id="2" w:name="_Toc15377425"/>
      <w:bookmarkStart w:id="3" w:name="_Toc15396475"/>
      <w:bookmarkStart w:id="4" w:name="_Toc22459"/>
      <w:bookmarkStart w:id="5" w:name="_Toc15396597"/>
      <w:bookmarkStart w:id="6" w:name="_Toc81557893"/>
      <w:bookmarkStart w:id="7" w:name="_Toc15378441"/>
      <w:r>
        <w:rPr>
          <w:rFonts w:eastAsia="黑体"/>
          <w:sz w:val="72"/>
          <w:szCs w:val="72"/>
        </w:rPr>
        <w:t>2021</w:t>
      </w:r>
      <w:r>
        <w:rPr>
          <w:rFonts w:eastAsia="方正小标宋简体"/>
          <w:sz w:val="72"/>
          <w:szCs w:val="72"/>
        </w:rPr>
        <w:t>年度</w:t>
      </w:r>
      <w:bookmarkEnd w:id="1"/>
      <w:bookmarkEnd w:id="2"/>
      <w:bookmarkEnd w:id="3"/>
      <w:bookmarkEnd w:id="4"/>
      <w:bookmarkEnd w:id="5"/>
      <w:bookmarkEnd w:id="6"/>
      <w:bookmarkEnd w:id="7"/>
    </w:p>
    <w:p>
      <w:pPr>
        <w:adjustRightInd w:val="0"/>
        <w:snapToGrid w:val="0"/>
        <w:spacing w:line="360" w:lineRule="auto"/>
        <w:jc w:val="center"/>
        <w:outlineLvl w:val="0"/>
        <w:rPr>
          <w:rFonts w:eastAsia="方正小标宋简体"/>
          <w:sz w:val="72"/>
          <w:szCs w:val="72"/>
        </w:rPr>
      </w:pPr>
      <w:bookmarkStart w:id="8" w:name="_Toc81557894"/>
      <w:bookmarkStart w:id="9" w:name="_Toc3711"/>
      <w:bookmarkStart w:id="10" w:name="_Toc15396598"/>
      <w:bookmarkStart w:id="11" w:name="_Toc15377194"/>
      <w:bookmarkStart w:id="12" w:name="_Toc15396476"/>
      <w:bookmarkStart w:id="13" w:name="_Toc15378442"/>
      <w:bookmarkStart w:id="14" w:name="_Toc15377426"/>
      <w:r>
        <w:rPr>
          <w:rFonts w:eastAsia="方正小标宋简体"/>
          <w:sz w:val="72"/>
          <w:szCs w:val="72"/>
        </w:rPr>
        <w:t>四川省</w:t>
      </w:r>
      <w:bookmarkEnd w:id="0"/>
      <w:bookmarkStart w:id="15" w:name="_Toc15306268"/>
      <w:r>
        <w:rPr>
          <w:rFonts w:eastAsia="方正小标宋简体"/>
          <w:sz w:val="72"/>
          <w:szCs w:val="72"/>
        </w:rPr>
        <w:t>成本调查监审局</w:t>
      </w:r>
      <w:bookmarkEnd w:id="8"/>
      <w:bookmarkEnd w:id="9"/>
    </w:p>
    <w:p>
      <w:pPr>
        <w:adjustRightInd w:val="0"/>
        <w:snapToGrid w:val="0"/>
        <w:spacing w:line="360" w:lineRule="auto"/>
        <w:jc w:val="center"/>
        <w:outlineLvl w:val="0"/>
        <w:rPr>
          <w:rFonts w:eastAsia="方正小标宋简体"/>
          <w:sz w:val="72"/>
          <w:szCs w:val="72"/>
        </w:rPr>
      </w:pPr>
      <w:bookmarkStart w:id="16" w:name="_Toc29224"/>
      <w:bookmarkStart w:id="17" w:name="_Toc81557895"/>
      <w:r>
        <w:rPr>
          <w:rFonts w:eastAsia="方正小标宋简体"/>
          <w:sz w:val="72"/>
          <w:szCs w:val="72"/>
        </w:rPr>
        <w:t>单位决算</w:t>
      </w:r>
      <w:bookmarkEnd w:id="10"/>
      <w:bookmarkEnd w:id="11"/>
      <w:bookmarkEnd w:id="12"/>
      <w:bookmarkEnd w:id="13"/>
      <w:bookmarkEnd w:id="14"/>
      <w:bookmarkEnd w:id="15"/>
      <w:bookmarkEnd w:id="16"/>
      <w:bookmarkEnd w:id="17"/>
    </w:p>
    <w:p>
      <w:pPr>
        <w:widowControl/>
        <w:jc w:val="center"/>
        <w:rPr>
          <w:rFonts w:eastAsia="黑体"/>
          <w:sz w:val="48"/>
          <w:szCs w:val="48"/>
        </w:rPr>
      </w:pPr>
      <w:r>
        <w:rPr>
          <w:rFonts w:eastAsia="方正小标宋简体"/>
          <w:sz w:val="36"/>
          <w:szCs w:val="36"/>
        </w:rPr>
        <w:br w:type="page"/>
      </w:r>
    </w:p>
    <w:sdt>
      <w:sdtPr>
        <w:rPr>
          <w:lang w:val="zh-CN"/>
        </w:rPr>
        <w:id w:val="807229613"/>
        <w:docPartObj>
          <w:docPartGallery w:val="Table of Contents"/>
          <w:docPartUnique/>
        </w:docPartObj>
      </w:sdtPr>
      <w:sdtEndPr>
        <w:rPr>
          <w:lang w:val="en-US"/>
        </w:rPr>
      </w:sdtEndPr>
      <w:sdtContent>
        <w:p>
          <w:pPr>
            <w:widowControl/>
            <w:jc w:val="center"/>
            <w:rPr>
              <w:rFonts w:ascii="黑体" w:hAnsi="黑体" w:eastAsia="黑体" w:cstheme="minorBidi"/>
              <w:sz w:val="28"/>
              <w:szCs w:val="28"/>
            </w:rPr>
          </w:pPr>
          <w:r>
            <w:rPr>
              <w:rFonts w:hint="eastAsia" w:ascii="黑体" w:hAnsi="黑体" w:eastAsia="黑体"/>
              <w:sz w:val="48"/>
              <w:szCs w:val="48"/>
            </w:rPr>
            <w:t>目录</w:t>
          </w:r>
        </w:p>
        <w:p>
          <w:pPr>
            <w:pStyle w:val="41"/>
            <w:jc w:val="center"/>
            <w:rPr>
              <w:rFonts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仿宋_GB2312" w:cs="Times New Roman"/>
              <w:b w:val="0"/>
              <w:bCs w:val="0"/>
              <w:color w:val="auto"/>
              <w:kern w:val="2"/>
              <w:sz w:val="32"/>
              <w:szCs w:val="32"/>
              <w:lang w:val="en-US" w:eastAsia="zh-CN" w:bidi="ar-SA"/>
            </w:rPr>
            <w:t>公开时间：2022年9月9日</w:t>
          </w:r>
        </w:p>
        <w:p>
          <w:pPr>
            <w:pStyle w:val="17"/>
            <w:tabs>
              <w:tab w:val="right" w:leader="dot" w:pos="8306"/>
            </w:tabs>
            <w:rPr>
              <w:rFonts w:hint="default" w:ascii="Times New Roman" w:hAnsi="Times New Roman" w:eastAsia="仿宋_GB2312" w:cs="Times New Roman"/>
              <w:smallCaps w:val="0"/>
              <w:kern w:val="2"/>
              <w:sz w:val="32"/>
              <w:szCs w:val="32"/>
              <w:lang w:val="en-US" w:eastAsia="zh-CN" w:bidi="ar-SA"/>
            </w:rPr>
          </w:pPr>
          <w:r>
            <w:rPr>
              <w:rFonts w:hint="default" w:ascii="Times New Roman" w:hAnsi="Times New Roman" w:cs="Times New Roman" w:eastAsiaTheme="minorEastAsia"/>
              <w:b w:val="0"/>
              <w:bCs w:val="0"/>
              <w:caps w:val="0"/>
              <w:kern w:val="2"/>
              <w:sz w:val="28"/>
              <w:szCs w:val="28"/>
              <w:lang w:val="en-US" w:eastAsia="zh-CN" w:bidi="ar-SA"/>
            </w:rPr>
            <w:fldChar w:fldCharType="begin"/>
          </w:r>
          <w:r>
            <w:rPr>
              <w:rFonts w:hint="default" w:ascii="Times New Roman" w:hAnsi="Times New Roman" w:cs="Times New Roman" w:eastAsiaTheme="minorEastAsia"/>
              <w:b w:val="0"/>
              <w:bCs w:val="0"/>
              <w:caps w:val="0"/>
              <w:kern w:val="2"/>
              <w:sz w:val="28"/>
              <w:szCs w:val="28"/>
              <w:lang w:val="en-US" w:eastAsia="zh-CN" w:bidi="ar-SA"/>
            </w:rPr>
            <w:instrText xml:space="preserve"> TOC \o "1-3" \u </w:instrText>
          </w:r>
          <w:r>
            <w:rPr>
              <w:rFonts w:hint="default" w:ascii="Times New Roman" w:hAnsi="Times New Roman" w:cs="Times New Roman" w:eastAsiaTheme="minorEastAsia"/>
              <w:b w:val="0"/>
              <w:bCs w:val="0"/>
              <w:caps w:val="0"/>
              <w:kern w:val="2"/>
              <w:sz w:val="28"/>
              <w:szCs w:val="28"/>
              <w:lang w:val="en-US" w:eastAsia="zh-CN" w:bidi="ar-SA"/>
            </w:rPr>
            <w:fldChar w:fldCharType="separate"/>
          </w:r>
          <w:r>
            <w:rPr>
              <w:rFonts w:hint="default" w:ascii="Times New Roman" w:hAnsi="Times New Roman" w:eastAsia="仿宋_GB2312" w:cs="Times New Roman"/>
              <w:smallCaps w:val="0"/>
              <w:kern w:val="2"/>
              <w:sz w:val="32"/>
              <w:szCs w:val="32"/>
              <w:lang w:val="en-US" w:eastAsia="zh-CN" w:bidi="ar-SA"/>
            </w:rPr>
            <w:t>第一部分 单位概况</w:t>
          </w:r>
          <w:r>
            <w:rPr>
              <w:rFonts w:hint="default" w:ascii="Times New Roman" w:hAnsi="Times New Roman" w:eastAsia="仿宋_GB2312" w:cs="Times New Roman"/>
              <w:smallCaps w:val="0"/>
              <w:kern w:val="2"/>
              <w:sz w:val="32"/>
              <w:szCs w:val="32"/>
              <w:lang w:val="en-US" w:eastAsia="zh-CN" w:bidi="ar-SA"/>
            </w:rPr>
            <w:tab/>
          </w:r>
          <w:r>
            <w:rPr>
              <w:rFonts w:hint="default" w:ascii="Times New Roman" w:hAnsi="Times New Roman" w:eastAsia="仿宋_GB2312" w:cs="Times New Roman"/>
              <w:smallCaps w:val="0"/>
              <w:kern w:val="2"/>
              <w:sz w:val="32"/>
              <w:szCs w:val="32"/>
              <w:lang w:val="en-US" w:eastAsia="zh-CN" w:bidi="ar-SA"/>
            </w:rPr>
            <w:fldChar w:fldCharType="begin"/>
          </w:r>
          <w:r>
            <w:rPr>
              <w:rFonts w:hint="default" w:ascii="Times New Roman" w:hAnsi="Times New Roman" w:eastAsia="仿宋_GB2312" w:cs="Times New Roman"/>
              <w:smallCaps w:val="0"/>
              <w:kern w:val="2"/>
              <w:sz w:val="32"/>
              <w:szCs w:val="32"/>
              <w:lang w:val="en-US" w:eastAsia="zh-CN" w:bidi="ar-SA"/>
            </w:rPr>
            <w:instrText xml:space="preserve"> PAGEREF _Toc23234 \h </w:instrText>
          </w:r>
          <w:r>
            <w:rPr>
              <w:rFonts w:hint="default" w:ascii="Times New Roman" w:hAnsi="Times New Roman" w:eastAsia="仿宋_GB2312" w:cs="Times New Roman"/>
              <w:smallCaps w:val="0"/>
              <w:kern w:val="2"/>
              <w:sz w:val="32"/>
              <w:szCs w:val="32"/>
              <w:lang w:val="en-US" w:eastAsia="zh-CN" w:bidi="ar-SA"/>
            </w:rPr>
            <w:fldChar w:fldCharType="separate"/>
          </w:r>
          <w:r>
            <w:rPr>
              <w:rFonts w:hint="default" w:ascii="Times New Roman" w:hAnsi="Times New Roman" w:eastAsia="仿宋_GB2312" w:cs="Times New Roman"/>
              <w:smallCaps w:val="0"/>
              <w:kern w:val="2"/>
              <w:sz w:val="32"/>
              <w:szCs w:val="32"/>
              <w:lang w:val="en-US" w:eastAsia="zh-CN" w:bidi="ar-SA"/>
            </w:rPr>
            <w:t>4</w:t>
          </w:r>
          <w:r>
            <w:rPr>
              <w:rFonts w:hint="default" w:ascii="Times New Roman" w:hAnsi="Times New Roman" w:eastAsia="仿宋_GB2312" w:cs="Times New Roman"/>
              <w:smallCaps w:val="0"/>
              <w:kern w:val="2"/>
              <w:sz w:val="32"/>
              <w:szCs w:val="32"/>
              <w:lang w:val="en-US" w:eastAsia="zh-CN" w:bidi="ar-SA"/>
            </w:rPr>
            <w:fldChar w:fldCharType="end"/>
          </w:r>
        </w:p>
        <w:p>
          <w:pPr>
            <w:pStyle w:val="17"/>
            <w:tabs>
              <w:tab w:val="right" w:leader="dot" w:pos="8306"/>
            </w:tabs>
            <w:rPr>
              <w:rFonts w:hint="default" w:ascii="Times New Roman" w:hAnsi="Times New Roman" w:eastAsia="仿宋_GB2312" w:cs="Times New Roman"/>
              <w:smallCaps w:val="0"/>
              <w:kern w:val="2"/>
              <w:sz w:val="32"/>
              <w:szCs w:val="32"/>
              <w:lang w:val="en-US" w:eastAsia="zh-CN" w:bidi="ar-SA"/>
            </w:rPr>
          </w:pPr>
          <w:r>
            <w:rPr>
              <w:rFonts w:hint="default" w:ascii="Times New Roman" w:hAnsi="Times New Roman" w:eastAsia="仿宋_GB2312" w:cs="Times New Roman"/>
              <w:smallCaps w:val="0"/>
              <w:kern w:val="2"/>
              <w:sz w:val="32"/>
              <w:szCs w:val="32"/>
              <w:lang w:val="en-US" w:eastAsia="zh-CN" w:bidi="ar-SA"/>
            </w:rPr>
            <w:t>一、 职能简介</w:t>
          </w:r>
          <w:r>
            <w:rPr>
              <w:rFonts w:hint="default" w:ascii="Times New Roman" w:hAnsi="Times New Roman" w:eastAsia="仿宋_GB2312" w:cs="Times New Roman"/>
              <w:smallCaps w:val="0"/>
              <w:kern w:val="2"/>
              <w:sz w:val="32"/>
              <w:szCs w:val="32"/>
              <w:lang w:val="en-US" w:eastAsia="zh-CN" w:bidi="ar-SA"/>
            </w:rPr>
            <w:tab/>
          </w:r>
          <w:r>
            <w:rPr>
              <w:rFonts w:hint="default" w:ascii="Times New Roman" w:hAnsi="Times New Roman" w:eastAsia="仿宋_GB2312" w:cs="Times New Roman"/>
              <w:smallCaps w:val="0"/>
              <w:kern w:val="2"/>
              <w:sz w:val="32"/>
              <w:szCs w:val="32"/>
              <w:lang w:val="en-US" w:eastAsia="zh-CN" w:bidi="ar-SA"/>
            </w:rPr>
            <w:fldChar w:fldCharType="begin"/>
          </w:r>
          <w:r>
            <w:rPr>
              <w:rFonts w:hint="default" w:ascii="Times New Roman" w:hAnsi="Times New Roman" w:eastAsia="仿宋_GB2312" w:cs="Times New Roman"/>
              <w:smallCaps w:val="0"/>
              <w:kern w:val="2"/>
              <w:sz w:val="32"/>
              <w:szCs w:val="32"/>
              <w:lang w:val="en-US" w:eastAsia="zh-CN" w:bidi="ar-SA"/>
            </w:rPr>
            <w:instrText xml:space="preserve"> PAGEREF _Toc9193 \h </w:instrText>
          </w:r>
          <w:r>
            <w:rPr>
              <w:rFonts w:hint="default" w:ascii="Times New Roman" w:hAnsi="Times New Roman" w:eastAsia="仿宋_GB2312" w:cs="Times New Roman"/>
              <w:smallCaps w:val="0"/>
              <w:kern w:val="2"/>
              <w:sz w:val="32"/>
              <w:szCs w:val="32"/>
              <w:lang w:val="en-US" w:eastAsia="zh-CN" w:bidi="ar-SA"/>
            </w:rPr>
            <w:fldChar w:fldCharType="separate"/>
          </w:r>
          <w:r>
            <w:rPr>
              <w:rFonts w:hint="default" w:ascii="Times New Roman" w:hAnsi="Times New Roman" w:eastAsia="仿宋_GB2312" w:cs="Times New Roman"/>
              <w:smallCaps w:val="0"/>
              <w:kern w:val="2"/>
              <w:sz w:val="32"/>
              <w:szCs w:val="32"/>
              <w:lang w:val="en-US" w:eastAsia="zh-CN" w:bidi="ar-SA"/>
            </w:rPr>
            <w:t>4</w:t>
          </w:r>
          <w:r>
            <w:rPr>
              <w:rFonts w:hint="default" w:ascii="Times New Roman" w:hAnsi="Times New Roman" w:eastAsia="仿宋_GB2312" w:cs="Times New Roman"/>
              <w:smallCaps w:val="0"/>
              <w:kern w:val="2"/>
              <w:sz w:val="32"/>
              <w:szCs w:val="32"/>
              <w:lang w:val="en-US" w:eastAsia="zh-CN" w:bidi="ar-SA"/>
            </w:rPr>
            <w:fldChar w:fldCharType="end"/>
          </w:r>
        </w:p>
        <w:p>
          <w:pPr>
            <w:pStyle w:val="17"/>
            <w:tabs>
              <w:tab w:val="right" w:leader="dot" w:pos="8306"/>
            </w:tabs>
            <w:rPr>
              <w:rFonts w:hint="default" w:ascii="Times New Roman" w:hAnsi="Times New Roman" w:eastAsia="仿宋_GB2312" w:cs="Times New Roman"/>
              <w:smallCaps w:val="0"/>
              <w:kern w:val="2"/>
              <w:sz w:val="32"/>
              <w:szCs w:val="32"/>
              <w:lang w:val="en-US" w:eastAsia="zh-CN" w:bidi="ar-SA"/>
            </w:rPr>
          </w:pPr>
          <w:r>
            <w:rPr>
              <w:rFonts w:hint="default" w:ascii="Times New Roman" w:hAnsi="Times New Roman" w:eastAsia="仿宋_GB2312" w:cs="Times New Roman"/>
              <w:smallCaps w:val="0"/>
              <w:kern w:val="2"/>
              <w:sz w:val="32"/>
              <w:szCs w:val="32"/>
              <w:lang w:val="en-US" w:eastAsia="zh-CN" w:bidi="ar-SA"/>
            </w:rPr>
            <w:t>二、 2021年重点工作完成情况</w:t>
          </w:r>
          <w:r>
            <w:rPr>
              <w:rFonts w:hint="default" w:ascii="Times New Roman" w:hAnsi="Times New Roman" w:eastAsia="仿宋_GB2312" w:cs="Times New Roman"/>
              <w:smallCaps w:val="0"/>
              <w:kern w:val="2"/>
              <w:sz w:val="32"/>
              <w:szCs w:val="32"/>
              <w:lang w:val="en-US" w:eastAsia="zh-CN" w:bidi="ar-SA"/>
            </w:rPr>
            <w:tab/>
          </w:r>
          <w:r>
            <w:rPr>
              <w:rFonts w:hint="default" w:ascii="Times New Roman" w:hAnsi="Times New Roman" w:eastAsia="仿宋_GB2312" w:cs="Times New Roman"/>
              <w:smallCaps w:val="0"/>
              <w:kern w:val="2"/>
              <w:sz w:val="32"/>
              <w:szCs w:val="32"/>
              <w:lang w:val="en-US" w:eastAsia="zh-CN" w:bidi="ar-SA"/>
            </w:rPr>
            <w:fldChar w:fldCharType="begin"/>
          </w:r>
          <w:r>
            <w:rPr>
              <w:rFonts w:hint="default" w:ascii="Times New Roman" w:hAnsi="Times New Roman" w:eastAsia="仿宋_GB2312" w:cs="Times New Roman"/>
              <w:smallCaps w:val="0"/>
              <w:kern w:val="2"/>
              <w:sz w:val="32"/>
              <w:szCs w:val="32"/>
              <w:lang w:val="en-US" w:eastAsia="zh-CN" w:bidi="ar-SA"/>
            </w:rPr>
            <w:instrText xml:space="preserve"> PAGEREF _Toc18052 \h </w:instrText>
          </w:r>
          <w:r>
            <w:rPr>
              <w:rFonts w:hint="default" w:ascii="Times New Roman" w:hAnsi="Times New Roman" w:eastAsia="仿宋_GB2312" w:cs="Times New Roman"/>
              <w:smallCaps w:val="0"/>
              <w:kern w:val="2"/>
              <w:sz w:val="32"/>
              <w:szCs w:val="32"/>
              <w:lang w:val="en-US" w:eastAsia="zh-CN" w:bidi="ar-SA"/>
            </w:rPr>
            <w:fldChar w:fldCharType="separate"/>
          </w:r>
          <w:r>
            <w:rPr>
              <w:rFonts w:hint="default" w:ascii="Times New Roman" w:hAnsi="Times New Roman" w:eastAsia="仿宋_GB2312" w:cs="Times New Roman"/>
              <w:smallCaps w:val="0"/>
              <w:kern w:val="2"/>
              <w:sz w:val="32"/>
              <w:szCs w:val="32"/>
              <w:lang w:val="en-US" w:eastAsia="zh-CN" w:bidi="ar-SA"/>
            </w:rPr>
            <w:t>4</w:t>
          </w:r>
          <w:r>
            <w:rPr>
              <w:rFonts w:hint="default" w:ascii="Times New Roman" w:hAnsi="Times New Roman" w:eastAsia="仿宋_GB2312" w:cs="Times New Roman"/>
              <w:smallCaps w:val="0"/>
              <w:kern w:val="2"/>
              <w:sz w:val="32"/>
              <w:szCs w:val="32"/>
              <w:lang w:val="en-US" w:eastAsia="zh-CN" w:bidi="ar-SA"/>
            </w:rPr>
            <w:fldChar w:fldCharType="end"/>
          </w:r>
        </w:p>
        <w:p>
          <w:pPr>
            <w:pStyle w:val="17"/>
            <w:tabs>
              <w:tab w:val="right" w:leader="dot" w:pos="8306"/>
            </w:tabs>
            <w:rPr>
              <w:rFonts w:hint="default" w:ascii="Times New Roman" w:hAnsi="Times New Roman" w:eastAsia="仿宋_GB2312" w:cs="Times New Roman"/>
              <w:smallCaps w:val="0"/>
              <w:kern w:val="2"/>
              <w:sz w:val="32"/>
              <w:szCs w:val="32"/>
              <w:lang w:val="en-US" w:eastAsia="zh-CN" w:bidi="ar-SA"/>
            </w:rPr>
          </w:pPr>
          <w:r>
            <w:rPr>
              <w:rFonts w:hint="eastAsia" w:ascii="Times New Roman" w:hAnsi="Times New Roman" w:eastAsia="仿宋_GB2312" w:cs="Times New Roman"/>
              <w:smallCaps w:val="0"/>
              <w:kern w:val="2"/>
              <w:sz w:val="32"/>
              <w:szCs w:val="32"/>
              <w:lang w:val="en-US" w:eastAsia="zh-CN" w:bidi="ar-SA"/>
            </w:rPr>
            <w:t>三</w:t>
          </w:r>
          <w:r>
            <w:rPr>
              <w:rFonts w:hint="default" w:ascii="Times New Roman" w:hAnsi="Times New Roman" w:eastAsia="仿宋_GB2312" w:cs="Times New Roman"/>
              <w:smallCaps w:val="0"/>
              <w:kern w:val="2"/>
              <w:sz w:val="32"/>
              <w:szCs w:val="32"/>
              <w:lang w:val="en-US" w:eastAsia="zh-CN" w:bidi="ar-SA"/>
            </w:rPr>
            <w:t xml:space="preserve">、 </w:t>
          </w:r>
          <w:r>
            <w:rPr>
              <w:rFonts w:hint="eastAsia" w:ascii="Times New Roman" w:hAnsi="Times New Roman" w:eastAsia="仿宋_GB2312" w:cs="Times New Roman"/>
              <w:smallCaps w:val="0"/>
              <w:kern w:val="2"/>
              <w:sz w:val="32"/>
              <w:szCs w:val="32"/>
              <w:lang w:val="en-US" w:eastAsia="zh-CN" w:bidi="ar-SA"/>
            </w:rPr>
            <w:t>机构设置</w:t>
          </w:r>
          <w:r>
            <w:rPr>
              <w:rFonts w:hint="default" w:ascii="Times New Roman" w:hAnsi="Times New Roman" w:eastAsia="仿宋_GB2312" w:cs="Times New Roman"/>
              <w:smallCaps w:val="0"/>
              <w:kern w:val="2"/>
              <w:sz w:val="32"/>
              <w:szCs w:val="32"/>
              <w:lang w:val="en-US" w:eastAsia="zh-CN" w:bidi="ar-SA"/>
            </w:rPr>
            <w:t>情况</w:t>
          </w:r>
          <w:r>
            <w:rPr>
              <w:rFonts w:hint="default" w:ascii="Times New Roman" w:hAnsi="Times New Roman" w:eastAsia="仿宋_GB2312" w:cs="Times New Roman"/>
              <w:smallCaps w:val="0"/>
              <w:kern w:val="2"/>
              <w:sz w:val="32"/>
              <w:szCs w:val="32"/>
              <w:lang w:val="en-US" w:eastAsia="zh-CN" w:bidi="ar-SA"/>
            </w:rPr>
            <w:tab/>
          </w:r>
          <w:r>
            <w:rPr>
              <w:rFonts w:hint="eastAsia" w:ascii="Times New Roman" w:hAnsi="Times New Roman" w:eastAsia="仿宋_GB2312" w:cs="Times New Roman"/>
              <w:smallCaps w:val="0"/>
              <w:kern w:val="2"/>
              <w:sz w:val="32"/>
              <w:szCs w:val="32"/>
              <w:lang w:val="en-US" w:eastAsia="zh-CN" w:bidi="ar-SA"/>
            </w:rPr>
            <w:t>8</w:t>
          </w:r>
        </w:p>
        <w:p>
          <w:pPr>
            <w:pStyle w:val="17"/>
            <w:tabs>
              <w:tab w:val="right" w:leader="dot" w:pos="8306"/>
            </w:tabs>
            <w:rPr>
              <w:rFonts w:hint="default" w:ascii="Times New Roman" w:hAnsi="Times New Roman" w:eastAsia="仿宋_GB2312" w:cs="Times New Roman"/>
              <w:smallCaps w:val="0"/>
              <w:kern w:val="2"/>
              <w:sz w:val="32"/>
              <w:szCs w:val="32"/>
              <w:lang w:val="en-US" w:eastAsia="zh-CN" w:bidi="ar-SA"/>
            </w:rPr>
          </w:pPr>
          <w:r>
            <w:rPr>
              <w:rFonts w:hint="default" w:ascii="Times New Roman" w:hAnsi="Times New Roman" w:eastAsia="仿宋_GB2312" w:cs="Times New Roman"/>
              <w:smallCaps w:val="0"/>
              <w:kern w:val="2"/>
              <w:sz w:val="32"/>
              <w:szCs w:val="32"/>
              <w:lang w:val="en-US" w:eastAsia="zh-CN" w:bidi="ar-SA"/>
            </w:rPr>
            <w:t>第二部分 2021年度部门决算情况说明</w:t>
          </w:r>
          <w:r>
            <w:rPr>
              <w:rFonts w:hint="default" w:ascii="Times New Roman" w:hAnsi="Times New Roman" w:eastAsia="仿宋_GB2312" w:cs="Times New Roman"/>
              <w:smallCaps w:val="0"/>
              <w:kern w:val="2"/>
              <w:sz w:val="32"/>
              <w:szCs w:val="32"/>
              <w:lang w:val="en-US" w:eastAsia="zh-CN" w:bidi="ar-SA"/>
            </w:rPr>
            <w:tab/>
          </w:r>
          <w:r>
            <w:rPr>
              <w:rFonts w:hint="default" w:ascii="Times New Roman" w:hAnsi="Times New Roman" w:eastAsia="仿宋_GB2312" w:cs="Times New Roman"/>
              <w:smallCaps w:val="0"/>
              <w:kern w:val="2"/>
              <w:sz w:val="32"/>
              <w:szCs w:val="32"/>
              <w:lang w:val="en-US" w:eastAsia="zh-CN" w:bidi="ar-SA"/>
            </w:rPr>
            <w:fldChar w:fldCharType="begin"/>
          </w:r>
          <w:r>
            <w:rPr>
              <w:rFonts w:hint="default" w:ascii="Times New Roman" w:hAnsi="Times New Roman" w:eastAsia="仿宋_GB2312" w:cs="Times New Roman"/>
              <w:smallCaps w:val="0"/>
              <w:kern w:val="2"/>
              <w:sz w:val="32"/>
              <w:szCs w:val="32"/>
              <w:lang w:val="en-US" w:eastAsia="zh-CN" w:bidi="ar-SA"/>
            </w:rPr>
            <w:instrText xml:space="preserve"> PAGEREF _Toc4016 \h </w:instrText>
          </w:r>
          <w:r>
            <w:rPr>
              <w:rFonts w:hint="default" w:ascii="Times New Roman" w:hAnsi="Times New Roman" w:eastAsia="仿宋_GB2312" w:cs="Times New Roman"/>
              <w:smallCaps w:val="0"/>
              <w:kern w:val="2"/>
              <w:sz w:val="32"/>
              <w:szCs w:val="32"/>
              <w:lang w:val="en-US" w:eastAsia="zh-CN" w:bidi="ar-SA"/>
            </w:rPr>
            <w:fldChar w:fldCharType="separate"/>
          </w:r>
          <w:r>
            <w:rPr>
              <w:rFonts w:hint="default" w:ascii="Times New Roman" w:hAnsi="Times New Roman" w:eastAsia="仿宋_GB2312" w:cs="Times New Roman"/>
              <w:smallCaps w:val="0"/>
              <w:kern w:val="2"/>
              <w:sz w:val="32"/>
              <w:szCs w:val="32"/>
              <w:lang w:val="en-US" w:eastAsia="zh-CN" w:bidi="ar-SA"/>
            </w:rPr>
            <w:t>9</w:t>
          </w:r>
          <w:r>
            <w:rPr>
              <w:rFonts w:hint="default" w:ascii="Times New Roman" w:hAnsi="Times New Roman" w:eastAsia="仿宋_GB2312" w:cs="Times New Roman"/>
              <w:smallCaps w:val="0"/>
              <w:kern w:val="2"/>
              <w:sz w:val="32"/>
              <w:szCs w:val="32"/>
              <w:lang w:val="en-US" w:eastAsia="zh-CN" w:bidi="ar-SA"/>
            </w:rPr>
            <w:fldChar w:fldCharType="end"/>
          </w:r>
        </w:p>
        <w:p>
          <w:pPr>
            <w:pStyle w:val="17"/>
            <w:tabs>
              <w:tab w:val="right" w:leader="dot" w:pos="8306"/>
            </w:tabs>
            <w:rPr>
              <w:rFonts w:hint="default" w:ascii="Times New Roman" w:hAnsi="Times New Roman" w:eastAsia="仿宋_GB2312" w:cs="Times New Roman"/>
              <w:smallCaps w:val="0"/>
              <w:kern w:val="2"/>
              <w:sz w:val="32"/>
              <w:szCs w:val="32"/>
              <w:lang w:val="en-US" w:eastAsia="zh-CN" w:bidi="ar-SA"/>
            </w:rPr>
          </w:pPr>
          <w:r>
            <w:rPr>
              <w:rFonts w:hint="default" w:ascii="Times New Roman" w:hAnsi="Times New Roman" w:eastAsia="仿宋_GB2312" w:cs="Times New Roman"/>
              <w:smallCaps w:val="0"/>
              <w:kern w:val="2"/>
              <w:sz w:val="32"/>
              <w:szCs w:val="32"/>
              <w:lang w:val="en-US" w:eastAsia="zh-CN" w:bidi="ar-SA"/>
            </w:rPr>
            <w:t>一、 收入支出决算总体情况说明</w:t>
          </w:r>
          <w:r>
            <w:rPr>
              <w:rFonts w:hint="default" w:ascii="Times New Roman" w:hAnsi="Times New Roman" w:eastAsia="仿宋_GB2312" w:cs="Times New Roman"/>
              <w:smallCaps w:val="0"/>
              <w:kern w:val="2"/>
              <w:sz w:val="32"/>
              <w:szCs w:val="32"/>
              <w:lang w:val="en-US" w:eastAsia="zh-CN" w:bidi="ar-SA"/>
            </w:rPr>
            <w:tab/>
          </w:r>
          <w:r>
            <w:rPr>
              <w:rFonts w:hint="default" w:ascii="Times New Roman" w:hAnsi="Times New Roman" w:eastAsia="仿宋_GB2312" w:cs="Times New Roman"/>
              <w:smallCaps w:val="0"/>
              <w:kern w:val="2"/>
              <w:sz w:val="32"/>
              <w:szCs w:val="32"/>
              <w:lang w:val="en-US" w:eastAsia="zh-CN" w:bidi="ar-SA"/>
            </w:rPr>
            <w:fldChar w:fldCharType="begin"/>
          </w:r>
          <w:r>
            <w:rPr>
              <w:rFonts w:hint="default" w:ascii="Times New Roman" w:hAnsi="Times New Roman" w:eastAsia="仿宋_GB2312" w:cs="Times New Roman"/>
              <w:smallCaps w:val="0"/>
              <w:kern w:val="2"/>
              <w:sz w:val="32"/>
              <w:szCs w:val="32"/>
              <w:lang w:val="en-US" w:eastAsia="zh-CN" w:bidi="ar-SA"/>
            </w:rPr>
            <w:instrText xml:space="preserve"> PAGEREF _Toc24486 \h </w:instrText>
          </w:r>
          <w:r>
            <w:rPr>
              <w:rFonts w:hint="default" w:ascii="Times New Roman" w:hAnsi="Times New Roman" w:eastAsia="仿宋_GB2312" w:cs="Times New Roman"/>
              <w:smallCaps w:val="0"/>
              <w:kern w:val="2"/>
              <w:sz w:val="32"/>
              <w:szCs w:val="32"/>
              <w:lang w:val="en-US" w:eastAsia="zh-CN" w:bidi="ar-SA"/>
            </w:rPr>
            <w:fldChar w:fldCharType="separate"/>
          </w:r>
          <w:r>
            <w:rPr>
              <w:rFonts w:hint="default" w:ascii="Times New Roman" w:hAnsi="Times New Roman" w:eastAsia="仿宋_GB2312" w:cs="Times New Roman"/>
              <w:smallCaps w:val="0"/>
              <w:kern w:val="2"/>
              <w:sz w:val="32"/>
              <w:szCs w:val="32"/>
              <w:lang w:val="en-US" w:eastAsia="zh-CN" w:bidi="ar-SA"/>
            </w:rPr>
            <w:t>9</w:t>
          </w:r>
          <w:r>
            <w:rPr>
              <w:rFonts w:hint="default" w:ascii="Times New Roman" w:hAnsi="Times New Roman" w:eastAsia="仿宋_GB2312" w:cs="Times New Roman"/>
              <w:smallCaps w:val="0"/>
              <w:kern w:val="2"/>
              <w:sz w:val="32"/>
              <w:szCs w:val="32"/>
              <w:lang w:val="en-US" w:eastAsia="zh-CN" w:bidi="ar-SA"/>
            </w:rPr>
            <w:fldChar w:fldCharType="end"/>
          </w:r>
        </w:p>
        <w:p>
          <w:pPr>
            <w:pStyle w:val="17"/>
            <w:tabs>
              <w:tab w:val="right" w:leader="dot" w:pos="8306"/>
            </w:tabs>
            <w:rPr>
              <w:rFonts w:hint="default" w:ascii="Times New Roman" w:hAnsi="Times New Roman" w:eastAsia="仿宋_GB2312" w:cs="Times New Roman"/>
              <w:smallCaps w:val="0"/>
              <w:kern w:val="2"/>
              <w:sz w:val="32"/>
              <w:szCs w:val="32"/>
              <w:lang w:val="en-US" w:eastAsia="zh-CN" w:bidi="ar-SA"/>
            </w:rPr>
          </w:pPr>
          <w:r>
            <w:rPr>
              <w:rFonts w:hint="default" w:ascii="Times New Roman" w:hAnsi="Times New Roman" w:eastAsia="仿宋_GB2312" w:cs="Times New Roman"/>
              <w:smallCaps w:val="0"/>
              <w:kern w:val="2"/>
              <w:sz w:val="32"/>
              <w:szCs w:val="32"/>
              <w:lang w:val="en-US" w:eastAsia="zh-CN" w:bidi="ar-SA"/>
            </w:rPr>
            <w:t>二、 收入决算情况说明</w:t>
          </w:r>
          <w:r>
            <w:rPr>
              <w:rFonts w:hint="default" w:ascii="Times New Roman" w:hAnsi="Times New Roman" w:eastAsia="仿宋_GB2312" w:cs="Times New Roman"/>
              <w:smallCaps w:val="0"/>
              <w:kern w:val="2"/>
              <w:sz w:val="32"/>
              <w:szCs w:val="32"/>
              <w:lang w:val="en-US" w:eastAsia="zh-CN" w:bidi="ar-SA"/>
            </w:rPr>
            <w:tab/>
          </w:r>
          <w:r>
            <w:rPr>
              <w:rFonts w:hint="default" w:ascii="Times New Roman" w:hAnsi="Times New Roman" w:eastAsia="仿宋_GB2312" w:cs="Times New Roman"/>
              <w:smallCaps w:val="0"/>
              <w:kern w:val="2"/>
              <w:sz w:val="32"/>
              <w:szCs w:val="32"/>
              <w:lang w:val="en-US" w:eastAsia="zh-CN" w:bidi="ar-SA"/>
            </w:rPr>
            <w:fldChar w:fldCharType="begin"/>
          </w:r>
          <w:r>
            <w:rPr>
              <w:rFonts w:hint="default" w:ascii="Times New Roman" w:hAnsi="Times New Roman" w:eastAsia="仿宋_GB2312" w:cs="Times New Roman"/>
              <w:smallCaps w:val="0"/>
              <w:kern w:val="2"/>
              <w:sz w:val="32"/>
              <w:szCs w:val="32"/>
              <w:lang w:val="en-US" w:eastAsia="zh-CN" w:bidi="ar-SA"/>
            </w:rPr>
            <w:instrText xml:space="preserve"> PAGEREF _Toc29192 \h </w:instrText>
          </w:r>
          <w:r>
            <w:rPr>
              <w:rFonts w:hint="default" w:ascii="Times New Roman" w:hAnsi="Times New Roman" w:eastAsia="仿宋_GB2312" w:cs="Times New Roman"/>
              <w:smallCaps w:val="0"/>
              <w:kern w:val="2"/>
              <w:sz w:val="32"/>
              <w:szCs w:val="32"/>
              <w:lang w:val="en-US" w:eastAsia="zh-CN" w:bidi="ar-SA"/>
            </w:rPr>
            <w:fldChar w:fldCharType="separate"/>
          </w:r>
          <w:r>
            <w:rPr>
              <w:rFonts w:hint="default" w:ascii="Times New Roman" w:hAnsi="Times New Roman" w:eastAsia="仿宋_GB2312" w:cs="Times New Roman"/>
              <w:smallCaps w:val="0"/>
              <w:kern w:val="2"/>
              <w:sz w:val="32"/>
              <w:szCs w:val="32"/>
              <w:lang w:val="en-US" w:eastAsia="zh-CN" w:bidi="ar-SA"/>
            </w:rPr>
            <w:t>9</w:t>
          </w:r>
          <w:r>
            <w:rPr>
              <w:rFonts w:hint="default" w:ascii="Times New Roman" w:hAnsi="Times New Roman" w:eastAsia="仿宋_GB2312" w:cs="Times New Roman"/>
              <w:smallCaps w:val="0"/>
              <w:kern w:val="2"/>
              <w:sz w:val="32"/>
              <w:szCs w:val="32"/>
              <w:lang w:val="en-US" w:eastAsia="zh-CN" w:bidi="ar-SA"/>
            </w:rPr>
            <w:fldChar w:fldCharType="end"/>
          </w:r>
        </w:p>
        <w:p>
          <w:pPr>
            <w:pStyle w:val="17"/>
            <w:tabs>
              <w:tab w:val="right" w:leader="dot" w:pos="8306"/>
            </w:tabs>
            <w:rPr>
              <w:rFonts w:hint="default" w:ascii="Times New Roman" w:hAnsi="Times New Roman" w:eastAsia="仿宋_GB2312" w:cs="Times New Roman"/>
              <w:smallCaps w:val="0"/>
              <w:kern w:val="2"/>
              <w:sz w:val="32"/>
              <w:szCs w:val="32"/>
              <w:lang w:val="en-US" w:eastAsia="zh-CN" w:bidi="ar-SA"/>
            </w:rPr>
          </w:pPr>
          <w:r>
            <w:rPr>
              <w:rFonts w:hint="default" w:ascii="Times New Roman" w:hAnsi="Times New Roman" w:eastAsia="仿宋_GB2312" w:cs="Times New Roman"/>
              <w:smallCaps w:val="0"/>
              <w:kern w:val="2"/>
              <w:sz w:val="32"/>
              <w:szCs w:val="32"/>
              <w:lang w:val="en-US" w:eastAsia="zh-CN" w:bidi="ar-SA"/>
            </w:rPr>
            <w:t>三、 支出决算情况说明</w:t>
          </w:r>
          <w:r>
            <w:rPr>
              <w:rFonts w:hint="default" w:ascii="Times New Roman" w:hAnsi="Times New Roman" w:eastAsia="仿宋_GB2312" w:cs="Times New Roman"/>
              <w:smallCaps w:val="0"/>
              <w:kern w:val="2"/>
              <w:sz w:val="32"/>
              <w:szCs w:val="32"/>
              <w:lang w:val="en-US" w:eastAsia="zh-CN" w:bidi="ar-SA"/>
            </w:rPr>
            <w:tab/>
          </w:r>
          <w:r>
            <w:rPr>
              <w:rFonts w:hint="default" w:ascii="Times New Roman" w:hAnsi="Times New Roman" w:eastAsia="仿宋_GB2312" w:cs="Times New Roman"/>
              <w:smallCaps w:val="0"/>
              <w:kern w:val="2"/>
              <w:sz w:val="32"/>
              <w:szCs w:val="32"/>
              <w:lang w:val="en-US" w:eastAsia="zh-CN" w:bidi="ar-SA"/>
            </w:rPr>
            <w:fldChar w:fldCharType="begin"/>
          </w:r>
          <w:r>
            <w:rPr>
              <w:rFonts w:hint="default" w:ascii="Times New Roman" w:hAnsi="Times New Roman" w:eastAsia="仿宋_GB2312" w:cs="Times New Roman"/>
              <w:smallCaps w:val="0"/>
              <w:kern w:val="2"/>
              <w:sz w:val="32"/>
              <w:szCs w:val="32"/>
              <w:lang w:val="en-US" w:eastAsia="zh-CN" w:bidi="ar-SA"/>
            </w:rPr>
            <w:instrText xml:space="preserve"> PAGEREF _Toc13004 \h </w:instrText>
          </w:r>
          <w:r>
            <w:rPr>
              <w:rFonts w:hint="default" w:ascii="Times New Roman" w:hAnsi="Times New Roman" w:eastAsia="仿宋_GB2312" w:cs="Times New Roman"/>
              <w:smallCaps w:val="0"/>
              <w:kern w:val="2"/>
              <w:sz w:val="32"/>
              <w:szCs w:val="32"/>
              <w:lang w:val="en-US" w:eastAsia="zh-CN" w:bidi="ar-SA"/>
            </w:rPr>
            <w:fldChar w:fldCharType="separate"/>
          </w:r>
          <w:r>
            <w:rPr>
              <w:rFonts w:hint="default" w:ascii="Times New Roman" w:hAnsi="Times New Roman" w:eastAsia="仿宋_GB2312" w:cs="Times New Roman"/>
              <w:smallCaps w:val="0"/>
              <w:kern w:val="2"/>
              <w:sz w:val="32"/>
              <w:szCs w:val="32"/>
              <w:lang w:val="en-US" w:eastAsia="zh-CN" w:bidi="ar-SA"/>
            </w:rPr>
            <w:t>10</w:t>
          </w:r>
          <w:r>
            <w:rPr>
              <w:rFonts w:hint="default" w:ascii="Times New Roman" w:hAnsi="Times New Roman" w:eastAsia="仿宋_GB2312" w:cs="Times New Roman"/>
              <w:smallCaps w:val="0"/>
              <w:kern w:val="2"/>
              <w:sz w:val="32"/>
              <w:szCs w:val="32"/>
              <w:lang w:val="en-US" w:eastAsia="zh-CN" w:bidi="ar-SA"/>
            </w:rPr>
            <w:fldChar w:fldCharType="end"/>
          </w:r>
        </w:p>
        <w:p>
          <w:pPr>
            <w:pStyle w:val="17"/>
            <w:tabs>
              <w:tab w:val="right" w:leader="dot" w:pos="8306"/>
            </w:tabs>
            <w:rPr>
              <w:rFonts w:hint="default" w:ascii="Times New Roman" w:hAnsi="Times New Roman" w:eastAsia="仿宋_GB2312" w:cs="Times New Roman"/>
              <w:smallCaps w:val="0"/>
              <w:kern w:val="2"/>
              <w:sz w:val="32"/>
              <w:szCs w:val="32"/>
              <w:lang w:val="en-US" w:eastAsia="zh-CN" w:bidi="ar-SA"/>
            </w:rPr>
          </w:pPr>
          <w:r>
            <w:rPr>
              <w:rFonts w:hint="default" w:ascii="Times New Roman" w:hAnsi="Times New Roman" w:eastAsia="仿宋_GB2312" w:cs="Times New Roman"/>
              <w:smallCaps w:val="0"/>
              <w:kern w:val="2"/>
              <w:sz w:val="32"/>
              <w:szCs w:val="32"/>
              <w:lang w:val="en-US" w:eastAsia="zh-CN" w:bidi="ar-SA"/>
            </w:rPr>
            <w:t>四、财政拨款收入支出决算总体情况说明</w:t>
          </w:r>
          <w:r>
            <w:rPr>
              <w:rFonts w:hint="default" w:ascii="Times New Roman" w:hAnsi="Times New Roman" w:eastAsia="仿宋_GB2312" w:cs="Times New Roman"/>
              <w:smallCaps w:val="0"/>
              <w:kern w:val="2"/>
              <w:sz w:val="32"/>
              <w:szCs w:val="32"/>
              <w:lang w:val="en-US" w:eastAsia="zh-CN" w:bidi="ar-SA"/>
            </w:rPr>
            <w:tab/>
          </w:r>
          <w:r>
            <w:rPr>
              <w:rFonts w:hint="default" w:ascii="Times New Roman" w:hAnsi="Times New Roman" w:eastAsia="仿宋_GB2312" w:cs="Times New Roman"/>
              <w:smallCaps w:val="0"/>
              <w:kern w:val="2"/>
              <w:sz w:val="32"/>
              <w:szCs w:val="32"/>
              <w:lang w:val="en-US" w:eastAsia="zh-CN" w:bidi="ar-SA"/>
            </w:rPr>
            <w:fldChar w:fldCharType="begin"/>
          </w:r>
          <w:r>
            <w:rPr>
              <w:rFonts w:hint="default" w:ascii="Times New Roman" w:hAnsi="Times New Roman" w:eastAsia="仿宋_GB2312" w:cs="Times New Roman"/>
              <w:smallCaps w:val="0"/>
              <w:kern w:val="2"/>
              <w:sz w:val="32"/>
              <w:szCs w:val="32"/>
              <w:lang w:val="en-US" w:eastAsia="zh-CN" w:bidi="ar-SA"/>
            </w:rPr>
            <w:instrText xml:space="preserve"> PAGEREF _Toc5958 \h </w:instrText>
          </w:r>
          <w:r>
            <w:rPr>
              <w:rFonts w:hint="default" w:ascii="Times New Roman" w:hAnsi="Times New Roman" w:eastAsia="仿宋_GB2312" w:cs="Times New Roman"/>
              <w:smallCaps w:val="0"/>
              <w:kern w:val="2"/>
              <w:sz w:val="32"/>
              <w:szCs w:val="32"/>
              <w:lang w:val="en-US" w:eastAsia="zh-CN" w:bidi="ar-SA"/>
            </w:rPr>
            <w:fldChar w:fldCharType="separate"/>
          </w:r>
          <w:r>
            <w:rPr>
              <w:rFonts w:hint="default" w:ascii="Times New Roman" w:hAnsi="Times New Roman" w:eastAsia="仿宋_GB2312" w:cs="Times New Roman"/>
              <w:smallCaps w:val="0"/>
              <w:kern w:val="2"/>
              <w:sz w:val="32"/>
              <w:szCs w:val="32"/>
              <w:lang w:val="en-US" w:eastAsia="zh-CN" w:bidi="ar-SA"/>
            </w:rPr>
            <w:t>10</w:t>
          </w:r>
          <w:r>
            <w:rPr>
              <w:rFonts w:hint="default" w:ascii="Times New Roman" w:hAnsi="Times New Roman" w:eastAsia="仿宋_GB2312" w:cs="Times New Roman"/>
              <w:smallCaps w:val="0"/>
              <w:kern w:val="2"/>
              <w:sz w:val="32"/>
              <w:szCs w:val="32"/>
              <w:lang w:val="en-US" w:eastAsia="zh-CN" w:bidi="ar-SA"/>
            </w:rPr>
            <w:fldChar w:fldCharType="end"/>
          </w:r>
        </w:p>
        <w:p>
          <w:pPr>
            <w:pStyle w:val="17"/>
            <w:tabs>
              <w:tab w:val="right" w:leader="dot" w:pos="8306"/>
            </w:tabs>
            <w:rPr>
              <w:rFonts w:hint="default" w:ascii="Times New Roman" w:hAnsi="Times New Roman" w:eastAsia="仿宋_GB2312" w:cs="Times New Roman"/>
              <w:smallCaps w:val="0"/>
              <w:kern w:val="2"/>
              <w:sz w:val="32"/>
              <w:szCs w:val="32"/>
              <w:lang w:val="en-US" w:eastAsia="zh-CN" w:bidi="ar-SA"/>
            </w:rPr>
          </w:pPr>
          <w:r>
            <w:rPr>
              <w:rFonts w:hint="default" w:ascii="Times New Roman" w:hAnsi="Times New Roman" w:eastAsia="仿宋_GB2312" w:cs="Times New Roman"/>
              <w:smallCaps w:val="0"/>
              <w:kern w:val="2"/>
              <w:sz w:val="32"/>
              <w:szCs w:val="32"/>
              <w:lang w:val="en-US" w:eastAsia="zh-CN" w:bidi="ar-SA"/>
            </w:rPr>
            <w:t>五、一般公共预算财政拨款支出决算情况说明</w:t>
          </w:r>
          <w:r>
            <w:rPr>
              <w:rFonts w:hint="default" w:ascii="Times New Roman" w:hAnsi="Times New Roman" w:eastAsia="仿宋_GB2312" w:cs="Times New Roman"/>
              <w:smallCaps w:val="0"/>
              <w:kern w:val="2"/>
              <w:sz w:val="32"/>
              <w:szCs w:val="32"/>
              <w:lang w:val="en-US" w:eastAsia="zh-CN" w:bidi="ar-SA"/>
            </w:rPr>
            <w:tab/>
          </w:r>
          <w:r>
            <w:rPr>
              <w:rFonts w:hint="default" w:ascii="Times New Roman" w:hAnsi="Times New Roman" w:eastAsia="仿宋_GB2312" w:cs="Times New Roman"/>
              <w:smallCaps w:val="0"/>
              <w:kern w:val="2"/>
              <w:sz w:val="32"/>
              <w:szCs w:val="32"/>
              <w:lang w:val="en-US" w:eastAsia="zh-CN" w:bidi="ar-SA"/>
            </w:rPr>
            <w:fldChar w:fldCharType="begin"/>
          </w:r>
          <w:r>
            <w:rPr>
              <w:rFonts w:hint="default" w:ascii="Times New Roman" w:hAnsi="Times New Roman" w:eastAsia="仿宋_GB2312" w:cs="Times New Roman"/>
              <w:smallCaps w:val="0"/>
              <w:kern w:val="2"/>
              <w:sz w:val="32"/>
              <w:szCs w:val="32"/>
              <w:lang w:val="en-US" w:eastAsia="zh-CN" w:bidi="ar-SA"/>
            </w:rPr>
            <w:instrText xml:space="preserve"> PAGEREF _Toc26316 \h </w:instrText>
          </w:r>
          <w:r>
            <w:rPr>
              <w:rFonts w:hint="default" w:ascii="Times New Roman" w:hAnsi="Times New Roman" w:eastAsia="仿宋_GB2312" w:cs="Times New Roman"/>
              <w:smallCaps w:val="0"/>
              <w:kern w:val="2"/>
              <w:sz w:val="32"/>
              <w:szCs w:val="32"/>
              <w:lang w:val="en-US" w:eastAsia="zh-CN" w:bidi="ar-SA"/>
            </w:rPr>
            <w:fldChar w:fldCharType="separate"/>
          </w:r>
          <w:r>
            <w:rPr>
              <w:rFonts w:hint="default" w:ascii="Times New Roman" w:hAnsi="Times New Roman" w:eastAsia="仿宋_GB2312" w:cs="Times New Roman"/>
              <w:smallCaps w:val="0"/>
              <w:kern w:val="2"/>
              <w:sz w:val="32"/>
              <w:szCs w:val="32"/>
              <w:lang w:val="en-US" w:eastAsia="zh-CN" w:bidi="ar-SA"/>
            </w:rPr>
            <w:t>11</w:t>
          </w:r>
          <w:r>
            <w:rPr>
              <w:rFonts w:hint="default" w:ascii="Times New Roman" w:hAnsi="Times New Roman" w:eastAsia="仿宋_GB2312" w:cs="Times New Roman"/>
              <w:smallCaps w:val="0"/>
              <w:kern w:val="2"/>
              <w:sz w:val="32"/>
              <w:szCs w:val="32"/>
              <w:lang w:val="en-US" w:eastAsia="zh-CN" w:bidi="ar-SA"/>
            </w:rPr>
            <w:fldChar w:fldCharType="end"/>
          </w:r>
        </w:p>
        <w:p>
          <w:pPr>
            <w:pStyle w:val="17"/>
            <w:tabs>
              <w:tab w:val="right" w:leader="dot" w:pos="8306"/>
            </w:tabs>
            <w:rPr>
              <w:rFonts w:hint="default" w:ascii="Times New Roman" w:hAnsi="Times New Roman" w:eastAsia="仿宋_GB2312" w:cs="Times New Roman"/>
              <w:smallCaps w:val="0"/>
              <w:kern w:val="2"/>
              <w:sz w:val="32"/>
              <w:szCs w:val="32"/>
              <w:lang w:val="en-US" w:eastAsia="zh-CN" w:bidi="ar-SA"/>
            </w:rPr>
          </w:pPr>
          <w:r>
            <w:rPr>
              <w:rFonts w:hint="default" w:ascii="Times New Roman" w:hAnsi="Times New Roman" w:eastAsia="仿宋_GB2312" w:cs="Times New Roman"/>
              <w:smallCaps w:val="0"/>
              <w:kern w:val="2"/>
              <w:sz w:val="32"/>
              <w:szCs w:val="32"/>
              <w:lang w:val="en-US" w:eastAsia="zh-CN" w:bidi="ar-SA"/>
            </w:rPr>
            <w:t>（一）一般公共预算财政拨款支出决算总体情况</w:t>
          </w:r>
          <w:r>
            <w:rPr>
              <w:rFonts w:hint="default" w:ascii="Times New Roman" w:hAnsi="Times New Roman" w:eastAsia="仿宋_GB2312" w:cs="Times New Roman"/>
              <w:smallCaps w:val="0"/>
              <w:kern w:val="2"/>
              <w:sz w:val="32"/>
              <w:szCs w:val="32"/>
              <w:lang w:val="en-US" w:eastAsia="zh-CN" w:bidi="ar-SA"/>
            </w:rPr>
            <w:tab/>
          </w:r>
          <w:r>
            <w:rPr>
              <w:rFonts w:hint="default" w:ascii="Times New Roman" w:hAnsi="Times New Roman" w:eastAsia="仿宋_GB2312" w:cs="Times New Roman"/>
              <w:smallCaps w:val="0"/>
              <w:kern w:val="2"/>
              <w:sz w:val="32"/>
              <w:szCs w:val="32"/>
              <w:lang w:val="en-US" w:eastAsia="zh-CN" w:bidi="ar-SA"/>
            </w:rPr>
            <w:fldChar w:fldCharType="begin"/>
          </w:r>
          <w:r>
            <w:rPr>
              <w:rFonts w:hint="default" w:ascii="Times New Roman" w:hAnsi="Times New Roman" w:eastAsia="仿宋_GB2312" w:cs="Times New Roman"/>
              <w:smallCaps w:val="0"/>
              <w:kern w:val="2"/>
              <w:sz w:val="32"/>
              <w:szCs w:val="32"/>
              <w:lang w:val="en-US" w:eastAsia="zh-CN" w:bidi="ar-SA"/>
            </w:rPr>
            <w:instrText xml:space="preserve"> PAGEREF _Toc16955 \h </w:instrText>
          </w:r>
          <w:r>
            <w:rPr>
              <w:rFonts w:hint="default" w:ascii="Times New Roman" w:hAnsi="Times New Roman" w:eastAsia="仿宋_GB2312" w:cs="Times New Roman"/>
              <w:smallCaps w:val="0"/>
              <w:kern w:val="2"/>
              <w:sz w:val="32"/>
              <w:szCs w:val="32"/>
              <w:lang w:val="en-US" w:eastAsia="zh-CN" w:bidi="ar-SA"/>
            </w:rPr>
            <w:fldChar w:fldCharType="separate"/>
          </w:r>
          <w:r>
            <w:rPr>
              <w:rFonts w:hint="default" w:ascii="Times New Roman" w:hAnsi="Times New Roman" w:eastAsia="仿宋_GB2312" w:cs="Times New Roman"/>
              <w:smallCaps w:val="0"/>
              <w:kern w:val="2"/>
              <w:sz w:val="32"/>
              <w:szCs w:val="32"/>
              <w:lang w:val="en-US" w:eastAsia="zh-CN" w:bidi="ar-SA"/>
            </w:rPr>
            <w:t>11</w:t>
          </w:r>
          <w:r>
            <w:rPr>
              <w:rFonts w:hint="default" w:ascii="Times New Roman" w:hAnsi="Times New Roman" w:eastAsia="仿宋_GB2312" w:cs="Times New Roman"/>
              <w:smallCaps w:val="0"/>
              <w:kern w:val="2"/>
              <w:sz w:val="32"/>
              <w:szCs w:val="32"/>
              <w:lang w:val="en-US" w:eastAsia="zh-CN" w:bidi="ar-SA"/>
            </w:rPr>
            <w:fldChar w:fldCharType="end"/>
          </w:r>
        </w:p>
        <w:p>
          <w:pPr>
            <w:pStyle w:val="17"/>
            <w:tabs>
              <w:tab w:val="right" w:leader="dot" w:pos="8306"/>
            </w:tabs>
            <w:rPr>
              <w:rFonts w:hint="default" w:ascii="Times New Roman" w:hAnsi="Times New Roman" w:eastAsia="仿宋_GB2312" w:cs="Times New Roman"/>
              <w:smallCaps w:val="0"/>
              <w:kern w:val="2"/>
              <w:sz w:val="32"/>
              <w:szCs w:val="32"/>
              <w:lang w:val="en-US" w:eastAsia="zh-CN" w:bidi="ar-SA"/>
            </w:rPr>
          </w:pPr>
          <w:r>
            <w:rPr>
              <w:rFonts w:hint="default" w:ascii="Times New Roman" w:hAnsi="Times New Roman" w:eastAsia="仿宋_GB2312" w:cs="Times New Roman"/>
              <w:smallCaps w:val="0"/>
              <w:kern w:val="2"/>
              <w:sz w:val="32"/>
              <w:szCs w:val="32"/>
              <w:lang w:val="en-US" w:eastAsia="zh-CN" w:bidi="ar-SA"/>
            </w:rPr>
            <w:t>（二）一般公共预算财政拨款支出决算结构情况</w:t>
          </w:r>
          <w:r>
            <w:rPr>
              <w:rFonts w:hint="default" w:ascii="Times New Roman" w:hAnsi="Times New Roman" w:eastAsia="仿宋_GB2312" w:cs="Times New Roman"/>
              <w:smallCaps w:val="0"/>
              <w:kern w:val="2"/>
              <w:sz w:val="32"/>
              <w:szCs w:val="32"/>
              <w:lang w:val="en-US" w:eastAsia="zh-CN" w:bidi="ar-SA"/>
            </w:rPr>
            <w:tab/>
          </w:r>
          <w:r>
            <w:rPr>
              <w:rFonts w:hint="default" w:ascii="Times New Roman" w:hAnsi="Times New Roman" w:eastAsia="仿宋_GB2312" w:cs="Times New Roman"/>
              <w:smallCaps w:val="0"/>
              <w:kern w:val="2"/>
              <w:sz w:val="32"/>
              <w:szCs w:val="32"/>
              <w:lang w:val="en-US" w:eastAsia="zh-CN" w:bidi="ar-SA"/>
            </w:rPr>
            <w:fldChar w:fldCharType="begin"/>
          </w:r>
          <w:r>
            <w:rPr>
              <w:rFonts w:hint="default" w:ascii="Times New Roman" w:hAnsi="Times New Roman" w:eastAsia="仿宋_GB2312" w:cs="Times New Roman"/>
              <w:smallCaps w:val="0"/>
              <w:kern w:val="2"/>
              <w:sz w:val="32"/>
              <w:szCs w:val="32"/>
              <w:lang w:val="en-US" w:eastAsia="zh-CN" w:bidi="ar-SA"/>
            </w:rPr>
            <w:instrText xml:space="preserve"> PAGEREF _Toc1624 \h </w:instrText>
          </w:r>
          <w:r>
            <w:rPr>
              <w:rFonts w:hint="default" w:ascii="Times New Roman" w:hAnsi="Times New Roman" w:eastAsia="仿宋_GB2312" w:cs="Times New Roman"/>
              <w:smallCaps w:val="0"/>
              <w:kern w:val="2"/>
              <w:sz w:val="32"/>
              <w:szCs w:val="32"/>
              <w:lang w:val="en-US" w:eastAsia="zh-CN" w:bidi="ar-SA"/>
            </w:rPr>
            <w:fldChar w:fldCharType="separate"/>
          </w:r>
          <w:r>
            <w:rPr>
              <w:rFonts w:hint="default" w:ascii="Times New Roman" w:hAnsi="Times New Roman" w:eastAsia="仿宋_GB2312" w:cs="Times New Roman"/>
              <w:smallCaps w:val="0"/>
              <w:kern w:val="2"/>
              <w:sz w:val="32"/>
              <w:szCs w:val="32"/>
              <w:lang w:val="en-US" w:eastAsia="zh-CN" w:bidi="ar-SA"/>
            </w:rPr>
            <w:t>12</w:t>
          </w:r>
          <w:r>
            <w:rPr>
              <w:rFonts w:hint="default" w:ascii="Times New Roman" w:hAnsi="Times New Roman" w:eastAsia="仿宋_GB2312" w:cs="Times New Roman"/>
              <w:smallCaps w:val="0"/>
              <w:kern w:val="2"/>
              <w:sz w:val="32"/>
              <w:szCs w:val="32"/>
              <w:lang w:val="en-US" w:eastAsia="zh-CN" w:bidi="ar-SA"/>
            </w:rPr>
            <w:fldChar w:fldCharType="end"/>
          </w:r>
        </w:p>
        <w:p>
          <w:pPr>
            <w:pStyle w:val="17"/>
            <w:tabs>
              <w:tab w:val="right" w:leader="dot" w:pos="8306"/>
            </w:tabs>
            <w:rPr>
              <w:rFonts w:hint="default" w:ascii="Times New Roman" w:hAnsi="Times New Roman" w:eastAsia="仿宋_GB2312" w:cs="Times New Roman"/>
              <w:smallCaps w:val="0"/>
              <w:kern w:val="2"/>
              <w:sz w:val="32"/>
              <w:szCs w:val="32"/>
              <w:lang w:val="en-US" w:eastAsia="zh-CN" w:bidi="ar-SA"/>
            </w:rPr>
          </w:pPr>
          <w:r>
            <w:rPr>
              <w:rFonts w:hint="default" w:ascii="Times New Roman" w:hAnsi="Times New Roman" w:eastAsia="仿宋_GB2312" w:cs="Times New Roman"/>
              <w:smallCaps w:val="0"/>
              <w:kern w:val="2"/>
              <w:sz w:val="32"/>
              <w:szCs w:val="32"/>
              <w:lang w:val="en-US" w:eastAsia="zh-CN" w:bidi="ar-SA"/>
            </w:rPr>
            <w:t>（三）一般公共预算财政拨款支出决算具体情况</w:t>
          </w:r>
          <w:r>
            <w:rPr>
              <w:rFonts w:hint="default" w:ascii="Times New Roman" w:hAnsi="Times New Roman" w:eastAsia="仿宋_GB2312" w:cs="Times New Roman"/>
              <w:smallCaps w:val="0"/>
              <w:kern w:val="2"/>
              <w:sz w:val="32"/>
              <w:szCs w:val="32"/>
              <w:lang w:val="en-US" w:eastAsia="zh-CN" w:bidi="ar-SA"/>
            </w:rPr>
            <w:tab/>
          </w:r>
          <w:r>
            <w:rPr>
              <w:rFonts w:hint="default" w:ascii="Times New Roman" w:hAnsi="Times New Roman" w:eastAsia="仿宋_GB2312" w:cs="Times New Roman"/>
              <w:smallCaps w:val="0"/>
              <w:kern w:val="2"/>
              <w:sz w:val="32"/>
              <w:szCs w:val="32"/>
              <w:lang w:val="en-US" w:eastAsia="zh-CN" w:bidi="ar-SA"/>
            </w:rPr>
            <w:fldChar w:fldCharType="begin"/>
          </w:r>
          <w:r>
            <w:rPr>
              <w:rFonts w:hint="default" w:ascii="Times New Roman" w:hAnsi="Times New Roman" w:eastAsia="仿宋_GB2312" w:cs="Times New Roman"/>
              <w:smallCaps w:val="0"/>
              <w:kern w:val="2"/>
              <w:sz w:val="32"/>
              <w:szCs w:val="32"/>
              <w:lang w:val="en-US" w:eastAsia="zh-CN" w:bidi="ar-SA"/>
            </w:rPr>
            <w:instrText xml:space="preserve"> PAGEREF _Toc22903 \h </w:instrText>
          </w:r>
          <w:r>
            <w:rPr>
              <w:rFonts w:hint="default" w:ascii="Times New Roman" w:hAnsi="Times New Roman" w:eastAsia="仿宋_GB2312" w:cs="Times New Roman"/>
              <w:smallCaps w:val="0"/>
              <w:kern w:val="2"/>
              <w:sz w:val="32"/>
              <w:szCs w:val="32"/>
              <w:lang w:val="en-US" w:eastAsia="zh-CN" w:bidi="ar-SA"/>
            </w:rPr>
            <w:fldChar w:fldCharType="separate"/>
          </w:r>
          <w:r>
            <w:rPr>
              <w:rFonts w:hint="default" w:ascii="Times New Roman" w:hAnsi="Times New Roman" w:eastAsia="仿宋_GB2312" w:cs="Times New Roman"/>
              <w:smallCaps w:val="0"/>
              <w:kern w:val="2"/>
              <w:sz w:val="32"/>
              <w:szCs w:val="32"/>
              <w:lang w:val="en-US" w:eastAsia="zh-CN" w:bidi="ar-SA"/>
            </w:rPr>
            <w:t>12</w:t>
          </w:r>
          <w:r>
            <w:rPr>
              <w:rFonts w:hint="default" w:ascii="Times New Roman" w:hAnsi="Times New Roman" w:eastAsia="仿宋_GB2312" w:cs="Times New Roman"/>
              <w:smallCaps w:val="0"/>
              <w:kern w:val="2"/>
              <w:sz w:val="32"/>
              <w:szCs w:val="32"/>
              <w:lang w:val="en-US" w:eastAsia="zh-CN" w:bidi="ar-SA"/>
            </w:rPr>
            <w:fldChar w:fldCharType="end"/>
          </w:r>
        </w:p>
        <w:p>
          <w:pPr>
            <w:pStyle w:val="17"/>
            <w:tabs>
              <w:tab w:val="right" w:leader="dot" w:pos="8306"/>
            </w:tabs>
            <w:rPr>
              <w:rFonts w:hint="default" w:ascii="Times New Roman" w:hAnsi="Times New Roman" w:eastAsia="仿宋_GB2312" w:cs="Times New Roman"/>
              <w:smallCaps w:val="0"/>
              <w:kern w:val="2"/>
              <w:sz w:val="32"/>
              <w:szCs w:val="32"/>
              <w:lang w:val="en-US" w:eastAsia="zh-CN" w:bidi="ar-SA"/>
            </w:rPr>
          </w:pPr>
          <w:r>
            <w:rPr>
              <w:rFonts w:hint="default" w:ascii="Times New Roman" w:hAnsi="Times New Roman" w:eastAsia="仿宋_GB2312" w:cs="Times New Roman"/>
              <w:smallCaps w:val="0"/>
              <w:kern w:val="2"/>
              <w:sz w:val="32"/>
              <w:szCs w:val="32"/>
              <w:lang w:val="en-US" w:eastAsia="zh-CN" w:bidi="ar-SA"/>
            </w:rPr>
            <w:t>六、一般公共预算财政拨款基本支出决算情况说明</w:t>
          </w:r>
          <w:r>
            <w:rPr>
              <w:rFonts w:hint="default" w:ascii="Times New Roman" w:hAnsi="Times New Roman" w:eastAsia="仿宋_GB2312" w:cs="Times New Roman"/>
              <w:smallCaps w:val="0"/>
              <w:kern w:val="2"/>
              <w:sz w:val="32"/>
              <w:szCs w:val="32"/>
              <w:lang w:val="en-US" w:eastAsia="zh-CN" w:bidi="ar-SA"/>
            </w:rPr>
            <w:tab/>
          </w:r>
          <w:r>
            <w:rPr>
              <w:rFonts w:hint="default" w:ascii="Times New Roman" w:hAnsi="Times New Roman" w:eastAsia="仿宋_GB2312" w:cs="Times New Roman"/>
              <w:smallCaps w:val="0"/>
              <w:kern w:val="2"/>
              <w:sz w:val="32"/>
              <w:szCs w:val="32"/>
              <w:lang w:val="en-US" w:eastAsia="zh-CN" w:bidi="ar-SA"/>
            </w:rPr>
            <w:fldChar w:fldCharType="begin"/>
          </w:r>
          <w:r>
            <w:rPr>
              <w:rFonts w:hint="default" w:ascii="Times New Roman" w:hAnsi="Times New Roman" w:eastAsia="仿宋_GB2312" w:cs="Times New Roman"/>
              <w:smallCaps w:val="0"/>
              <w:kern w:val="2"/>
              <w:sz w:val="32"/>
              <w:szCs w:val="32"/>
              <w:lang w:val="en-US" w:eastAsia="zh-CN" w:bidi="ar-SA"/>
            </w:rPr>
            <w:instrText xml:space="preserve"> PAGEREF _Toc9364 \h </w:instrText>
          </w:r>
          <w:r>
            <w:rPr>
              <w:rFonts w:hint="default" w:ascii="Times New Roman" w:hAnsi="Times New Roman" w:eastAsia="仿宋_GB2312" w:cs="Times New Roman"/>
              <w:smallCaps w:val="0"/>
              <w:kern w:val="2"/>
              <w:sz w:val="32"/>
              <w:szCs w:val="32"/>
              <w:lang w:val="en-US" w:eastAsia="zh-CN" w:bidi="ar-SA"/>
            </w:rPr>
            <w:fldChar w:fldCharType="separate"/>
          </w:r>
          <w:r>
            <w:rPr>
              <w:rFonts w:hint="default" w:ascii="Times New Roman" w:hAnsi="Times New Roman" w:eastAsia="仿宋_GB2312" w:cs="Times New Roman"/>
              <w:smallCaps w:val="0"/>
              <w:kern w:val="2"/>
              <w:sz w:val="32"/>
              <w:szCs w:val="32"/>
              <w:lang w:val="en-US" w:eastAsia="zh-CN" w:bidi="ar-SA"/>
            </w:rPr>
            <w:t>14</w:t>
          </w:r>
          <w:r>
            <w:rPr>
              <w:rFonts w:hint="default" w:ascii="Times New Roman" w:hAnsi="Times New Roman" w:eastAsia="仿宋_GB2312" w:cs="Times New Roman"/>
              <w:smallCaps w:val="0"/>
              <w:kern w:val="2"/>
              <w:sz w:val="32"/>
              <w:szCs w:val="32"/>
              <w:lang w:val="en-US" w:eastAsia="zh-CN" w:bidi="ar-SA"/>
            </w:rPr>
            <w:fldChar w:fldCharType="end"/>
          </w:r>
        </w:p>
        <w:p>
          <w:pPr>
            <w:pStyle w:val="17"/>
            <w:tabs>
              <w:tab w:val="right" w:leader="dot" w:pos="8306"/>
            </w:tabs>
            <w:rPr>
              <w:rFonts w:hint="default" w:ascii="Times New Roman" w:hAnsi="Times New Roman" w:eastAsia="仿宋_GB2312" w:cs="Times New Roman"/>
              <w:smallCaps w:val="0"/>
              <w:kern w:val="2"/>
              <w:sz w:val="32"/>
              <w:szCs w:val="32"/>
              <w:lang w:val="en-US" w:eastAsia="zh-CN" w:bidi="ar-SA"/>
            </w:rPr>
          </w:pPr>
          <w:r>
            <w:rPr>
              <w:rFonts w:hint="default" w:ascii="Times New Roman" w:hAnsi="Times New Roman" w:eastAsia="仿宋_GB2312" w:cs="Times New Roman"/>
              <w:smallCaps w:val="0"/>
              <w:kern w:val="2"/>
              <w:sz w:val="32"/>
              <w:szCs w:val="32"/>
              <w:lang w:val="en-US" w:eastAsia="zh-CN" w:bidi="ar-SA"/>
            </w:rPr>
            <w:t>七、“三公”经费财政拨款支出决算情况说明</w:t>
          </w:r>
          <w:r>
            <w:rPr>
              <w:rFonts w:hint="default" w:ascii="Times New Roman" w:hAnsi="Times New Roman" w:eastAsia="仿宋_GB2312" w:cs="Times New Roman"/>
              <w:smallCaps w:val="0"/>
              <w:kern w:val="2"/>
              <w:sz w:val="32"/>
              <w:szCs w:val="32"/>
              <w:lang w:val="en-US" w:eastAsia="zh-CN" w:bidi="ar-SA"/>
            </w:rPr>
            <w:tab/>
          </w:r>
          <w:r>
            <w:rPr>
              <w:rFonts w:hint="default" w:ascii="Times New Roman" w:hAnsi="Times New Roman" w:eastAsia="仿宋_GB2312" w:cs="Times New Roman"/>
              <w:smallCaps w:val="0"/>
              <w:kern w:val="2"/>
              <w:sz w:val="32"/>
              <w:szCs w:val="32"/>
              <w:lang w:val="en-US" w:eastAsia="zh-CN" w:bidi="ar-SA"/>
            </w:rPr>
            <w:fldChar w:fldCharType="begin"/>
          </w:r>
          <w:r>
            <w:rPr>
              <w:rFonts w:hint="default" w:ascii="Times New Roman" w:hAnsi="Times New Roman" w:eastAsia="仿宋_GB2312" w:cs="Times New Roman"/>
              <w:smallCaps w:val="0"/>
              <w:kern w:val="2"/>
              <w:sz w:val="32"/>
              <w:szCs w:val="32"/>
              <w:lang w:val="en-US" w:eastAsia="zh-CN" w:bidi="ar-SA"/>
            </w:rPr>
            <w:instrText xml:space="preserve"> PAGEREF _Toc30916 \h </w:instrText>
          </w:r>
          <w:r>
            <w:rPr>
              <w:rFonts w:hint="default" w:ascii="Times New Roman" w:hAnsi="Times New Roman" w:eastAsia="仿宋_GB2312" w:cs="Times New Roman"/>
              <w:smallCaps w:val="0"/>
              <w:kern w:val="2"/>
              <w:sz w:val="32"/>
              <w:szCs w:val="32"/>
              <w:lang w:val="en-US" w:eastAsia="zh-CN" w:bidi="ar-SA"/>
            </w:rPr>
            <w:fldChar w:fldCharType="separate"/>
          </w:r>
          <w:r>
            <w:rPr>
              <w:rFonts w:hint="default" w:ascii="Times New Roman" w:hAnsi="Times New Roman" w:eastAsia="仿宋_GB2312" w:cs="Times New Roman"/>
              <w:smallCaps w:val="0"/>
              <w:kern w:val="2"/>
              <w:sz w:val="32"/>
              <w:szCs w:val="32"/>
              <w:lang w:val="en-US" w:eastAsia="zh-CN" w:bidi="ar-SA"/>
            </w:rPr>
            <w:t>14</w:t>
          </w:r>
          <w:r>
            <w:rPr>
              <w:rFonts w:hint="default" w:ascii="Times New Roman" w:hAnsi="Times New Roman" w:eastAsia="仿宋_GB2312" w:cs="Times New Roman"/>
              <w:smallCaps w:val="0"/>
              <w:kern w:val="2"/>
              <w:sz w:val="32"/>
              <w:szCs w:val="32"/>
              <w:lang w:val="en-US" w:eastAsia="zh-CN" w:bidi="ar-SA"/>
            </w:rPr>
            <w:fldChar w:fldCharType="end"/>
          </w:r>
        </w:p>
        <w:p>
          <w:pPr>
            <w:pStyle w:val="17"/>
            <w:tabs>
              <w:tab w:val="right" w:leader="dot" w:pos="8306"/>
            </w:tabs>
            <w:rPr>
              <w:rFonts w:hint="default" w:ascii="Times New Roman" w:hAnsi="Times New Roman" w:eastAsia="仿宋_GB2312" w:cs="Times New Roman"/>
              <w:smallCaps w:val="0"/>
              <w:kern w:val="2"/>
              <w:sz w:val="32"/>
              <w:szCs w:val="32"/>
              <w:lang w:val="en-US" w:eastAsia="zh-CN" w:bidi="ar-SA"/>
            </w:rPr>
          </w:pPr>
          <w:r>
            <w:rPr>
              <w:rFonts w:hint="default" w:ascii="Times New Roman" w:hAnsi="Times New Roman" w:eastAsia="仿宋_GB2312" w:cs="Times New Roman"/>
              <w:smallCaps w:val="0"/>
              <w:kern w:val="2"/>
              <w:sz w:val="32"/>
              <w:szCs w:val="32"/>
              <w:lang w:val="en-US" w:eastAsia="zh-CN" w:bidi="ar-SA"/>
            </w:rPr>
            <w:t>（一）“三公”经费财政拨款支出决算总体情况说明</w:t>
          </w:r>
          <w:r>
            <w:rPr>
              <w:rFonts w:hint="default" w:ascii="Times New Roman" w:hAnsi="Times New Roman" w:eastAsia="仿宋_GB2312" w:cs="Times New Roman"/>
              <w:smallCaps w:val="0"/>
              <w:kern w:val="2"/>
              <w:sz w:val="32"/>
              <w:szCs w:val="32"/>
              <w:lang w:val="en-US" w:eastAsia="zh-CN" w:bidi="ar-SA"/>
            </w:rPr>
            <w:tab/>
          </w:r>
          <w:r>
            <w:rPr>
              <w:rFonts w:hint="default" w:ascii="Times New Roman" w:hAnsi="Times New Roman" w:eastAsia="仿宋_GB2312" w:cs="Times New Roman"/>
              <w:smallCaps w:val="0"/>
              <w:kern w:val="2"/>
              <w:sz w:val="32"/>
              <w:szCs w:val="32"/>
              <w:lang w:val="en-US" w:eastAsia="zh-CN" w:bidi="ar-SA"/>
            </w:rPr>
            <w:fldChar w:fldCharType="begin"/>
          </w:r>
          <w:r>
            <w:rPr>
              <w:rFonts w:hint="default" w:ascii="Times New Roman" w:hAnsi="Times New Roman" w:eastAsia="仿宋_GB2312" w:cs="Times New Roman"/>
              <w:smallCaps w:val="0"/>
              <w:kern w:val="2"/>
              <w:sz w:val="32"/>
              <w:szCs w:val="32"/>
              <w:lang w:val="en-US" w:eastAsia="zh-CN" w:bidi="ar-SA"/>
            </w:rPr>
            <w:instrText xml:space="preserve"> PAGEREF _Toc22283 \h </w:instrText>
          </w:r>
          <w:r>
            <w:rPr>
              <w:rFonts w:hint="default" w:ascii="Times New Roman" w:hAnsi="Times New Roman" w:eastAsia="仿宋_GB2312" w:cs="Times New Roman"/>
              <w:smallCaps w:val="0"/>
              <w:kern w:val="2"/>
              <w:sz w:val="32"/>
              <w:szCs w:val="32"/>
              <w:lang w:val="en-US" w:eastAsia="zh-CN" w:bidi="ar-SA"/>
            </w:rPr>
            <w:fldChar w:fldCharType="separate"/>
          </w:r>
          <w:r>
            <w:rPr>
              <w:rFonts w:hint="default" w:ascii="Times New Roman" w:hAnsi="Times New Roman" w:eastAsia="仿宋_GB2312" w:cs="Times New Roman"/>
              <w:smallCaps w:val="0"/>
              <w:kern w:val="2"/>
              <w:sz w:val="32"/>
              <w:szCs w:val="32"/>
              <w:lang w:val="en-US" w:eastAsia="zh-CN" w:bidi="ar-SA"/>
            </w:rPr>
            <w:t>14</w:t>
          </w:r>
          <w:r>
            <w:rPr>
              <w:rFonts w:hint="default" w:ascii="Times New Roman" w:hAnsi="Times New Roman" w:eastAsia="仿宋_GB2312" w:cs="Times New Roman"/>
              <w:smallCaps w:val="0"/>
              <w:kern w:val="2"/>
              <w:sz w:val="32"/>
              <w:szCs w:val="32"/>
              <w:lang w:val="en-US" w:eastAsia="zh-CN" w:bidi="ar-SA"/>
            </w:rPr>
            <w:fldChar w:fldCharType="end"/>
          </w:r>
        </w:p>
        <w:p>
          <w:pPr>
            <w:pStyle w:val="17"/>
            <w:tabs>
              <w:tab w:val="right" w:leader="dot" w:pos="8306"/>
            </w:tabs>
            <w:rPr>
              <w:rFonts w:hint="default" w:ascii="Times New Roman" w:hAnsi="Times New Roman" w:eastAsia="仿宋_GB2312" w:cs="Times New Roman"/>
              <w:smallCaps w:val="0"/>
              <w:kern w:val="2"/>
              <w:sz w:val="32"/>
              <w:szCs w:val="32"/>
              <w:lang w:val="en-US" w:eastAsia="zh-CN" w:bidi="ar-SA"/>
            </w:rPr>
          </w:pPr>
          <w:r>
            <w:rPr>
              <w:rFonts w:hint="default" w:ascii="Times New Roman" w:hAnsi="Times New Roman" w:eastAsia="仿宋_GB2312" w:cs="Times New Roman"/>
              <w:smallCaps w:val="0"/>
              <w:kern w:val="2"/>
              <w:sz w:val="32"/>
              <w:szCs w:val="32"/>
              <w:lang w:val="en-US" w:eastAsia="zh-CN" w:bidi="ar-SA"/>
            </w:rPr>
            <w:t>（二）“三公”经费财政拨款支出决算具体情况说明</w:t>
          </w:r>
          <w:r>
            <w:rPr>
              <w:rFonts w:hint="default" w:ascii="Times New Roman" w:hAnsi="Times New Roman" w:eastAsia="仿宋_GB2312" w:cs="Times New Roman"/>
              <w:smallCaps w:val="0"/>
              <w:kern w:val="2"/>
              <w:sz w:val="32"/>
              <w:szCs w:val="32"/>
              <w:lang w:val="en-US" w:eastAsia="zh-CN" w:bidi="ar-SA"/>
            </w:rPr>
            <w:tab/>
          </w:r>
          <w:r>
            <w:rPr>
              <w:rFonts w:hint="default" w:ascii="Times New Roman" w:hAnsi="Times New Roman" w:eastAsia="仿宋_GB2312" w:cs="Times New Roman"/>
              <w:smallCaps w:val="0"/>
              <w:kern w:val="2"/>
              <w:sz w:val="32"/>
              <w:szCs w:val="32"/>
              <w:lang w:val="en-US" w:eastAsia="zh-CN" w:bidi="ar-SA"/>
            </w:rPr>
            <w:fldChar w:fldCharType="begin"/>
          </w:r>
          <w:r>
            <w:rPr>
              <w:rFonts w:hint="default" w:ascii="Times New Roman" w:hAnsi="Times New Roman" w:eastAsia="仿宋_GB2312" w:cs="Times New Roman"/>
              <w:smallCaps w:val="0"/>
              <w:kern w:val="2"/>
              <w:sz w:val="32"/>
              <w:szCs w:val="32"/>
              <w:lang w:val="en-US" w:eastAsia="zh-CN" w:bidi="ar-SA"/>
            </w:rPr>
            <w:instrText xml:space="preserve"> PAGEREF _Toc32415 \h </w:instrText>
          </w:r>
          <w:r>
            <w:rPr>
              <w:rFonts w:hint="default" w:ascii="Times New Roman" w:hAnsi="Times New Roman" w:eastAsia="仿宋_GB2312" w:cs="Times New Roman"/>
              <w:smallCaps w:val="0"/>
              <w:kern w:val="2"/>
              <w:sz w:val="32"/>
              <w:szCs w:val="32"/>
              <w:lang w:val="en-US" w:eastAsia="zh-CN" w:bidi="ar-SA"/>
            </w:rPr>
            <w:fldChar w:fldCharType="separate"/>
          </w:r>
          <w:r>
            <w:rPr>
              <w:rFonts w:hint="default" w:ascii="Times New Roman" w:hAnsi="Times New Roman" w:eastAsia="仿宋_GB2312" w:cs="Times New Roman"/>
              <w:smallCaps w:val="0"/>
              <w:kern w:val="2"/>
              <w:sz w:val="32"/>
              <w:szCs w:val="32"/>
              <w:lang w:val="en-US" w:eastAsia="zh-CN" w:bidi="ar-SA"/>
            </w:rPr>
            <w:t>14</w:t>
          </w:r>
          <w:r>
            <w:rPr>
              <w:rFonts w:hint="default" w:ascii="Times New Roman" w:hAnsi="Times New Roman" w:eastAsia="仿宋_GB2312" w:cs="Times New Roman"/>
              <w:smallCaps w:val="0"/>
              <w:kern w:val="2"/>
              <w:sz w:val="32"/>
              <w:szCs w:val="32"/>
              <w:lang w:val="en-US" w:eastAsia="zh-CN" w:bidi="ar-SA"/>
            </w:rPr>
            <w:fldChar w:fldCharType="end"/>
          </w:r>
        </w:p>
        <w:p>
          <w:pPr>
            <w:pStyle w:val="17"/>
            <w:tabs>
              <w:tab w:val="right" w:leader="dot" w:pos="8306"/>
            </w:tabs>
            <w:rPr>
              <w:rFonts w:hint="default" w:ascii="Times New Roman" w:hAnsi="Times New Roman" w:eastAsia="仿宋_GB2312" w:cs="Times New Roman"/>
              <w:smallCaps w:val="0"/>
              <w:kern w:val="2"/>
              <w:sz w:val="32"/>
              <w:szCs w:val="32"/>
              <w:lang w:val="en-US" w:eastAsia="zh-CN" w:bidi="ar-SA"/>
            </w:rPr>
          </w:pPr>
          <w:r>
            <w:rPr>
              <w:rFonts w:hint="default" w:ascii="Times New Roman" w:hAnsi="Times New Roman" w:eastAsia="仿宋_GB2312" w:cs="Times New Roman"/>
              <w:smallCaps w:val="0"/>
              <w:kern w:val="2"/>
              <w:sz w:val="32"/>
              <w:szCs w:val="32"/>
              <w:lang w:val="en-US" w:eastAsia="zh-CN" w:bidi="ar-SA"/>
            </w:rPr>
            <w:t>八、政府性基金预算支出决算情况说明</w:t>
          </w:r>
          <w:r>
            <w:rPr>
              <w:rFonts w:hint="default" w:ascii="Times New Roman" w:hAnsi="Times New Roman" w:eastAsia="仿宋_GB2312" w:cs="Times New Roman"/>
              <w:smallCaps w:val="0"/>
              <w:kern w:val="2"/>
              <w:sz w:val="32"/>
              <w:szCs w:val="32"/>
              <w:lang w:val="en-US" w:eastAsia="zh-CN" w:bidi="ar-SA"/>
            </w:rPr>
            <w:tab/>
          </w:r>
          <w:r>
            <w:rPr>
              <w:rFonts w:hint="default" w:ascii="Times New Roman" w:hAnsi="Times New Roman" w:eastAsia="仿宋_GB2312" w:cs="Times New Roman"/>
              <w:smallCaps w:val="0"/>
              <w:kern w:val="2"/>
              <w:sz w:val="32"/>
              <w:szCs w:val="32"/>
              <w:lang w:val="en-US" w:eastAsia="zh-CN" w:bidi="ar-SA"/>
            </w:rPr>
            <w:fldChar w:fldCharType="begin"/>
          </w:r>
          <w:r>
            <w:rPr>
              <w:rFonts w:hint="default" w:ascii="Times New Roman" w:hAnsi="Times New Roman" w:eastAsia="仿宋_GB2312" w:cs="Times New Roman"/>
              <w:smallCaps w:val="0"/>
              <w:kern w:val="2"/>
              <w:sz w:val="32"/>
              <w:szCs w:val="32"/>
              <w:lang w:val="en-US" w:eastAsia="zh-CN" w:bidi="ar-SA"/>
            </w:rPr>
            <w:instrText xml:space="preserve"> PAGEREF _Toc2010 \h </w:instrText>
          </w:r>
          <w:r>
            <w:rPr>
              <w:rFonts w:hint="default" w:ascii="Times New Roman" w:hAnsi="Times New Roman" w:eastAsia="仿宋_GB2312" w:cs="Times New Roman"/>
              <w:smallCaps w:val="0"/>
              <w:kern w:val="2"/>
              <w:sz w:val="32"/>
              <w:szCs w:val="32"/>
              <w:lang w:val="en-US" w:eastAsia="zh-CN" w:bidi="ar-SA"/>
            </w:rPr>
            <w:fldChar w:fldCharType="separate"/>
          </w:r>
          <w:r>
            <w:rPr>
              <w:rFonts w:hint="default" w:ascii="Times New Roman" w:hAnsi="Times New Roman" w:eastAsia="仿宋_GB2312" w:cs="Times New Roman"/>
              <w:smallCaps w:val="0"/>
              <w:kern w:val="2"/>
              <w:sz w:val="32"/>
              <w:szCs w:val="32"/>
              <w:lang w:val="en-US" w:eastAsia="zh-CN" w:bidi="ar-SA"/>
            </w:rPr>
            <w:t>16</w:t>
          </w:r>
          <w:r>
            <w:rPr>
              <w:rFonts w:hint="default" w:ascii="Times New Roman" w:hAnsi="Times New Roman" w:eastAsia="仿宋_GB2312" w:cs="Times New Roman"/>
              <w:smallCaps w:val="0"/>
              <w:kern w:val="2"/>
              <w:sz w:val="32"/>
              <w:szCs w:val="32"/>
              <w:lang w:val="en-US" w:eastAsia="zh-CN" w:bidi="ar-SA"/>
            </w:rPr>
            <w:fldChar w:fldCharType="end"/>
          </w:r>
        </w:p>
        <w:p>
          <w:pPr>
            <w:pStyle w:val="17"/>
            <w:tabs>
              <w:tab w:val="right" w:leader="dot" w:pos="8306"/>
            </w:tabs>
            <w:rPr>
              <w:rFonts w:hint="default" w:ascii="Times New Roman" w:hAnsi="Times New Roman" w:cs="Times New Roman" w:eastAsiaTheme="minorEastAsia"/>
              <w:b w:val="0"/>
              <w:bCs w:val="0"/>
              <w:i w:val="0"/>
              <w:iCs w:val="0"/>
              <w:caps w:val="0"/>
              <w:kern w:val="2"/>
              <w:sz w:val="28"/>
              <w:szCs w:val="28"/>
              <w:lang w:val="en-US" w:eastAsia="zh-CN" w:bidi="ar-SA"/>
            </w:rPr>
          </w:pPr>
          <w:r>
            <w:rPr>
              <w:rFonts w:hint="default" w:ascii="Times New Roman" w:hAnsi="Times New Roman" w:eastAsia="仿宋_GB2312" w:cs="Times New Roman"/>
              <w:smallCaps w:val="0"/>
              <w:kern w:val="2"/>
              <w:sz w:val="32"/>
              <w:szCs w:val="32"/>
              <w:lang w:val="en-US" w:eastAsia="zh-CN" w:bidi="ar-SA"/>
            </w:rPr>
            <w:t>九、 国有资本经营预算支出决算情况说明</w:t>
          </w:r>
          <w:r>
            <w:rPr>
              <w:rFonts w:hint="default" w:ascii="Times New Roman" w:hAnsi="Times New Roman" w:cs="Times New Roman" w:eastAsiaTheme="minorEastAsia"/>
              <w:b w:val="0"/>
              <w:bCs w:val="0"/>
              <w:i w:val="0"/>
              <w:iCs w:val="0"/>
              <w:caps w:val="0"/>
              <w:kern w:val="2"/>
              <w:sz w:val="28"/>
              <w:szCs w:val="28"/>
              <w:lang w:val="en-US" w:eastAsia="zh-CN" w:bidi="ar-SA"/>
            </w:rPr>
            <w:tab/>
          </w:r>
          <w:r>
            <w:rPr>
              <w:rFonts w:hint="default" w:ascii="Times New Roman" w:hAnsi="Times New Roman" w:cs="Times New Roman" w:eastAsiaTheme="minorEastAsia"/>
              <w:b w:val="0"/>
              <w:bCs w:val="0"/>
              <w:i w:val="0"/>
              <w:iCs w:val="0"/>
              <w:caps w:val="0"/>
              <w:kern w:val="2"/>
              <w:sz w:val="28"/>
              <w:szCs w:val="28"/>
              <w:lang w:val="en-US" w:eastAsia="zh-CN" w:bidi="ar-SA"/>
            </w:rPr>
            <w:fldChar w:fldCharType="begin"/>
          </w:r>
          <w:r>
            <w:rPr>
              <w:rFonts w:hint="default" w:ascii="Times New Roman" w:hAnsi="Times New Roman" w:cs="Times New Roman" w:eastAsiaTheme="minorEastAsia"/>
              <w:b w:val="0"/>
              <w:bCs w:val="0"/>
              <w:i w:val="0"/>
              <w:iCs w:val="0"/>
              <w:caps w:val="0"/>
              <w:kern w:val="2"/>
              <w:sz w:val="28"/>
              <w:szCs w:val="28"/>
              <w:lang w:val="en-US" w:eastAsia="zh-CN" w:bidi="ar-SA"/>
            </w:rPr>
            <w:instrText xml:space="preserve"> PAGEREF _Toc22195 \h </w:instrText>
          </w:r>
          <w:r>
            <w:rPr>
              <w:rFonts w:hint="default" w:ascii="Times New Roman" w:hAnsi="Times New Roman" w:cs="Times New Roman" w:eastAsiaTheme="minorEastAsia"/>
              <w:b w:val="0"/>
              <w:bCs w:val="0"/>
              <w:i w:val="0"/>
              <w:iCs w:val="0"/>
              <w:caps w:val="0"/>
              <w:kern w:val="2"/>
              <w:sz w:val="28"/>
              <w:szCs w:val="28"/>
              <w:lang w:val="en-US" w:eastAsia="zh-CN" w:bidi="ar-SA"/>
            </w:rPr>
            <w:fldChar w:fldCharType="separate"/>
          </w:r>
          <w:r>
            <w:rPr>
              <w:rFonts w:hint="default" w:ascii="Times New Roman" w:hAnsi="Times New Roman" w:cs="Times New Roman" w:eastAsiaTheme="minorEastAsia"/>
              <w:b w:val="0"/>
              <w:bCs w:val="0"/>
              <w:i w:val="0"/>
              <w:iCs w:val="0"/>
              <w:caps w:val="0"/>
              <w:kern w:val="2"/>
              <w:sz w:val="28"/>
              <w:szCs w:val="28"/>
              <w:lang w:val="en-US" w:eastAsia="zh-CN" w:bidi="ar-SA"/>
            </w:rPr>
            <w:t>16</w:t>
          </w:r>
          <w:r>
            <w:rPr>
              <w:rFonts w:hint="default" w:ascii="Times New Roman" w:hAnsi="Times New Roman" w:cs="Times New Roman" w:eastAsiaTheme="minorEastAsia"/>
              <w:b w:val="0"/>
              <w:bCs w:val="0"/>
              <w:i w:val="0"/>
              <w:iCs w:val="0"/>
              <w:caps w:val="0"/>
              <w:kern w:val="2"/>
              <w:sz w:val="28"/>
              <w:szCs w:val="28"/>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mallCaps w:val="0"/>
              <w:kern w:val="2"/>
              <w:sz w:val="32"/>
              <w:szCs w:val="32"/>
              <w:lang w:val="en-US" w:eastAsia="zh-CN" w:bidi="ar-SA"/>
            </w:rPr>
          </w:pPr>
          <w:r>
            <w:rPr>
              <w:rFonts w:hint="default" w:ascii="Times New Roman" w:hAnsi="Times New Roman" w:eastAsia="仿宋_GB2312" w:cs="Times New Roman"/>
              <w:smallCaps w:val="0"/>
              <w:kern w:val="2"/>
              <w:sz w:val="32"/>
              <w:szCs w:val="32"/>
              <w:lang w:val="en-US" w:eastAsia="zh-CN" w:bidi="ar-SA"/>
            </w:rPr>
            <w:t>十、 其他重要事项的情况说明</w:t>
          </w:r>
          <w:r>
            <w:rPr>
              <w:rFonts w:hint="default" w:ascii="Times New Roman" w:hAnsi="Times New Roman" w:eastAsia="仿宋_GB2312" w:cs="Times New Roman"/>
              <w:smallCaps w:val="0"/>
              <w:kern w:val="2"/>
              <w:sz w:val="32"/>
              <w:szCs w:val="32"/>
              <w:lang w:val="en-US" w:eastAsia="zh-CN" w:bidi="ar-SA"/>
            </w:rPr>
            <w:tab/>
          </w:r>
          <w:r>
            <w:rPr>
              <w:rFonts w:hint="default" w:ascii="Times New Roman" w:hAnsi="Times New Roman" w:eastAsia="仿宋_GB2312" w:cs="Times New Roman"/>
              <w:smallCaps w:val="0"/>
              <w:kern w:val="2"/>
              <w:sz w:val="32"/>
              <w:szCs w:val="32"/>
              <w:lang w:val="en-US" w:eastAsia="zh-CN" w:bidi="ar-SA"/>
            </w:rPr>
            <w:fldChar w:fldCharType="begin"/>
          </w:r>
          <w:r>
            <w:rPr>
              <w:rFonts w:hint="default" w:ascii="Times New Roman" w:hAnsi="Times New Roman" w:eastAsia="仿宋_GB2312" w:cs="Times New Roman"/>
              <w:smallCaps w:val="0"/>
              <w:kern w:val="2"/>
              <w:sz w:val="32"/>
              <w:szCs w:val="32"/>
              <w:lang w:val="en-US" w:eastAsia="zh-CN" w:bidi="ar-SA"/>
            </w:rPr>
            <w:instrText xml:space="preserve"> PAGEREF _Toc11069 \h </w:instrText>
          </w:r>
          <w:r>
            <w:rPr>
              <w:rFonts w:hint="default" w:ascii="Times New Roman" w:hAnsi="Times New Roman" w:eastAsia="仿宋_GB2312" w:cs="Times New Roman"/>
              <w:smallCaps w:val="0"/>
              <w:kern w:val="2"/>
              <w:sz w:val="32"/>
              <w:szCs w:val="32"/>
              <w:lang w:val="en-US" w:eastAsia="zh-CN" w:bidi="ar-SA"/>
            </w:rPr>
            <w:fldChar w:fldCharType="separate"/>
          </w:r>
          <w:r>
            <w:rPr>
              <w:rFonts w:hint="default" w:ascii="Times New Roman" w:hAnsi="Times New Roman" w:eastAsia="仿宋_GB2312" w:cs="Times New Roman"/>
              <w:smallCaps w:val="0"/>
              <w:kern w:val="2"/>
              <w:sz w:val="32"/>
              <w:szCs w:val="32"/>
              <w:lang w:val="en-US" w:eastAsia="zh-CN" w:bidi="ar-SA"/>
            </w:rPr>
            <w:t>16</w:t>
          </w:r>
          <w:r>
            <w:rPr>
              <w:rFonts w:hint="default" w:ascii="Times New Roman" w:hAnsi="Times New Roman" w:eastAsia="仿宋_GB2312" w:cs="Times New Roman"/>
              <w:smallCaps w:val="0"/>
              <w:kern w:val="2"/>
              <w:sz w:val="32"/>
              <w:szCs w:val="32"/>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mallCaps w:val="0"/>
              <w:kern w:val="2"/>
              <w:sz w:val="32"/>
              <w:szCs w:val="32"/>
              <w:lang w:val="en-US" w:eastAsia="zh-CN" w:bidi="ar-SA"/>
            </w:rPr>
          </w:pPr>
          <w:r>
            <w:rPr>
              <w:rFonts w:hint="default" w:ascii="Times New Roman" w:hAnsi="Times New Roman" w:eastAsia="仿宋_GB2312" w:cs="Times New Roman"/>
              <w:smallCaps w:val="0"/>
              <w:kern w:val="2"/>
              <w:sz w:val="32"/>
              <w:szCs w:val="32"/>
              <w:lang w:val="en-US" w:eastAsia="zh-CN" w:bidi="ar-SA"/>
            </w:rPr>
            <w:t>（一）机关运行经费支出情况</w:t>
          </w:r>
          <w:r>
            <w:rPr>
              <w:rFonts w:hint="default" w:ascii="Times New Roman" w:hAnsi="Times New Roman" w:eastAsia="仿宋_GB2312" w:cs="Times New Roman"/>
              <w:smallCaps w:val="0"/>
              <w:kern w:val="2"/>
              <w:sz w:val="32"/>
              <w:szCs w:val="32"/>
              <w:lang w:val="en-US" w:eastAsia="zh-CN" w:bidi="ar-SA"/>
            </w:rPr>
            <w:tab/>
          </w:r>
          <w:r>
            <w:rPr>
              <w:rFonts w:hint="default" w:ascii="Times New Roman" w:hAnsi="Times New Roman" w:eastAsia="仿宋_GB2312" w:cs="Times New Roman"/>
              <w:smallCaps w:val="0"/>
              <w:kern w:val="2"/>
              <w:sz w:val="32"/>
              <w:szCs w:val="32"/>
              <w:lang w:val="en-US" w:eastAsia="zh-CN" w:bidi="ar-SA"/>
            </w:rPr>
            <w:fldChar w:fldCharType="begin"/>
          </w:r>
          <w:r>
            <w:rPr>
              <w:rFonts w:hint="default" w:ascii="Times New Roman" w:hAnsi="Times New Roman" w:eastAsia="仿宋_GB2312" w:cs="Times New Roman"/>
              <w:smallCaps w:val="0"/>
              <w:kern w:val="2"/>
              <w:sz w:val="32"/>
              <w:szCs w:val="32"/>
              <w:lang w:val="en-US" w:eastAsia="zh-CN" w:bidi="ar-SA"/>
            </w:rPr>
            <w:instrText xml:space="preserve"> PAGEREF _Toc10314 \h </w:instrText>
          </w:r>
          <w:r>
            <w:rPr>
              <w:rFonts w:hint="default" w:ascii="Times New Roman" w:hAnsi="Times New Roman" w:eastAsia="仿宋_GB2312" w:cs="Times New Roman"/>
              <w:smallCaps w:val="0"/>
              <w:kern w:val="2"/>
              <w:sz w:val="32"/>
              <w:szCs w:val="32"/>
              <w:lang w:val="en-US" w:eastAsia="zh-CN" w:bidi="ar-SA"/>
            </w:rPr>
            <w:fldChar w:fldCharType="separate"/>
          </w:r>
          <w:r>
            <w:rPr>
              <w:rFonts w:hint="default" w:ascii="Times New Roman" w:hAnsi="Times New Roman" w:eastAsia="仿宋_GB2312" w:cs="Times New Roman"/>
              <w:smallCaps w:val="0"/>
              <w:kern w:val="2"/>
              <w:sz w:val="32"/>
              <w:szCs w:val="32"/>
              <w:lang w:val="en-US" w:eastAsia="zh-CN" w:bidi="ar-SA"/>
            </w:rPr>
            <w:t>16</w:t>
          </w:r>
          <w:r>
            <w:rPr>
              <w:rFonts w:hint="default" w:ascii="Times New Roman" w:hAnsi="Times New Roman" w:eastAsia="仿宋_GB2312" w:cs="Times New Roman"/>
              <w:smallCaps w:val="0"/>
              <w:kern w:val="2"/>
              <w:sz w:val="32"/>
              <w:szCs w:val="32"/>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mallCaps w:val="0"/>
              <w:kern w:val="2"/>
              <w:sz w:val="32"/>
              <w:szCs w:val="32"/>
              <w:lang w:val="en-US" w:eastAsia="zh-CN" w:bidi="ar-SA"/>
            </w:rPr>
          </w:pPr>
          <w:r>
            <w:rPr>
              <w:rFonts w:hint="default" w:ascii="Times New Roman" w:hAnsi="Times New Roman" w:eastAsia="仿宋_GB2312" w:cs="Times New Roman"/>
              <w:smallCaps w:val="0"/>
              <w:kern w:val="2"/>
              <w:sz w:val="32"/>
              <w:szCs w:val="32"/>
              <w:lang w:val="en-US" w:eastAsia="zh-CN" w:bidi="ar-SA"/>
            </w:rPr>
            <w:t>（二）政府采购支出情况</w:t>
          </w:r>
          <w:r>
            <w:rPr>
              <w:rFonts w:hint="default" w:ascii="Times New Roman" w:hAnsi="Times New Roman" w:eastAsia="仿宋_GB2312" w:cs="Times New Roman"/>
              <w:smallCaps w:val="0"/>
              <w:kern w:val="2"/>
              <w:sz w:val="32"/>
              <w:szCs w:val="32"/>
              <w:lang w:val="en-US" w:eastAsia="zh-CN" w:bidi="ar-SA"/>
            </w:rPr>
            <w:tab/>
          </w:r>
          <w:r>
            <w:rPr>
              <w:rFonts w:hint="default" w:ascii="Times New Roman" w:hAnsi="Times New Roman" w:eastAsia="仿宋_GB2312" w:cs="Times New Roman"/>
              <w:smallCaps w:val="0"/>
              <w:kern w:val="2"/>
              <w:sz w:val="32"/>
              <w:szCs w:val="32"/>
              <w:lang w:val="en-US" w:eastAsia="zh-CN" w:bidi="ar-SA"/>
            </w:rPr>
            <w:fldChar w:fldCharType="begin"/>
          </w:r>
          <w:r>
            <w:rPr>
              <w:rFonts w:hint="default" w:ascii="Times New Roman" w:hAnsi="Times New Roman" w:eastAsia="仿宋_GB2312" w:cs="Times New Roman"/>
              <w:smallCaps w:val="0"/>
              <w:kern w:val="2"/>
              <w:sz w:val="32"/>
              <w:szCs w:val="32"/>
              <w:lang w:val="en-US" w:eastAsia="zh-CN" w:bidi="ar-SA"/>
            </w:rPr>
            <w:instrText xml:space="preserve"> PAGEREF _Toc18256 \h </w:instrText>
          </w:r>
          <w:r>
            <w:rPr>
              <w:rFonts w:hint="default" w:ascii="Times New Roman" w:hAnsi="Times New Roman" w:eastAsia="仿宋_GB2312" w:cs="Times New Roman"/>
              <w:smallCaps w:val="0"/>
              <w:kern w:val="2"/>
              <w:sz w:val="32"/>
              <w:szCs w:val="32"/>
              <w:lang w:val="en-US" w:eastAsia="zh-CN" w:bidi="ar-SA"/>
            </w:rPr>
            <w:fldChar w:fldCharType="separate"/>
          </w:r>
          <w:r>
            <w:rPr>
              <w:rFonts w:hint="default" w:ascii="Times New Roman" w:hAnsi="Times New Roman" w:eastAsia="仿宋_GB2312" w:cs="Times New Roman"/>
              <w:smallCaps w:val="0"/>
              <w:kern w:val="2"/>
              <w:sz w:val="32"/>
              <w:szCs w:val="32"/>
              <w:lang w:val="en-US" w:eastAsia="zh-CN" w:bidi="ar-SA"/>
            </w:rPr>
            <w:t>17</w:t>
          </w:r>
          <w:r>
            <w:rPr>
              <w:rFonts w:hint="default" w:ascii="Times New Roman" w:hAnsi="Times New Roman" w:eastAsia="仿宋_GB2312" w:cs="Times New Roman"/>
              <w:smallCaps w:val="0"/>
              <w:kern w:val="2"/>
              <w:sz w:val="32"/>
              <w:szCs w:val="32"/>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mallCaps w:val="0"/>
              <w:kern w:val="2"/>
              <w:sz w:val="32"/>
              <w:szCs w:val="32"/>
              <w:lang w:val="en-US" w:eastAsia="zh-CN" w:bidi="ar-SA"/>
            </w:rPr>
          </w:pPr>
          <w:r>
            <w:rPr>
              <w:rFonts w:hint="default" w:ascii="Times New Roman" w:hAnsi="Times New Roman" w:eastAsia="仿宋_GB2312" w:cs="Times New Roman"/>
              <w:smallCaps w:val="0"/>
              <w:kern w:val="2"/>
              <w:sz w:val="32"/>
              <w:szCs w:val="32"/>
              <w:lang w:val="en-US" w:eastAsia="zh-CN" w:bidi="ar-SA"/>
            </w:rPr>
            <w:t>（三）国有资产占有使用情况</w:t>
          </w:r>
          <w:r>
            <w:rPr>
              <w:rFonts w:hint="default" w:ascii="Times New Roman" w:hAnsi="Times New Roman" w:eastAsia="仿宋_GB2312" w:cs="Times New Roman"/>
              <w:smallCaps w:val="0"/>
              <w:kern w:val="2"/>
              <w:sz w:val="32"/>
              <w:szCs w:val="32"/>
              <w:lang w:val="en-US" w:eastAsia="zh-CN" w:bidi="ar-SA"/>
            </w:rPr>
            <w:tab/>
          </w:r>
          <w:r>
            <w:rPr>
              <w:rFonts w:hint="default" w:ascii="Times New Roman" w:hAnsi="Times New Roman" w:eastAsia="仿宋_GB2312" w:cs="Times New Roman"/>
              <w:smallCaps w:val="0"/>
              <w:kern w:val="2"/>
              <w:sz w:val="32"/>
              <w:szCs w:val="32"/>
              <w:lang w:val="en-US" w:eastAsia="zh-CN" w:bidi="ar-SA"/>
            </w:rPr>
            <w:fldChar w:fldCharType="begin"/>
          </w:r>
          <w:r>
            <w:rPr>
              <w:rFonts w:hint="default" w:ascii="Times New Roman" w:hAnsi="Times New Roman" w:eastAsia="仿宋_GB2312" w:cs="Times New Roman"/>
              <w:smallCaps w:val="0"/>
              <w:kern w:val="2"/>
              <w:sz w:val="32"/>
              <w:szCs w:val="32"/>
              <w:lang w:val="en-US" w:eastAsia="zh-CN" w:bidi="ar-SA"/>
            </w:rPr>
            <w:instrText xml:space="preserve"> PAGEREF _Toc21802 \h </w:instrText>
          </w:r>
          <w:r>
            <w:rPr>
              <w:rFonts w:hint="default" w:ascii="Times New Roman" w:hAnsi="Times New Roman" w:eastAsia="仿宋_GB2312" w:cs="Times New Roman"/>
              <w:smallCaps w:val="0"/>
              <w:kern w:val="2"/>
              <w:sz w:val="32"/>
              <w:szCs w:val="32"/>
              <w:lang w:val="en-US" w:eastAsia="zh-CN" w:bidi="ar-SA"/>
            </w:rPr>
            <w:fldChar w:fldCharType="separate"/>
          </w:r>
          <w:r>
            <w:rPr>
              <w:rFonts w:hint="default" w:ascii="Times New Roman" w:hAnsi="Times New Roman" w:eastAsia="仿宋_GB2312" w:cs="Times New Roman"/>
              <w:smallCaps w:val="0"/>
              <w:kern w:val="2"/>
              <w:sz w:val="32"/>
              <w:szCs w:val="32"/>
              <w:lang w:val="en-US" w:eastAsia="zh-CN" w:bidi="ar-SA"/>
            </w:rPr>
            <w:t>17</w:t>
          </w:r>
          <w:r>
            <w:rPr>
              <w:rFonts w:hint="default" w:ascii="Times New Roman" w:hAnsi="Times New Roman" w:eastAsia="仿宋_GB2312" w:cs="Times New Roman"/>
              <w:smallCaps w:val="0"/>
              <w:kern w:val="2"/>
              <w:sz w:val="32"/>
              <w:szCs w:val="32"/>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mallCaps w:val="0"/>
              <w:kern w:val="2"/>
              <w:sz w:val="32"/>
              <w:szCs w:val="32"/>
              <w:lang w:val="en-US" w:eastAsia="zh-CN" w:bidi="ar-SA"/>
            </w:rPr>
          </w:pPr>
          <w:r>
            <w:rPr>
              <w:rFonts w:hint="default" w:ascii="Times New Roman" w:hAnsi="Times New Roman" w:eastAsia="仿宋_GB2312" w:cs="Times New Roman"/>
              <w:smallCaps w:val="0"/>
              <w:kern w:val="2"/>
              <w:sz w:val="32"/>
              <w:szCs w:val="32"/>
              <w:lang w:val="en-US" w:eastAsia="zh-CN" w:bidi="ar-SA"/>
            </w:rPr>
            <w:t>（四）预算绩效管理情况</w:t>
          </w:r>
          <w:r>
            <w:rPr>
              <w:rFonts w:hint="default" w:ascii="Times New Roman" w:hAnsi="Times New Roman" w:eastAsia="仿宋_GB2312" w:cs="Times New Roman"/>
              <w:smallCaps w:val="0"/>
              <w:kern w:val="2"/>
              <w:sz w:val="32"/>
              <w:szCs w:val="32"/>
              <w:lang w:val="en-US" w:eastAsia="zh-CN" w:bidi="ar-SA"/>
            </w:rPr>
            <w:tab/>
          </w:r>
          <w:r>
            <w:rPr>
              <w:rFonts w:hint="default" w:ascii="Times New Roman" w:hAnsi="Times New Roman" w:eastAsia="仿宋_GB2312" w:cs="Times New Roman"/>
              <w:smallCaps w:val="0"/>
              <w:kern w:val="2"/>
              <w:sz w:val="32"/>
              <w:szCs w:val="32"/>
              <w:lang w:val="en-US" w:eastAsia="zh-CN" w:bidi="ar-SA"/>
            </w:rPr>
            <w:fldChar w:fldCharType="begin"/>
          </w:r>
          <w:r>
            <w:rPr>
              <w:rFonts w:hint="default" w:ascii="Times New Roman" w:hAnsi="Times New Roman" w:eastAsia="仿宋_GB2312" w:cs="Times New Roman"/>
              <w:smallCaps w:val="0"/>
              <w:kern w:val="2"/>
              <w:sz w:val="32"/>
              <w:szCs w:val="32"/>
              <w:lang w:val="en-US" w:eastAsia="zh-CN" w:bidi="ar-SA"/>
            </w:rPr>
            <w:instrText xml:space="preserve"> PAGEREF _Toc8846 \h </w:instrText>
          </w:r>
          <w:r>
            <w:rPr>
              <w:rFonts w:hint="default" w:ascii="Times New Roman" w:hAnsi="Times New Roman" w:eastAsia="仿宋_GB2312" w:cs="Times New Roman"/>
              <w:smallCaps w:val="0"/>
              <w:kern w:val="2"/>
              <w:sz w:val="32"/>
              <w:szCs w:val="32"/>
              <w:lang w:val="en-US" w:eastAsia="zh-CN" w:bidi="ar-SA"/>
            </w:rPr>
            <w:fldChar w:fldCharType="separate"/>
          </w:r>
          <w:r>
            <w:rPr>
              <w:rFonts w:hint="default" w:ascii="Times New Roman" w:hAnsi="Times New Roman" w:eastAsia="仿宋_GB2312" w:cs="Times New Roman"/>
              <w:smallCaps w:val="0"/>
              <w:kern w:val="2"/>
              <w:sz w:val="32"/>
              <w:szCs w:val="32"/>
              <w:lang w:val="en-US" w:eastAsia="zh-CN" w:bidi="ar-SA"/>
            </w:rPr>
            <w:t>17</w:t>
          </w:r>
          <w:r>
            <w:rPr>
              <w:rFonts w:hint="default" w:ascii="Times New Roman" w:hAnsi="Times New Roman" w:eastAsia="仿宋_GB2312" w:cs="Times New Roman"/>
              <w:smallCaps w:val="0"/>
              <w:kern w:val="2"/>
              <w:sz w:val="32"/>
              <w:szCs w:val="32"/>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mallCaps w:val="0"/>
              <w:kern w:val="2"/>
              <w:sz w:val="32"/>
              <w:szCs w:val="32"/>
              <w:lang w:val="en-US" w:eastAsia="zh-CN" w:bidi="ar-SA"/>
            </w:rPr>
          </w:pPr>
          <w:r>
            <w:rPr>
              <w:rFonts w:hint="default" w:ascii="Times New Roman" w:hAnsi="Times New Roman" w:eastAsia="仿宋_GB2312" w:cs="Times New Roman"/>
              <w:smallCaps w:val="0"/>
              <w:kern w:val="2"/>
              <w:sz w:val="32"/>
              <w:szCs w:val="32"/>
              <w:lang w:val="en-US" w:eastAsia="zh-CN" w:bidi="ar-SA"/>
            </w:rPr>
            <w:t>第三部分 名词解释</w:t>
          </w:r>
          <w:r>
            <w:rPr>
              <w:rFonts w:hint="default" w:ascii="Times New Roman" w:hAnsi="Times New Roman" w:eastAsia="仿宋_GB2312" w:cs="Times New Roman"/>
              <w:smallCaps w:val="0"/>
              <w:kern w:val="2"/>
              <w:sz w:val="32"/>
              <w:szCs w:val="32"/>
              <w:lang w:val="en-US" w:eastAsia="zh-CN" w:bidi="ar-SA"/>
            </w:rPr>
            <w:tab/>
          </w:r>
          <w:r>
            <w:rPr>
              <w:rFonts w:hint="default" w:ascii="Times New Roman" w:hAnsi="Times New Roman" w:eastAsia="仿宋_GB2312" w:cs="Times New Roman"/>
              <w:smallCaps w:val="0"/>
              <w:kern w:val="2"/>
              <w:sz w:val="32"/>
              <w:szCs w:val="32"/>
              <w:lang w:val="en-US" w:eastAsia="zh-CN" w:bidi="ar-SA"/>
            </w:rPr>
            <w:fldChar w:fldCharType="begin"/>
          </w:r>
          <w:r>
            <w:rPr>
              <w:rFonts w:hint="default" w:ascii="Times New Roman" w:hAnsi="Times New Roman" w:eastAsia="仿宋_GB2312" w:cs="Times New Roman"/>
              <w:smallCaps w:val="0"/>
              <w:kern w:val="2"/>
              <w:sz w:val="32"/>
              <w:szCs w:val="32"/>
              <w:lang w:val="en-US" w:eastAsia="zh-CN" w:bidi="ar-SA"/>
            </w:rPr>
            <w:instrText xml:space="preserve"> PAGEREF _Toc28284 \h </w:instrText>
          </w:r>
          <w:r>
            <w:rPr>
              <w:rFonts w:hint="default" w:ascii="Times New Roman" w:hAnsi="Times New Roman" w:eastAsia="仿宋_GB2312" w:cs="Times New Roman"/>
              <w:smallCaps w:val="0"/>
              <w:kern w:val="2"/>
              <w:sz w:val="32"/>
              <w:szCs w:val="32"/>
              <w:lang w:val="en-US" w:eastAsia="zh-CN" w:bidi="ar-SA"/>
            </w:rPr>
            <w:fldChar w:fldCharType="separate"/>
          </w:r>
          <w:r>
            <w:rPr>
              <w:rFonts w:hint="default" w:ascii="Times New Roman" w:hAnsi="Times New Roman" w:eastAsia="仿宋_GB2312" w:cs="Times New Roman"/>
              <w:smallCaps w:val="0"/>
              <w:kern w:val="2"/>
              <w:sz w:val="32"/>
              <w:szCs w:val="32"/>
              <w:lang w:val="en-US" w:eastAsia="zh-CN" w:bidi="ar-SA"/>
            </w:rPr>
            <w:t>18</w:t>
          </w:r>
          <w:r>
            <w:rPr>
              <w:rFonts w:hint="default" w:ascii="Times New Roman" w:hAnsi="Times New Roman" w:eastAsia="仿宋_GB2312" w:cs="Times New Roman"/>
              <w:smallCaps w:val="0"/>
              <w:kern w:val="2"/>
              <w:sz w:val="32"/>
              <w:szCs w:val="32"/>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mallCaps w:val="0"/>
              <w:kern w:val="2"/>
              <w:sz w:val="32"/>
              <w:szCs w:val="32"/>
              <w:lang w:val="en-US" w:eastAsia="zh-CN" w:bidi="ar-SA"/>
            </w:rPr>
          </w:pPr>
          <w:r>
            <w:rPr>
              <w:rFonts w:hint="default" w:ascii="Times New Roman" w:hAnsi="Times New Roman" w:eastAsia="仿宋_GB2312" w:cs="Times New Roman"/>
              <w:smallCaps w:val="0"/>
              <w:kern w:val="2"/>
              <w:sz w:val="32"/>
              <w:szCs w:val="32"/>
              <w:lang w:val="en-US" w:eastAsia="zh-CN" w:bidi="ar-SA"/>
            </w:rPr>
            <w:t>第四部分 附件</w:t>
          </w:r>
          <w:r>
            <w:rPr>
              <w:rFonts w:hint="default" w:ascii="Times New Roman" w:hAnsi="Times New Roman" w:eastAsia="仿宋_GB2312" w:cs="Times New Roman"/>
              <w:smallCaps w:val="0"/>
              <w:kern w:val="2"/>
              <w:sz w:val="32"/>
              <w:szCs w:val="32"/>
              <w:lang w:val="en-US" w:eastAsia="zh-CN" w:bidi="ar-SA"/>
            </w:rPr>
            <w:tab/>
          </w:r>
          <w:r>
            <w:rPr>
              <w:rFonts w:hint="default" w:ascii="Times New Roman" w:hAnsi="Times New Roman" w:eastAsia="仿宋_GB2312" w:cs="Times New Roman"/>
              <w:smallCaps w:val="0"/>
              <w:kern w:val="2"/>
              <w:sz w:val="32"/>
              <w:szCs w:val="32"/>
              <w:lang w:val="en-US" w:eastAsia="zh-CN" w:bidi="ar-SA"/>
            </w:rPr>
            <w:t>21</w:t>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mallCaps w:val="0"/>
              <w:kern w:val="2"/>
              <w:sz w:val="32"/>
              <w:szCs w:val="32"/>
              <w:lang w:val="en-US" w:eastAsia="zh-CN" w:bidi="ar-SA"/>
            </w:rPr>
          </w:pPr>
          <w:r>
            <w:rPr>
              <w:rFonts w:hint="default" w:ascii="Times New Roman" w:hAnsi="Times New Roman" w:eastAsia="仿宋_GB2312" w:cs="Times New Roman"/>
              <w:smallCaps w:val="0"/>
              <w:kern w:val="2"/>
              <w:sz w:val="32"/>
              <w:szCs w:val="32"/>
              <w:lang w:val="en-US" w:eastAsia="zh-CN" w:bidi="ar-SA"/>
            </w:rPr>
            <w:t>第五部分 附表</w:t>
          </w:r>
          <w:r>
            <w:rPr>
              <w:rFonts w:hint="default" w:ascii="Times New Roman" w:hAnsi="Times New Roman" w:eastAsia="仿宋_GB2312" w:cs="Times New Roman"/>
              <w:smallCaps w:val="0"/>
              <w:kern w:val="2"/>
              <w:sz w:val="32"/>
              <w:szCs w:val="32"/>
              <w:lang w:val="en-US" w:eastAsia="zh-CN" w:bidi="ar-SA"/>
            </w:rPr>
            <w:tab/>
          </w:r>
          <w:r>
            <w:rPr>
              <w:rFonts w:hint="default" w:ascii="Times New Roman" w:hAnsi="Times New Roman" w:eastAsia="仿宋_GB2312" w:cs="Times New Roman"/>
              <w:smallCaps w:val="0"/>
              <w:kern w:val="2"/>
              <w:sz w:val="32"/>
              <w:szCs w:val="32"/>
              <w:lang w:val="en-US" w:eastAsia="zh-CN" w:bidi="ar-SA"/>
            </w:rPr>
            <w:fldChar w:fldCharType="begin"/>
          </w:r>
          <w:r>
            <w:rPr>
              <w:rFonts w:hint="default" w:ascii="Times New Roman" w:hAnsi="Times New Roman" w:eastAsia="仿宋_GB2312" w:cs="Times New Roman"/>
              <w:smallCaps w:val="0"/>
              <w:kern w:val="2"/>
              <w:sz w:val="32"/>
              <w:szCs w:val="32"/>
              <w:lang w:val="en-US" w:eastAsia="zh-CN" w:bidi="ar-SA"/>
            </w:rPr>
            <w:instrText xml:space="preserve"> PAGEREF _Toc4978 \h </w:instrText>
          </w:r>
          <w:r>
            <w:rPr>
              <w:rFonts w:hint="default" w:ascii="Times New Roman" w:hAnsi="Times New Roman" w:eastAsia="仿宋_GB2312" w:cs="Times New Roman"/>
              <w:smallCaps w:val="0"/>
              <w:kern w:val="2"/>
              <w:sz w:val="32"/>
              <w:szCs w:val="32"/>
              <w:lang w:val="en-US" w:eastAsia="zh-CN" w:bidi="ar-SA"/>
            </w:rPr>
            <w:fldChar w:fldCharType="separate"/>
          </w:r>
          <w:r>
            <w:rPr>
              <w:rFonts w:hint="default" w:ascii="Times New Roman" w:hAnsi="Times New Roman" w:eastAsia="仿宋_GB2312" w:cs="Times New Roman"/>
              <w:smallCaps w:val="0"/>
              <w:kern w:val="2"/>
              <w:sz w:val="32"/>
              <w:szCs w:val="32"/>
              <w:lang w:val="en-US" w:eastAsia="zh-CN" w:bidi="ar-SA"/>
            </w:rPr>
            <w:t>22</w:t>
          </w:r>
          <w:r>
            <w:rPr>
              <w:rFonts w:hint="default" w:ascii="Times New Roman" w:hAnsi="Times New Roman" w:eastAsia="仿宋_GB2312" w:cs="Times New Roman"/>
              <w:smallCaps w:val="0"/>
              <w:kern w:val="2"/>
              <w:sz w:val="32"/>
              <w:szCs w:val="32"/>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28"/>
              <w:szCs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"_Toc23520"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一、收入支出决算总表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rPr>
            <w:fldChar w:fldCharType="end"/>
          </w:r>
          <w:r>
            <w:rPr>
              <w:rFonts w:hint="eastAsia" w:ascii="Times New Roman" w:hAnsi="Times New Roman" w:eastAsia="仿宋_GB2312" w:cs="Times New Roman"/>
              <w:smallCaps w:val="0"/>
              <w:kern w:val="2"/>
              <w:sz w:val="32"/>
              <w:szCs w:val="32"/>
              <w:lang w:val="en-US" w:eastAsia="zh-CN" w:bidi="ar-SA"/>
            </w:rPr>
            <w:t>22</w:t>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28"/>
              <w:szCs w:val="28"/>
              <w:lang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"_Toc1368"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二、收入决算表</w:t>
          </w:r>
          <w:r>
            <w:rPr>
              <w:rFonts w:hint="default" w:ascii="Times New Roman" w:hAnsi="Times New Roman" w:eastAsia="仿宋_GB2312" w:cs="Times New Roman"/>
              <w:sz w:val="28"/>
              <w:szCs w:val="28"/>
            </w:rPr>
            <w:tab/>
          </w:r>
          <w:r>
            <w:rPr>
              <w:rFonts w:hint="eastAsia" w:ascii="Times New Roman" w:hAnsi="Times New Roman" w:eastAsia="仿宋_GB2312" w:cs="Times New Roman"/>
              <w:smallCaps w:val="0"/>
              <w:kern w:val="2"/>
              <w:sz w:val="32"/>
              <w:szCs w:val="32"/>
              <w:lang w:val="en-US" w:eastAsia="zh-CN" w:bidi="ar-SA"/>
            </w:rPr>
            <w:t>22</w:t>
          </w:r>
          <w:r>
            <w:rPr>
              <w:rFonts w:hint="default" w:ascii="Times New Roman" w:hAnsi="Times New Roman" w:eastAsia="仿宋_GB2312" w:cs="Times New Roman"/>
              <w:sz w:val="28"/>
              <w:szCs w:val="28"/>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mallCaps w:val="0"/>
              <w:kern w:val="2"/>
              <w:sz w:val="32"/>
              <w:szCs w:val="32"/>
              <w:lang w:val="en-US" w:eastAsia="zh-CN" w:bidi="ar-SA"/>
            </w:rPr>
          </w:pPr>
          <w:r>
            <w:rPr>
              <w:rFonts w:hint="default" w:ascii="Times New Roman" w:hAnsi="Times New Roman" w:eastAsia="仿宋_GB2312" w:cs="Times New Roman"/>
              <w:smallCaps w:val="0"/>
              <w:kern w:val="2"/>
              <w:sz w:val="32"/>
              <w:szCs w:val="32"/>
              <w:lang w:val="en-US" w:eastAsia="zh-CN" w:bidi="ar-SA"/>
            </w:rPr>
            <w:fldChar w:fldCharType="begin"/>
          </w:r>
          <w:r>
            <w:rPr>
              <w:rFonts w:hint="default" w:ascii="Times New Roman" w:hAnsi="Times New Roman" w:eastAsia="仿宋_GB2312" w:cs="Times New Roman"/>
              <w:smallCaps w:val="0"/>
              <w:kern w:val="2"/>
              <w:sz w:val="32"/>
              <w:szCs w:val="32"/>
              <w:lang w:val="en-US" w:eastAsia="zh-CN" w:bidi="ar-SA"/>
            </w:rPr>
            <w:instrText xml:space="preserve"> HYPERLINK \l "_Toc10460" </w:instrText>
          </w:r>
          <w:r>
            <w:rPr>
              <w:rFonts w:hint="default" w:ascii="Times New Roman" w:hAnsi="Times New Roman" w:eastAsia="仿宋_GB2312" w:cs="Times New Roman"/>
              <w:smallCaps w:val="0"/>
              <w:kern w:val="2"/>
              <w:sz w:val="32"/>
              <w:szCs w:val="32"/>
              <w:lang w:val="en-US" w:eastAsia="zh-CN" w:bidi="ar-SA"/>
            </w:rPr>
            <w:fldChar w:fldCharType="separate"/>
          </w:r>
          <w:r>
            <w:rPr>
              <w:rFonts w:hint="default" w:ascii="Times New Roman" w:hAnsi="Times New Roman" w:eastAsia="仿宋_GB2312" w:cs="Times New Roman"/>
              <w:smallCaps w:val="0"/>
              <w:kern w:val="2"/>
              <w:sz w:val="32"/>
              <w:szCs w:val="32"/>
              <w:lang w:val="en-US" w:eastAsia="zh-CN" w:bidi="ar-SA"/>
            </w:rPr>
            <w:t>三、支出决算表</w:t>
          </w:r>
          <w:r>
            <w:rPr>
              <w:rFonts w:hint="default" w:ascii="Times New Roman" w:hAnsi="Times New Roman" w:eastAsia="仿宋_GB2312" w:cs="Times New Roman"/>
              <w:smallCaps w:val="0"/>
              <w:kern w:val="2"/>
              <w:sz w:val="32"/>
              <w:szCs w:val="32"/>
              <w:lang w:val="en-US" w:eastAsia="zh-CN" w:bidi="ar-SA"/>
            </w:rPr>
            <w:tab/>
          </w:r>
          <w:r>
            <w:rPr>
              <w:rFonts w:hint="eastAsia" w:ascii="Times New Roman" w:hAnsi="Times New Roman" w:eastAsia="仿宋_GB2312" w:cs="Times New Roman"/>
              <w:smallCaps w:val="0"/>
              <w:kern w:val="2"/>
              <w:sz w:val="32"/>
              <w:szCs w:val="32"/>
              <w:lang w:val="en-US" w:eastAsia="zh-CN" w:bidi="ar-SA"/>
            </w:rPr>
            <w:t>2</w:t>
          </w:r>
          <w:r>
            <w:rPr>
              <w:rFonts w:hint="default" w:ascii="Times New Roman" w:hAnsi="Times New Roman" w:eastAsia="仿宋_GB2312" w:cs="Times New Roman"/>
              <w:smallCaps w:val="0"/>
              <w:kern w:val="2"/>
              <w:sz w:val="32"/>
              <w:szCs w:val="32"/>
              <w:lang w:val="en-US" w:eastAsia="zh-CN" w:bidi="ar-SA"/>
            </w:rPr>
            <w:fldChar w:fldCharType="end"/>
          </w:r>
          <w:r>
            <w:rPr>
              <w:rFonts w:hint="eastAsia" w:ascii="Times New Roman" w:hAnsi="Times New Roman" w:eastAsia="仿宋_GB2312" w:cs="Times New Roman"/>
              <w:smallCaps w:val="0"/>
              <w:kern w:val="2"/>
              <w:sz w:val="32"/>
              <w:szCs w:val="32"/>
              <w:lang w:val="en-US" w:eastAsia="zh-CN" w:bidi="ar-SA"/>
            </w:rPr>
            <w:t>2</w:t>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28"/>
              <w:szCs w:val="28"/>
              <w:lang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"_Toc13756"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四、财政拨款收入支出决算总表</w:t>
          </w:r>
          <w:r>
            <w:rPr>
              <w:rFonts w:hint="default" w:ascii="Times New Roman" w:hAnsi="Times New Roman" w:eastAsia="仿宋_GB2312" w:cs="Times New Roman"/>
              <w:sz w:val="28"/>
              <w:szCs w:val="28"/>
            </w:rPr>
            <w:tab/>
          </w:r>
          <w:r>
            <w:rPr>
              <w:rFonts w:hint="eastAsia" w:ascii="Times New Roman" w:hAnsi="Times New Roman" w:eastAsia="仿宋_GB2312" w:cs="Times New Roman"/>
              <w:smallCaps w:val="0"/>
              <w:kern w:val="2"/>
              <w:sz w:val="32"/>
              <w:szCs w:val="32"/>
              <w:lang w:val="en-US" w:eastAsia="zh-CN" w:bidi="ar-SA"/>
            </w:rPr>
            <w:t>22</w:t>
          </w:r>
          <w:r>
            <w:rPr>
              <w:rFonts w:hint="default" w:ascii="Times New Roman" w:hAnsi="Times New Roman" w:eastAsia="仿宋_GB2312" w:cs="Times New Roman"/>
              <w:smallCaps w:val="0"/>
              <w:kern w:val="2"/>
              <w:sz w:val="32"/>
              <w:szCs w:val="32"/>
              <w:lang w:val="en-US" w:eastAsia="zh-CN" w:bidi="ar-SA"/>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28"/>
              <w:szCs w:val="28"/>
              <w:lang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"_Toc25415"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五、财政拨款支出决算明细表</w:t>
          </w:r>
          <w:r>
            <w:rPr>
              <w:rFonts w:hint="default" w:ascii="Times New Roman" w:hAnsi="Times New Roman" w:eastAsia="仿宋_GB2312" w:cs="Times New Roman"/>
              <w:sz w:val="28"/>
              <w:szCs w:val="28"/>
            </w:rPr>
            <w:tab/>
          </w:r>
          <w:r>
            <w:rPr>
              <w:rFonts w:hint="eastAsia" w:ascii="Times New Roman" w:hAnsi="Times New Roman" w:eastAsia="仿宋_GB2312" w:cs="Times New Roman"/>
              <w:smallCaps w:val="0"/>
              <w:kern w:val="2"/>
              <w:sz w:val="32"/>
              <w:szCs w:val="32"/>
              <w:lang w:val="en-US" w:eastAsia="zh-CN" w:bidi="ar-SA"/>
            </w:rPr>
            <w:t>22</w:t>
          </w:r>
          <w:r>
            <w:rPr>
              <w:rFonts w:hint="default" w:ascii="Times New Roman" w:hAnsi="Times New Roman" w:eastAsia="仿宋_GB2312" w:cs="Times New Roman"/>
              <w:sz w:val="28"/>
              <w:szCs w:val="28"/>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28"/>
              <w:szCs w:val="28"/>
              <w:lang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"_Toc28368"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六、一般公共预算财政拨款支出决算表</w:t>
          </w:r>
          <w:r>
            <w:rPr>
              <w:rFonts w:hint="default" w:ascii="Times New Roman" w:hAnsi="Times New Roman" w:eastAsia="仿宋_GB2312" w:cs="Times New Roman"/>
              <w:sz w:val="28"/>
              <w:szCs w:val="28"/>
            </w:rPr>
            <w:tab/>
          </w:r>
          <w:r>
            <w:rPr>
              <w:rFonts w:hint="eastAsia" w:ascii="Times New Roman" w:hAnsi="Times New Roman" w:eastAsia="仿宋_GB2312" w:cs="Times New Roman"/>
              <w:smallCaps w:val="0"/>
              <w:kern w:val="2"/>
              <w:sz w:val="32"/>
              <w:szCs w:val="32"/>
              <w:lang w:val="en-US" w:eastAsia="zh-CN" w:bidi="ar-SA"/>
            </w:rPr>
            <w:t>22</w:t>
          </w:r>
          <w:r>
            <w:rPr>
              <w:rFonts w:hint="default" w:ascii="Times New Roman" w:hAnsi="Times New Roman" w:eastAsia="仿宋_GB2312" w:cs="Times New Roman"/>
              <w:sz w:val="28"/>
              <w:szCs w:val="28"/>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28"/>
              <w:szCs w:val="28"/>
              <w:lang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"_Toc7589"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七、一般公共预算财政拨款支出决算明细表</w:t>
          </w:r>
          <w:r>
            <w:rPr>
              <w:rFonts w:hint="default" w:ascii="Times New Roman" w:hAnsi="Times New Roman" w:eastAsia="仿宋_GB2312" w:cs="Times New Roman"/>
              <w:sz w:val="28"/>
              <w:szCs w:val="28"/>
            </w:rPr>
            <w:tab/>
          </w:r>
          <w:r>
            <w:rPr>
              <w:rFonts w:hint="eastAsia" w:ascii="Times New Roman" w:hAnsi="Times New Roman" w:eastAsia="仿宋_GB2312" w:cs="Times New Roman"/>
              <w:smallCaps w:val="0"/>
              <w:kern w:val="2"/>
              <w:sz w:val="32"/>
              <w:szCs w:val="32"/>
              <w:lang w:val="en-US" w:eastAsia="zh-CN" w:bidi="ar-SA"/>
            </w:rPr>
            <w:t>22</w:t>
          </w:r>
          <w:r>
            <w:rPr>
              <w:rFonts w:hint="default" w:ascii="Times New Roman" w:hAnsi="Times New Roman" w:eastAsia="仿宋_GB2312" w:cs="Times New Roman"/>
              <w:sz w:val="28"/>
              <w:szCs w:val="28"/>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28"/>
              <w:szCs w:val="28"/>
              <w:lang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"_Toc13064"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八、一般公共预算财政拨款基本支出决算表</w:t>
          </w:r>
          <w:r>
            <w:rPr>
              <w:rFonts w:hint="default" w:ascii="Times New Roman" w:hAnsi="Times New Roman" w:eastAsia="仿宋_GB2312" w:cs="Times New Roman"/>
              <w:sz w:val="28"/>
              <w:szCs w:val="28"/>
            </w:rPr>
            <w:tab/>
          </w:r>
          <w:r>
            <w:rPr>
              <w:rFonts w:hint="eastAsia" w:ascii="Times New Roman" w:hAnsi="Times New Roman" w:eastAsia="仿宋_GB2312" w:cs="Times New Roman"/>
              <w:smallCaps w:val="0"/>
              <w:kern w:val="2"/>
              <w:sz w:val="32"/>
              <w:szCs w:val="32"/>
              <w:lang w:val="en-US" w:eastAsia="zh-CN" w:bidi="ar-SA"/>
            </w:rPr>
            <w:t>22</w:t>
          </w:r>
          <w:r>
            <w:rPr>
              <w:rFonts w:hint="default" w:ascii="Times New Roman" w:hAnsi="Times New Roman" w:eastAsia="仿宋_GB2312" w:cs="Times New Roman"/>
              <w:sz w:val="28"/>
              <w:szCs w:val="28"/>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28"/>
              <w:szCs w:val="28"/>
              <w:lang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"_Toc2732"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九、一般公共预算财政拨款项目支出决算表</w:t>
          </w:r>
          <w:r>
            <w:rPr>
              <w:rFonts w:hint="default" w:ascii="Times New Roman" w:hAnsi="Times New Roman" w:eastAsia="仿宋_GB2312" w:cs="Times New Roman"/>
              <w:sz w:val="28"/>
              <w:szCs w:val="28"/>
            </w:rPr>
            <w:tab/>
          </w:r>
          <w:r>
            <w:rPr>
              <w:rFonts w:hint="eastAsia" w:ascii="Times New Roman" w:hAnsi="Times New Roman" w:eastAsia="仿宋_GB2312" w:cs="Times New Roman"/>
              <w:smallCaps w:val="0"/>
              <w:kern w:val="2"/>
              <w:sz w:val="32"/>
              <w:szCs w:val="32"/>
              <w:lang w:val="en-US" w:eastAsia="zh-CN" w:bidi="ar-SA"/>
            </w:rPr>
            <w:t>22</w:t>
          </w:r>
          <w:r>
            <w:rPr>
              <w:rFonts w:hint="default" w:ascii="Times New Roman" w:hAnsi="Times New Roman" w:eastAsia="仿宋_GB2312" w:cs="Times New Roman"/>
              <w:sz w:val="28"/>
              <w:szCs w:val="28"/>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28"/>
              <w:szCs w:val="28"/>
              <w:lang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"_Toc1030"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十、一般公共预算财政拨款“三公”经费支出决算表</w:t>
          </w:r>
          <w:r>
            <w:rPr>
              <w:rFonts w:hint="default" w:ascii="Times New Roman" w:hAnsi="Times New Roman" w:eastAsia="仿宋_GB2312" w:cs="Times New Roman"/>
              <w:sz w:val="28"/>
              <w:szCs w:val="28"/>
            </w:rPr>
            <w:tab/>
          </w:r>
          <w:r>
            <w:rPr>
              <w:rFonts w:hint="eastAsia" w:ascii="Times New Roman" w:hAnsi="Times New Roman" w:eastAsia="仿宋_GB2312" w:cs="Times New Roman"/>
              <w:smallCaps w:val="0"/>
              <w:kern w:val="2"/>
              <w:sz w:val="32"/>
              <w:szCs w:val="32"/>
              <w:lang w:val="en-US" w:eastAsia="zh-CN" w:bidi="ar-SA"/>
            </w:rPr>
            <w:t>22</w:t>
          </w:r>
          <w:r>
            <w:rPr>
              <w:rFonts w:hint="default" w:ascii="Times New Roman" w:hAnsi="Times New Roman" w:eastAsia="仿宋_GB2312" w:cs="Times New Roman"/>
              <w:sz w:val="28"/>
              <w:szCs w:val="28"/>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28"/>
              <w:szCs w:val="28"/>
              <w:lang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"_Toc25"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十一、政府性基金预算财政拨款收入支出决算表</w:t>
          </w:r>
          <w:r>
            <w:rPr>
              <w:rFonts w:hint="default" w:ascii="Times New Roman" w:hAnsi="Times New Roman" w:eastAsia="仿宋_GB2312" w:cs="Times New Roman"/>
              <w:sz w:val="28"/>
              <w:szCs w:val="28"/>
            </w:rPr>
            <w:tab/>
          </w:r>
          <w:r>
            <w:rPr>
              <w:rFonts w:hint="eastAsia" w:ascii="Times New Roman" w:hAnsi="Times New Roman" w:eastAsia="仿宋_GB2312" w:cs="Times New Roman"/>
              <w:smallCaps w:val="0"/>
              <w:kern w:val="2"/>
              <w:sz w:val="32"/>
              <w:szCs w:val="32"/>
              <w:lang w:val="en-US" w:eastAsia="zh-CN" w:bidi="ar-SA"/>
            </w:rPr>
            <w:t>22</w:t>
          </w:r>
          <w:r>
            <w:rPr>
              <w:rFonts w:hint="default" w:ascii="Times New Roman" w:hAnsi="Times New Roman" w:eastAsia="仿宋_GB2312" w:cs="Times New Roman"/>
              <w:sz w:val="28"/>
              <w:szCs w:val="28"/>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28"/>
              <w:szCs w:val="28"/>
              <w:lang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"_Toc22705" </w:instrText>
          </w:r>
          <w:r>
            <w:rPr>
              <w:rFonts w:hint="default" w:ascii="Times New Roman" w:hAnsi="Times New Roman" w:cs="Times New Roman"/>
            </w:rPr>
            <w:fldChar w:fldCharType="separate"/>
          </w:r>
          <w:r>
            <w:rPr>
              <w:rFonts w:hint="default" w:ascii="Times New Roman" w:hAnsi="Times New Roman" w:eastAsia="仿宋_GB2312" w:cs="Times New Roman"/>
              <w:w w:val="95"/>
              <w:sz w:val="32"/>
              <w:szCs w:val="32"/>
            </w:rPr>
            <w:t>十二、政府性基金预算财政拨款“三公”经费支出决算表</w:t>
          </w:r>
          <w:r>
            <w:rPr>
              <w:rFonts w:hint="default" w:ascii="Times New Roman" w:hAnsi="Times New Roman" w:eastAsia="仿宋_GB2312" w:cs="Times New Roman"/>
              <w:sz w:val="28"/>
              <w:szCs w:val="28"/>
            </w:rPr>
            <w:tab/>
          </w:r>
          <w:r>
            <w:rPr>
              <w:rFonts w:hint="eastAsia" w:ascii="Times New Roman" w:hAnsi="Times New Roman" w:eastAsia="仿宋_GB2312" w:cs="Times New Roman"/>
              <w:smallCaps w:val="0"/>
              <w:kern w:val="2"/>
              <w:sz w:val="32"/>
              <w:szCs w:val="32"/>
              <w:lang w:val="en-US" w:eastAsia="zh-CN" w:bidi="ar-SA"/>
            </w:rPr>
            <w:t>22</w:t>
          </w:r>
          <w:r>
            <w:rPr>
              <w:rFonts w:hint="default" w:ascii="Times New Roman" w:hAnsi="Times New Roman" w:eastAsia="仿宋_GB2312" w:cs="Times New Roman"/>
              <w:sz w:val="28"/>
              <w:szCs w:val="28"/>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28"/>
              <w:szCs w:val="28"/>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"_Toc6371"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十三、国有资本经营预算财政拨款收入支出决算表</w:t>
          </w:r>
          <w:r>
            <w:rPr>
              <w:rFonts w:hint="default" w:ascii="Times New Roman" w:hAnsi="Times New Roman" w:eastAsia="仿宋_GB2312" w:cs="Times New Roman"/>
              <w:sz w:val="28"/>
              <w:szCs w:val="28"/>
            </w:rPr>
            <w:tab/>
          </w:r>
          <w:r>
            <w:rPr>
              <w:rFonts w:hint="eastAsia" w:ascii="Times New Roman" w:hAnsi="Times New Roman" w:eastAsia="仿宋_GB2312" w:cs="Times New Roman"/>
              <w:smallCaps w:val="0"/>
              <w:kern w:val="2"/>
              <w:sz w:val="32"/>
              <w:szCs w:val="32"/>
              <w:lang w:val="en-US" w:eastAsia="zh-CN" w:bidi="ar-SA"/>
            </w:rPr>
            <w:t>22</w:t>
          </w:r>
          <w:r>
            <w:rPr>
              <w:rFonts w:hint="default" w:ascii="Times New Roman" w:hAnsi="Times New Roman" w:eastAsia="仿宋_GB2312" w:cs="Times New Roman"/>
              <w:sz w:val="28"/>
              <w:szCs w:val="28"/>
            </w:rPr>
            <w:fldChar w:fldCharType="end"/>
          </w:r>
        </w:p>
        <w:p>
          <w:pPr>
            <w:pStyle w:val="17"/>
            <w:tabs>
              <w:tab w:val="right" w:leader="dot" w:pos="8306"/>
            </w:tabs>
            <w:spacing w:line="540" w:lineRule="exact"/>
            <w:rPr>
              <w:rFonts w:hint="eastAsia"/>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"_Toc10505"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十四、国有资本经营预算财政拨款支出决算表</w:t>
          </w:r>
          <w:r>
            <w:rPr>
              <w:rFonts w:hint="default" w:ascii="Times New Roman" w:hAnsi="Times New Roman" w:eastAsia="仿宋_GB2312" w:cs="Times New Roman"/>
              <w:sz w:val="28"/>
              <w:szCs w:val="28"/>
            </w:rPr>
            <w:tab/>
          </w:r>
          <w:r>
            <w:rPr>
              <w:rFonts w:hint="eastAsia" w:ascii="Times New Roman" w:hAnsi="Times New Roman" w:eastAsia="仿宋_GB2312" w:cs="Times New Roman"/>
              <w:smallCaps w:val="0"/>
              <w:kern w:val="2"/>
              <w:sz w:val="32"/>
              <w:szCs w:val="32"/>
              <w:lang w:val="en-US" w:eastAsia="zh-CN" w:bidi="ar-SA"/>
            </w:rPr>
            <w:t>22</w:t>
          </w:r>
          <w:r>
            <w:rPr>
              <w:rFonts w:hint="default" w:ascii="Times New Roman" w:hAnsi="Times New Roman" w:eastAsia="仿宋_GB2312" w:cs="Times New Roman"/>
              <w:sz w:val="28"/>
              <w:szCs w:val="28"/>
            </w:rPr>
            <w:fldChar w:fldCharType="end"/>
          </w:r>
        </w:p>
        <w:p>
          <w:r>
            <w:rPr>
              <w:rFonts w:hint="default" w:ascii="Times New Roman" w:hAnsi="Times New Roman" w:cs="Times New Roman" w:eastAsiaTheme="minorEastAsia"/>
              <w:b w:val="0"/>
              <w:bCs w:val="0"/>
              <w:caps w:val="0"/>
              <w:kern w:val="2"/>
              <w:sz w:val="28"/>
              <w:szCs w:val="28"/>
              <w:lang w:val="en-US" w:eastAsia="zh-CN" w:bidi="ar-SA"/>
            </w:rPr>
            <w:fldChar w:fldCharType="end"/>
          </w:r>
        </w:p>
      </w:sdtContent>
    </w:sdt>
    <w:p>
      <w:pPr>
        <w:widowControl/>
        <w:adjustRightInd w:val="0"/>
        <w:snapToGrid w:val="0"/>
        <w:spacing w:line="440" w:lineRule="exact"/>
        <w:ind w:firstLine="1320" w:firstLineChars="550"/>
        <w:jc w:val="left"/>
        <w:rPr>
          <w:rFonts w:eastAsia="仿宋"/>
          <w:sz w:val="24"/>
          <w:highlight w:val="yellow"/>
        </w:rPr>
      </w:pPr>
    </w:p>
    <w:p>
      <w:pPr>
        <w:widowControl/>
        <w:spacing w:line="440" w:lineRule="exact"/>
        <w:jc w:val="left"/>
        <w:rPr>
          <w:rFonts w:eastAsia="仿宋"/>
          <w:bCs/>
          <w:kern w:val="44"/>
          <w:sz w:val="24"/>
        </w:rPr>
      </w:pPr>
      <w:bookmarkStart w:id="18" w:name="_Toc15396599"/>
      <w:bookmarkStart w:id="19" w:name="_Toc15377196"/>
      <w:r>
        <w:rPr>
          <w:rFonts w:eastAsia="仿宋"/>
          <w:b/>
          <w:sz w:val="24"/>
        </w:rPr>
        <w:br w:type="page"/>
      </w:r>
    </w:p>
    <w:p>
      <w:pPr>
        <w:pStyle w:val="3"/>
        <w:jc w:val="center"/>
        <w:rPr>
          <w:rStyle w:val="33"/>
          <w:rFonts w:eastAsia="黑体"/>
          <w:b/>
          <w:bCs w:val="0"/>
        </w:rPr>
      </w:pPr>
      <w:bookmarkStart w:id="20" w:name="_Toc23234"/>
      <w:bookmarkStart w:id="21" w:name="_Toc81557896"/>
      <w:r>
        <w:rPr>
          <w:rFonts w:eastAsia="黑体"/>
          <w:b w:val="0"/>
        </w:rPr>
        <w:t>第一部分 单位</w:t>
      </w:r>
      <w:r>
        <w:rPr>
          <w:rStyle w:val="33"/>
          <w:rFonts w:eastAsia="黑体"/>
          <w:b w:val="0"/>
          <w:bCs w:val="0"/>
        </w:rPr>
        <w:t>概况</w:t>
      </w:r>
      <w:bookmarkEnd w:id="18"/>
      <w:bookmarkEnd w:id="19"/>
      <w:bookmarkEnd w:id="20"/>
      <w:bookmarkEnd w:id="21"/>
    </w:p>
    <w:p>
      <w:pPr>
        <w:widowControl/>
        <w:jc w:val="left"/>
        <w:rPr>
          <w:rFonts w:eastAsia="黑体"/>
          <w:sz w:val="32"/>
          <w:szCs w:val="32"/>
        </w:rPr>
      </w:pPr>
    </w:p>
    <w:p>
      <w:pPr>
        <w:pStyle w:val="4"/>
        <w:spacing w:before="0" w:after="0"/>
        <w:ind w:firstLine="640" w:firstLineChars="200"/>
        <w:rPr>
          <w:rFonts w:ascii="Times New Roman" w:hAnsi="Times New Roman" w:cs="Times New Roman"/>
        </w:rPr>
      </w:pPr>
      <w:bookmarkStart w:id="22" w:name="_Toc9193"/>
      <w:bookmarkStart w:id="23" w:name="_Toc81557897"/>
      <w:bookmarkStart w:id="24" w:name="_Toc15396600"/>
      <w:bookmarkStart w:id="25" w:name="_Toc15377197"/>
      <w:r>
        <w:rPr>
          <w:rStyle w:val="34"/>
          <w:rFonts w:ascii="Times New Roman" w:hAnsi="Times New Roman" w:eastAsia="黑体" w:cs="Times New Roman"/>
          <w:b w:val="0"/>
          <w:bCs w:val="0"/>
        </w:rPr>
        <w:t>一、职能简介</w:t>
      </w:r>
      <w:bookmarkEnd w:id="22"/>
      <w:bookmarkEnd w:id="23"/>
    </w:p>
    <w:p>
      <w:pPr>
        <w:snapToGrid w:val="0"/>
        <w:spacing w:line="560" w:lineRule="exact"/>
        <w:ind w:firstLine="640" w:firstLineChars="200"/>
      </w:pPr>
      <w:r>
        <w:rPr>
          <w:rFonts w:eastAsia="仿宋_GB2312"/>
          <w:sz w:val="32"/>
          <w:szCs w:val="32"/>
        </w:rPr>
        <w:t>成本监审、成本调查和成本确认。《三定方案》明确：负责拟订成本工作相关政策并组织实施，对列入政府定价成本监审目录、价格听证目录的商品和服务实施定价成本监审，对依法采取临时价格干预措施的商品和服务进行成本监审；负责农产品成本收益调查、重要商品和服务成本调查，核算重要商品和服务的社会平均成本、利润水平并向社会公布。</w:t>
      </w:r>
    </w:p>
    <w:p>
      <w:pPr>
        <w:pStyle w:val="4"/>
        <w:spacing w:before="0" w:after="0"/>
        <w:ind w:firstLine="640" w:firstLineChars="200"/>
        <w:rPr>
          <w:rFonts w:ascii="Times New Roman" w:hAnsi="Times New Roman" w:eastAsia="黑体" w:cs="Times New Roman"/>
          <w:b w:val="0"/>
        </w:rPr>
      </w:pPr>
      <w:bookmarkStart w:id="26" w:name="_Toc81557898"/>
      <w:bookmarkStart w:id="27" w:name="_Toc18052"/>
      <w:r>
        <w:rPr>
          <w:rFonts w:ascii="Times New Roman" w:hAnsi="Times New Roman" w:eastAsia="黑体" w:cs="Times New Roman"/>
          <w:b w:val="0"/>
        </w:rPr>
        <w:t>二、2021年重点工作</w:t>
      </w:r>
      <w:bookmarkEnd w:id="24"/>
      <w:bookmarkEnd w:id="25"/>
      <w:r>
        <w:rPr>
          <w:rFonts w:ascii="Times New Roman" w:hAnsi="Times New Roman" w:eastAsia="黑体" w:cs="Times New Roman"/>
          <w:b w:val="0"/>
        </w:rPr>
        <w:t>完成情况</w:t>
      </w:r>
      <w:bookmarkEnd w:id="26"/>
      <w:bookmarkEnd w:id="27"/>
    </w:p>
    <w:p>
      <w:pPr>
        <w:spacing w:line="560" w:lineRule="exact"/>
        <w:ind w:firstLine="640" w:firstLineChars="200"/>
        <w:rPr>
          <w:rFonts w:eastAsia="仿宋_GB2312"/>
          <w:sz w:val="32"/>
          <w:szCs w:val="32"/>
        </w:rPr>
      </w:pPr>
      <w:r>
        <w:rPr>
          <w:rFonts w:eastAsia="仿宋_GB2312"/>
          <w:sz w:val="32"/>
          <w:szCs w:val="32"/>
        </w:rPr>
        <w:t>2021年，在四川省发展改革委的坚强领导下，在四川发展改革委驻委纪检组的有力监督下，四川省成本调查监审局坚持以习近平新时代中国特色社会主义思想为指导，紧扣发展改革中心工作，凝心聚力，攻坚克难，砥砺奋进，强化农产品成本调查、定价成本监审、重要商品和服务价格成本调查三大职能，各项工作有力有序稳步推进，为统筹推进疫情防控和经济社会发展起到了应有的贡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eastAsia="仿宋_GB2312"/>
          <w:sz w:val="32"/>
          <w:szCs w:val="32"/>
        </w:rPr>
      </w:pPr>
      <w:r>
        <w:rPr>
          <w:rFonts w:hint="eastAsia" w:eastAsia="楷体_GB2312"/>
          <w:b/>
          <w:bCs/>
          <w:sz w:val="32"/>
          <w:szCs w:val="32"/>
          <w:lang w:val="en-US" w:eastAsia="zh-CN"/>
        </w:rPr>
        <w:t>1.</w:t>
      </w:r>
      <w:r>
        <w:rPr>
          <w:rFonts w:eastAsia="楷体_GB2312"/>
          <w:b/>
          <w:bCs/>
          <w:sz w:val="32"/>
          <w:szCs w:val="32"/>
        </w:rPr>
        <w:t>聚焦长江经济带发展，开展污水处理定价成本监审。</w:t>
      </w:r>
      <w:r>
        <w:rPr>
          <w:rFonts w:eastAsia="仿宋_GB2312"/>
          <w:sz w:val="32"/>
          <w:szCs w:val="32"/>
        </w:rPr>
        <w:t>按照国家发展改革委安排部署，督导全省17个市（州）和部分县（市、区）</w:t>
      </w:r>
      <w:r>
        <w:rPr>
          <w:rFonts w:eastAsia="仿宋_GB2312"/>
          <w:color w:val="000000"/>
          <w:kern w:val="0"/>
          <w:sz w:val="32"/>
          <w:szCs w:val="32"/>
        </w:rPr>
        <w:t>高质量完成</w:t>
      </w:r>
      <w:r>
        <w:rPr>
          <w:rFonts w:eastAsia="仿宋_GB2312"/>
          <w:sz w:val="32"/>
          <w:szCs w:val="32"/>
        </w:rPr>
        <w:t>长江经济带污水处理成本监审项目155个，汇总形成全省污水处理成本监审分析报告，为“建立健全覆盖所有城镇、适应水污染防治和绿色发展要求的污水处理收费长效机制”贡献了四川力量。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eastAsia="仿宋_GB2312"/>
          <w:sz w:val="32"/>
          <w:szCs w:val="32"/>
        </w:rPr>
      </w:pPr>
      <w:r>
        <w:rPr>
          <w:rFonts w:hint="eastAsia" w:eastAsia="楷体_GB2312"/>
          <w:b/>
          <w:bCs/>
          <w:sz w:val="32"/>
          <w:szCs w:val="32"/>
          <w:lang w:val="en-US" w:eastAsia="zh-CN"/>
        </w:rPr>
        <w:t>2.</w:t>
      </w:r>
      <w:r>
        <w:rPr>
          <w:rFonts w:eastAsia="楷体_GB2312"/>
          <w:b/>
          <w:bCs/>
          <w:sz w:val="32"/>
          <w:szCs w:val="32"/>
        </w:rPr>
        <w:t>聚焦农业“10+3”产业体系，开展农业特色产业成本调查。</w:t>
      </w:r>
      <w:r>
        <w:rPr>
          <w:rFonts w:eastAsia="仿宋_GB2312"/>
          <w:sz w:val="32"/>
          <w:szCs w:val="32"/>
        </w:rPr>
        <w:t>为推动“川茶”产业高质量发展，组织11个市（州）共同开展茶叶产业成本调查，形成四川茶产业成本调查分析报告。加强川渝联动，会同重庆市发展改革委在资阳安岳、重庆潼南开展柠檬产业成本调查，形成柠檬产业调查报告，服务成渝现代高效特色农业带建设。加强与行业联动，联合省奶业协会、四川农业大学开展奶牛生产成本调查、设施蔬菜等生产成本调查。指导各地开展地方特色产业成本调查，形成酿酒高粱、猕猴桃、奶牛等特色农产品生产成本调查报告，推动农业特色产业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eastAsia="仿宋_GB2312"/>
          <w:sz w:val="32"/>
          <w:szCs w:val="32"/>
        </w:rPr>
      </w:pPr>
      <w:r>
        <w:rPr>
          <w:rFonts w:hint="eastAsia" w:eastAsia="楷体_GB2312"/>
          <w:b/>
          <w:bCs/>
          <w:sz w:val="32"/>
          <w:szCs w:val="32"/>
          <w:lang w:val="en-US" w:eastAsia="zh-CN"/>
        </w:rPr>
        <w:t>3.</w:t>
      </w:r>
      <w:r>
        <w:rPr>
          <w:rFonts w:eastAsia="楷体_GB2312"/>
          <w:b/>
          <w:bCs/>
          <w:sz w:val="32"/>
          <w:szCs w:val="32"/>
        </w:rPr>
        <w:t>聚焦工业“5+1”产业体系，开展重要商品和服务业成本调查</w:t>
      </w:r>
      <w:r>
        <w:rPr>
          <w:rFonts w:eastAsia="仿宋_GB2312"/>
          <w:sz w:val="32"/>
          <w:szCs w:val="32"/>
        </w:rPr>
        <w:t>。针对钢材市场价格波动较大情况，及时深入攀钢、川威等钢材生产企业及长虹集团等钢材下游企业开展成本调查，形成《四川省钢材行业成本调查分析报告》，为加强成本约束及促进行业发展起到积极作用。完成全省水泥、煤炭、供水、污水处理、城镇管道燃气、食用盐和工业用盐等商品和服务成本调查，形成6篇专题分析报告。指导成都市开展生活垃圾分类处理成本调查，指导泸州、德阳完成上半年尿素生产成本调查，为各级政府准确掌握相关产业成本情况提供了基础数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eastAsia="仿宋_GB2312"/>
          <w:sz w:val="32"/>
          <w:szCs w:val="32"/>
        </w:rPr>
      </w:pPr>
      <w:r>
        <w:rPr>
          <w:rFonts w:hint="eastAsia" w:eastAsia="楷体_GB2312"/>
          <w:b/>
          <w:bCs/>
          <w:sz w:val="32"/>
          <w:szCs w:val="32"/>
          <w:lang w:val="en-US" w:eastAsia="zh-CN"/>
        </w:rPr>
        <w:t>4.</w:t>
      </w:r>
      <w:r>
        <w:rPr>
          <w:rFonts w:eastAsia="楷体_GB2312"/>
          <w:b/>
          <w:bCs/>
          <w:sz w:val="32"/>
          <w:szCs w:val="32"/>
        </w:rPr>
        <w:t>聚焦“三农”工作，全面完成农产品成本常规调查。</w:t>
      </w:r>
      <w:r>
        <w:rPr>
          <w:rFonts w:eastAsia="仿宋_GB2312"/>
          <w:bCs/>
          <w:sz w:val="32"/>
          <w:szCs w:val="32"/>
        </w:rPr>
        <w:t>高</w:t>
      </w:r>
      <w:r>
        <w:rPr>
          <w:rFonts w:eastAsia="仿宋_GB2312"/>
          <w:sz w:val="32"/>
          <w:szCs w:val="32"/>
        </w:rPr>
        <w:t>质量完成国</w:t>
      </w:r>
      <w:r>
        <w:rPr>
          <w:rFonts w:eastAsia="仿宋_GB2312"/>
          <w:bCs/>
          <w:sz w:val="32"/>
          <w:szCs w:val="32"/>
        </w:rPr>
        <w:t>家级37项、省级12项</w:t>
      </w:r>
      <w:r>
        <w:rPr>
          <w:rFonts w:eastAsia="仿宋_GB2312"/>
          <w:sz w:val="32"/>
          <w:szCs w:val="32"/>
        </w:rPr>
        <w:t>农产品生产成本常规调查和流通环节成本调查任务，为国家制定主要粮食作物、生猪、蔬菜等宏观调控政策提供了客观准确的数据。受国家发展改革委价格司委托，成功承办全国2020年下半年生猪和2021年中籼稻直报调查汇审会议，并牵头圆满完成汇审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eastAsia="仿宋_GB2312"/>
          <w:kern w:val="1"/>
          <w:sz w:val="32"/>
          <w:szCs w:val="32"/>
        </w:rPr>
      </w:pPr>
      <w:r>
        <w:rPr>
          <w:rFonts w:hint="eastAsia" w:eastAsia="楷体_GB2312"/>
          <w:b/>
          <w:bCs/>
          <w:sz w:val="32"/>
          <w:szCs w:val="32"/>
          <w:lang w:val="en-US" w:eastAsia="zh-CN"/>
        </w:rPr>
        <w:t>5.</w:t>
      </w:r>
      <w:r>
        <w:rPr>
          <w:rFonts w:eastAsia="楷体_GB2312"/>
          <w:b/>
          <w:bCs/>
          <w:sz w:val="32"/>
          <w:szCs w:val="32"/>
        </w:rPr>
        <w:t>开展生猪生产成本应急调查。</w:t>
      </w:r>
      <w:r>
        <w:rPr>
          <w:rFonts w:eastAsia="仿宋_GB2312"/>
          <w:kern w:val="1"/>
          <w:sz w:val="32"/>
          <w:szCs w:val="32"/>
        </w:rPr>
        <w:t>针对2021年生猪产业行情波动和非洲猪瘟对生猪产能的影响情况，采取月度调查与专项调查相结合，省局调查与市（州）调查相互补的方式，全面摸清省内生猪生产成本情况，不断加强</w:t>
      </w:r>
      <w:r>
        <w:rPr>
          <w:rFonts w:eastAsia="仿宋_GB2312"/>
          <w:sz w:val="32"/>
          <w:szCs w:val="32"/>
        </w:rPr>
        <w:t>对生猪行业的前瞻性分析</w:t>
      </w:r>
      <w:r>
        <w:rPr>
          <w:rFonts w:eastAsia="仿宋_GB2312"/>
          <w:kern w:val="1"/>
          <w:sz w:val="32"/>
          <w:szCs w:val="32"/>
        </w:rPr>
        <w:t>。全年，印发生猪应急调查简报11期、信息11期，</w:t>
      </w:r>
      <w:r>
        <w:rPr>
          <w:rFonts w:eastAsia="仿宋_GB2312"/>
          <w:bCs/>
          <w:sz w:val="32"/>
          <w:szCs w:val="32"/>
        </w:rPr>
        <w:t>提供三性分析材料4篇</w:t>
      </w:r>
      <w:r>
        <w:rPr>
          <w:rFonts w:eastAsia="仿宋_GB2312"/>
          <w:kern w:val="1"/>
          <w:sz w:val="32"/>
          <w:szCs w:val="32"/>
        </w:rPr>
        <w:t>，形成《四川省关于非洲猪瘟疫情对生猪产能的影响报告》等专题报告，供省委省政府、委党组决策参考。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eastAsia="仿宋_GB2312"/>
          <w:sz w:val="32"/>
          <w:szCs w:val="32"/>
        </w:rPr>
      </w:pPr>
      <w:r>
        <w:rPr>
          <w:rFonts w:hint="eastAsia" w:eastAsia="楷体_GB2312"/>
          <w:b/>
          <w:bCs/>
          <w:sz w:val="32"/>
          <w:szCs w:val="32"/>
          <w:lang w:val="en-US" w:eastAsia="zh-CN"/>
        </w:rPr>
        <w:t>6.</w:t>
      </w:r>
      <w:r>
        <w:rPr>
          <w:rFonts w:eastAsia="楷体_GB2312"/>
          <w:b/>
          <w:bCs/>
          <w:sz w:val="32"/>
          <w:szCs w:val="32"/>
        </w:rPr>
        <w:t>开展全省农村生产生活物资保障及价格情况应急调查。</w:t>
      </w:r>
      <w:r>
        <w:rPr>
          <w:rFonts w:eastAsia="仿宋_GB2312"/>
          <w:sz w:val="32"/>
          <w:szCs w:val="32"/>
        </w:rPr>
        <w:t>按照国家发展改革委《关于开展疫情期间农村生产生活物资保障及价格情况调查监测的通知》要求，对疫情期间农村生产生活物资供应、储备保障、生产生活成本等情况开展应急调查，形成《疫情期间农村生产生活物资保障及价格情况调查报告》，为国家发展改革委准确研判“疫情”期间“三农”工作形势提供了有力的基础支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eastAsia="仿宋_GB2312"/>
          <w:sz w:val="32"/>
          <w:szCs w:val="32"/>
        </w:rPr>
      </w:pPr>
      <w:r>
        <w:rPr>
          <w:rFonts w:hint="eastAsia" w:eastAsia="楷体_GB2312"/>
          <w:b/>
          <w:bCs/>
          <w:sz w:val="32"/>
          <w:szCs w:val="32"/>
          <w:lang w:val="en-US" w:eastAsia="zh-CN"/>
        </w:rPr>
        <w:t>7.</w:t>
      </w:r>
      <w:r>
        <w:rPr>
          <w:rFonts w:eastAsia="楷体_GB2312"/>
          <w:b/>
          <w:bCs/>
          <w:sz w:val="32"/>
          <w:szCs w:val="32"/>
        </w:rPr>
        <w:t>开展粮食生产及收购成本应急调查。</w:t>
      </w:r>
      <w:r>
        <w:rPr>
          <w:rFonts w:eastAsia="仿宋_GB2312"/>
          <w:sz w:val="32"/>
          <w:szCs w:val="32"/>
        </w:rPr>
        <w:t>针对国内种粮农资、地租、人工等成本上涨过快情况，开展全省中籼稻、玉米、小麦等主要粮食作物种粮成本和收益等情况调查，形成《近期种粮成本变化有关情况》，为国家发展改革委研判价格趋势，实施价格调控提供参考。针对四川近几年粮食收购成本过高的情况，对省内及周边省（市）粮食生产成本价格情况开展调查，形成《四川省主要粮食作物成本价格及存售情况》，为我省粮食购销领域专项巡视巡察工作提供了基础数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eastAsia="仿宋_GB2312"/>
          <w:sz w:val="32"/>
          <w:szCs w:val="32"/>
        </w:rPr>
      </w:pPr>
      <w:r>
        <w:rPr>
          <w:rFonts w:hint="eastAsia" w:eastAsia="楷体_GB2312"/>
          <w:b/>
          <w:bCs/>
          <w:sz w:val="32"/>
          <w:szCs w:val="32"/>
          <w:lang w:val="en-US" w:eastAsia="zh-CN"/>
        </w:rPr>
        <w:t>8.</w:t>
      </w:r>
      <w:r>
        <w:rPr>
          <w:rFonts w:eastAsia="楷体_GB2312"/>
          <w:b/>
          <w:bCs/>
          <w:sz w:val="32"/>
          <w:szCs w:val="32"/>
        </w:rPr>
        <w:t>开展全省义务教育阶段学科类校外培训收费成本调查。</w:t>
      </w:r>
      <w:r>
        <w:rPr>
          <w:rFonts w:eastAsia="仿宋_GB2312"/>
          <w:sz w:val="32"/>
          <w:szCs w:val="32"/>
        </w:rPr>
        <w:t>为深入贯彻落实中央关于“双减”工作部署，组织全省成本机构“上下贯通、步调一致”，以抽样调查方式，对省内现有5000多家义务教育阶段学科类校外培训机构的成本、收入、经营情况进行调查，分别核减线上、线下培训机构55%、15.6%总成本，为实施政府定价管理，减轻家庭教育经济负担，促进义务教育阶段学科类校外培训机构回归公益属性打下坚实基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eastAsia="仿宋_GB2312"/>
          <w:color w:val="000000"/>
          <w:sz w:val="32"/>
          <w:szCs w:val="32"/>
        </w:rPr>
      </w:pPr>
      <w:r>
        <w:rPr>
          <w:rFonts w:hint="eastAsia" w:eastAsia="楷体_GB2312"/>
          <w:b/>
          <w:bCs/>
          <w:sz w:val="32"/>
          <w:szCs w:val="32"/>
          <w:lang w:val="en-US" w:eastAsia="zh-CN"/>
        </w:rPr>
        <w:t>9.</w:t>
      </w:r>
      <w:r>
        <w:rPr>
          <w:rFonts w:eastAsia="楷体_GB2312"/>
          <w:b/>
          <w:bCs/>
          <w:sz w:val="32"/>
          <w:szCs w:val="32"/>
        </w:rPr>
        <w:t>开展公办高校教育培养成本调查。</w:t>
      </w:r>
      <w:r>
        <w:rPr>
          <w:rFonts w:eastAsia="仿宋_GB2312"/>
          <w:sz w:val="32"/>
          <w:szCs w:val="32"/>
        </w:rPr>
        <w:t>根据</w:t>
      </w:r>
      <w:r>
        <w:rPr>
          <w:rFonts w:eastAsia="仿宋_GB2312"/>
          <w:color w:val="000000"/>
          <w:sz w:val="32"/>
          <w:szCs w:val="32"/>
        </w:rPr>
        <w:t>省政府领导对《关于我省公办高校学费标准调整相关情况的报告》的批示精神，</w:t>
      </w:r>
      <w:r>
        <w:rPr>
          <w:rFonts w:eastAsia="仿宋_GB2312"/>
          <w:sz w:val="32"/>
          <w:szCs w:val="32"/>
        </w:rPr>
        <w:t>按全省公办高校总数30%的比例，</w:t>
      </w:r>
      <w:r>
        <w:rPr>
          <w:rFonts w:eastAsia="仿宋_GB2312"/>
          <w:color w:val="000000"/>
          <w:sz w:val="32"/>
          <w:szCs w:val="32"/>
        </w:rPr>
        <w:t>选取代表性公办高校24所开展教育培养成本调查。通过调查，有效解决了高校普遍存在的相关制度滞后造成的成本反映不完整问题，核定了公办高校2018—2020年教育培养平均总成本、教育培养生均成本，为省政府、委党组</w:t>
      </w:r>
      <w:r>
        <w:rPr>
          <w:rFonts w:eastAsia="仿宋_GB2312"/>
          <w:sz w:val="32"/>
          <w:szCs w:val="32"/>
        </w:rPr>
        <w:t>研究公办高校收费政策，</w:t>
      </w:r>
      <w:r>
        <w:rPr>
          <w:rFonts w:eastAsia="仿宋_GB2312"/>
          <w:color w:val="000000"/>
          <w:sz w:val="32"/>
          <w:szCs w:val="32"/>
        </w:rPr>
        <w:t>推动公办高校健康可持续发展提供了必要基础依据。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eastAsia="仿宋_GB2312"/>
          <w:color w:val="000000"/>
          <w:sz w:val="32"/>
          <w:szCs w:val="32"/>
        </w:rPr>
      </w:pPr>
      <w:r>
        <w:rPr>
          <w:rFonts w:hint="eastAsia" w:eastAsia="楷体_GB2312"/>
          <w:b/>
          <w:bCs/>
          <w:sz w:val="32"/>
          <w:szCs w:val="32"/>
          <w:lang w:val="en-US" w:eastAsia="zh-CN"/>
        </w:rPr>
        <w:t>10.</w:t>
      </w:r>
      <w:r>
        <w:rPr>
          <w:rFonts w:eastAsia="楷体_GB2312"/>
          <w:b/>
          <w:bCs/>
          <w:sz w:val="32"/>
          <w:szCs w:val="32"/>
        </w:rPr>
        <w:t>指导开展公用事业成本监审。</w:t>
      </w:r>
      <w:r>
        <w:rPr>
          <w:rFonts w:eastAsia="仿宋_GB2312"/>
          <w:color w:val="000000"/>
          <w:sz w:val="32"/>
          <w:szCs w:val="32"/>
        </w:rPr>
        <w:t>指导地方成本机构开展涉及民生公用事业监审项目432个，累计核减不合理成本28.79亿元，核减率为17.14%。其中，城乡居民供水供气、生活垃圾及污水处理等收费成本监审项目212个，核减不合理成本17.63亿元；普通高中、中职学校、中小学、公办幼儿园等收费成本监审项目181个，核减不合理成本10.32亿元；养老、殡葬、公用停车、保障性住房、物业、景区等收费成本监审项目23个，核减不合理成本0.38亿元；灌区农业综合用水收费成本监审项目16个，核减不合理成本0.46亿元。以上工作的开展，为完善价格政策，减轻群众负担，促进公用事业行业可持续发展起到了积极作用。</w:t>
      </w:r>
    </w:p>
    <w:p>
      <w:pPr>
        <w:pStyle w:val="4"/>
        <w:keepNext w:val="0"/>
        <w:keepLines w:val="0"/>
        <w:pageBreakBefore w:val="0"/>
        <w:widowControl w:val="0"/>
        <w:kinsoku/>
        <w:wordWrap/>
        <w:overflowPunct/>
        <w:topLinePunct w:val="0"/>
        <w:bidi w:val="0"/>
        <w:spacing w:before="0" w:after="0" w:line="540" w:lineRule="exact"/>
        <w:ind w:firstLine="640" w:firstLineChars="200"/>
        <w:textAlignment w:val="auto"/>
        <w:rPr>
          <w:rFonts w:ascii="Times New Roman" w:hAnsi="Times New Roman" w:eastAsia="黑体" w:cs="Times New Roman"/>
          <w:b w:val="0"/>
        </w:rPr>
      </w:pPr>
      <w:r>
        <w:rPr>
          <w:rFonts w:hint="eastAsia" w:ascii="Times New Roman" w:hAnsi="黑体" w:eastAsia="黑体" w:cs="Times New Roman"/>
          <w:b w:val="0"/>
          <w:lang w:eastAsia="zh-CN"/>
        </w:rPr>
        <w:t>三</w:t>
      </w:r>
      <w:r>
        <w:rPr>
          <w:rFonts w:ascii="Times New Roman" w:hAnsi="黑体" w:eastAsia="黑体" w:cs="Times New Roman"/>
          <w:b w:val="0"/>
        </w:rPr>
        <w:t>、</w:t>
      </w:r>
      <w:r>
        <w:rPr>
          <w:rFonts w:hint="eastAsia" w:ascii="Times New Roman" w:hAnsi="Times New Roman" w:eastAsia="黑体" w:cs="Times New Roman"/>
          <w:b w:val="0"/>
          <w:lang w:eastAsia="zh-CN"/>
        </w:rPr>
        <w:t>机构设置</w:t>
      </w:r>
      <w:r>
        <w:rPr>
          <w:rFonts w:ascii="Times New Roman" w:hAnsi="黑体" w:eastAsia="黑体" w:cs="Times New Roman"/>
          <w:b w:val="0"/>
        </w:rPr>
        <w:t>情况</w:t>
      </w:r>
    </w:p>
    <w:p>
      <w:pPr>
        <w:widowControl/>
        <w:snapToGrid w:val="0"/>
        <w:spacing w:line="560" w:lineRule="exact"/>
        <w:ind w:firstLine="640" w:firstLineChars="200"/>
        <w:jc w:val="left"/>
        <w:rPr>
          <w:rFonts w:eastAsia="仿宋"/>
          <w:kern w:val="0"/>
          <w:sz w:val="32"/>
          <w:szCs w:val="32"/>
        </w:rPr>
      </w:pPr>
      <w:r>
        <w:rPr>
          <w:rFonts w:hint="eastAsia" w:hAnsi="仿宋_GB2312" w:eastAsia="仿宋_GB2312"/>
          <w:sz w:val="32"/>
          <w:szCs w:val="32"/>
          <w:lang w:eastAsia="zh-CN"/>
        </w:rPr>
        <w:t>省成本调查监审局内设办公室、综合科、调查监审一科、调查监审二科、调查监审三科、调查监审四</w:t>
      </w:r>
      <w:bookmarkStart w:id="159" w:name="_GoBack"/>
      <w:bookmarkEnd w:id="159"/>
      <w:r>
        <w:rPr>
          <w:rFonts w:hint="eastAsia" w:hAnsi="仿宋_GB2312" w:eastAsia="仿宋_GB2312"/>
          <w:sz w:val="32"/>
          <w:szCs w:val="32"/>
          <w:lang w:eastAsia="zh-CN"/>
        </w:rPr>
        <w:t>科。</w:t>
      </w:r>
      <w:r>
        <w:rPr>
          <w:rFonts w:eastAsia="仿宋_GB2312"/>
          <w:sz w:val="32"/>
          <w:szCs w:val="32"/>
        </w:rPr>
        <w:br w:type="page"/>
      </w:r>
    </w:p>
    <w:p>
      <w:pPr>
        <w:pStyle w:val="3"/>
        <w:ind w:right="440"/>
        <w:jc w:val="center"/>
        <w:rPr>
          <w:rStyle w:val="33"/>
          <w:rFonts w:eastAsia="黑体"/>
          <w:b w:val="0"/>
          <w:bCs/>
        </w:rPr>
      </w:pPr>
      <w:bookmarkStart w:id="28" w:name="_Toc81557899"/>
      <w:bookmarkStart w:id="29" w:name="_Toc4016"/>
      <w:bookmarkStart w:id="30" w:name="_Toc15377204"/>
      <w:bookmarkStart w:id="31" w:name="_Toc15396602"/>
      <w:r>
        <w:rPr>
          <w:rFonts w:eastAsia="黑体"/>
          <w:b w:val="0"/>
        </w:rPr>
        <w:t>第二部分 2021年度</w:t>
      </w:r>
      <w:r>
        <w:rPr>
          <w:rStyle w:val="33"/>
          <w:rFonts w:hint="eastAsia" w:eastAsia="黑体"/>
          <w:b w:val="0"/>
          <w:bCs/>
          <w:highlight w:val="none"/>
          <w:lang w:eastAsia="zh-CN"/>
        </w:rPr>
        <w:t>单位</w:t>
      </w:r>
      <w:r>
        <w:rPr>
          <w:rStyle w:val="33"/>
          <w:rFonts w:eastAsia="黑体"/>
          <w:b w:val="0"/>
          <w:bCs/>
        </w:rPr>
        <w:t>决算情况说明</w:t>
      </w:r>
      <w:bookmarkEnd w:id="28"/>
      <w:bookmarkEnd w:id="29"/>
      <w:bookmarkEnd w:id="30"/>
      <w:bookmarkEnd w:id="31"/>
    </w:p>
    <w:p/>
    <w:p>
      <w:pPr>
        <w:pStyle w:val="32"/>
        <w:numPr>
          <w:ilvl w:val="0"/>
          <w:numId w:val="1"/>
        </w:numPr>
        <w:spacing w:line="600" w:lineRule="exact"/>
        <w:ind w:firstLineChars="0"/>
        <w:outlineLvl w:val="1"/>
        <w:rPr>
          <w:rStyle w:val="34"/>
          <w:rFonts w:ascii="Times New Roman" w:hAnsi="Times New Roman" w:eastAsia="黑体" w:cs="Times New Roman"/>
          <w:b w:val="0"/>
        </w:rPr>
      </w:pPr>
      <w:bookmarkStart w:id="32" w:name="_Toc24486"/>
      <w:bookmarkStart w:id="33" w:name="_Toc15377205"/>
      <w:bookmarkStart w:id="34" w:name="_Toc81557900"/>
      <w:bookmarkStart w:id="35" w:name="_Toc15396603"/>
      <w:r>
        <w:rPr>
          <w:rFonts w:eastAsia="黑体"/>
          <w:sz w:val="32"/>
          <w:szCs w:val="32"/>
        </w:rPr>
        <w:t>收</w:t>
      </w:r>
      <w:r>
        <w:rPr>
          <w:rStyle w:val="34"/>
          <w:rFonts w:ascii="Times New Roman" w:hAnsi="Times New Roman" w:eastAsia="黑体" w:cs="Times New Roman"/>
          <w:b w:val="0"/>
        </w:rPr>
        <w:t>入支出决算总体情况说明</w:t>
      </w:r>
      <w:bookmarkEnd w:id="32"/>
      <w:bookmarkEnd w:id="33"/>
      <w:bookmarkEnd w:id="34"/>
      <w:bookmarkEnd w:id="35"/>
    </w:p>
    <w:p>
      <w:pPr>
        <w:spacing w:line="600" w:lineRule="exact"/>
        <w:ind w:firstLine="640" w:firstLineChars="200"/>
        <w:rPr>
          <w:rFonts w:eastAsia="仿宋_GB2312"/>
          <w:sz w:val="32"/>
          <w:szCs w:val="32"/>
        </w:rPr>
      </w:pPr>
      <w:r>
        <w:rPr>
          <w:rFonts w:eastAsia="仿宋_GB2312"/>
          <w:sz w:val="32"/>
          <w:szCs w:val="32"/>
        </w:rPr>
        <w:t>2021年度收、支总计902.21万元。与2020年相比，收、支总计各增加179.7万元，上涨24.87%。主要变动原因是2021年我局增加9名干部，人员经费增加。</w:t>
      </w:r>
    </w:p>
    <w:p>
      <w:pPr>
        <w:spacing w:line="600" w:lineRule="exact"/>
        <w:ind w:firstLine="420" w:firstLineChars="200"/>
        <w:rPr>
          <w:rFonts w:eastAsia="仿宋"/>
          <w:sz w:val="32"/>
          <w:szCs w:val="32"/>
        </w:rPr>
      </w:pPr>
      <w:r>
        <w:drawing>
          <wp:anchor distT="0" distB="0" distL="114300" distR="114300" simplePos="0" relativeHeight="251663360" behindDoc="0" locked="0" layoutInCell="1" allowOverlap="1">
            <wp:simplePos x="0" y="0"/>
            <wp:positionH relativeFrom="column">
              <wp:posOffset>311785</wp:posOffset>
            </wp:positionH>
            <wp:positionV relativeFrom="paragraph">
              <wp:posOffset>371475</wp:posOffset>
            </wp:positionV>
            <wp:extent cx="4324985" cy="2183130"/>
            <wp:effectExtent l="4445" t="4445" r="13970" b="22225"/>
            <wp:wrapNone/>
            <wp:docPr id="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rPr>
          <w:rFonts w:eastAsia="仿宋"/>
          <w:sz w:val="32"/>
          <w:szCs w:val="32"/>
        </w:rPr>
      </w:pPr>
    </w:p>
    <w:p>
      <w:pPr>
        <w:pStyle w:val="2"/>
        <w:spacing w:before="93" w:line="600" w:lineRule="exact"/>
        <w:ind w:firstLine="640" w:firstLineChars="200"/>
        <w:rPr>
          <w:rFonts w:ascii="Times New Roman" w:eastAsia="仿宋"/>
          <w:sz w:val="32"/>
          <w:szCs w:val="32"/>
        </w:rPr>
      </w:pPr>
    </w:p>
    <w:p>
      <w:pPr>
        <w:spacing w:line="600" w:lineRule="exact"/>
        <w:ind w:firstLine="640" w:firstLineChars="200"/>
        <w:rPr>
          <w:rFonts w:eastAsia="仿宋"/>
          <w:sz w:val="32"/>
          <w:szCs w:val="32"/>
        </w:rPr>
      </w:pPr>
    </w:p>
    <w:p>
      <w:pPr>
        <w:spacing w:line="600" w:lineRule="exact"/>
        <w:ind w:firstLine="640" w:firstLineChars="200"/>
        <w:rPr>
          <w:rFonts w:eastAsia="仿宋"/>
          <w:sz w:val="32"/>
          <w:szCs w:val="32"/>
        </w:rPr>
      </w:pPr>
    </w:p>
    <w:p>
      <w:pPr>
        <w:pStyle w:val="2"/>
        <w:spacing w:before="93" w:line="600" w:lineRule="exact"/>
        <w:ind w:firstLine="640" w:firstLineChars="200"/>
        <w:rPr>
          <w:rFonts w:ascii="Times New Roman" w:eastAsia="仿宋"/>
          <w:sz w:val="32"/>
          <w:szCs w:val="32"/>
        </w:rPr>
      </w:pPr>
    </w:p>
    <w:p>
      <w:pPr>
        <w:spacing w:line="600" w:lineRule="exact"/>
        <w:ind w:firstLine="640" w:firstLineChars="200"/>
        <w:jc w:val="left"/>
        <w:rPr>
          <w:rFonts w:eastAsia="仿宋"/>
          <w:sz w:val="32"/>
          <w:szCs w:val="32"/>
        </w:rPr>
      </w:pPr>
    </w:p>
    <w:p>
      <w:pPr>
        <w:pStyle w:val="32"/>
        <w:numPr>
          <w:ilvl w:val="0"/>
          <w:numId w:val="1"/>
        </w:numPr>
        <w:spacing w:line="600" w:lineRule="exact"/>
        <w:ind w:firstLineChars="0"/>
        <w:outlineLvl w:val="1"/>
        <w:rPr>
          <w:rStyle w:val="34"/>
          <w:rFonts w:ascii="Times New Roman" w:hAnsi="Times New Roman" w:eastAsia="黑体" w:cs="Times New Roman"/>
          <w:b w:val="0"/>
        </w:rPr>
      </w:pPr>
      <w:bookmarkStart w:id="36" w:name="_Toc81557901"/>
      <w:bookmarkStart w:id="37" w:name="_Toc29192"/>
      <w:bookmarkStart w:id="38" w:name="_Toc15377206"/>
      <w:bookmarkStart w:id="39" w:name="_Toc15396604"/>
      <w:r>
        <w:rPr>
          <w:rFonts w:eastAsia="黑体"/>
          <w:sz w:val="32"/>
          <w:szCs w:val="32"/>
        </w:rPr>
        <w:t>收</w:t>
      </w:r>
      <w:r>
        <w:rPr>
          <w:rStyle w:val="34"/>
          <w:rFonts w:ascii="Times New Roman" w:hAnsi="Times New Roman" w:eastAsia="黑体" w:cs="Times New Roman"/>
          <w:b w:val="0"/>
        </w:rPr>
        <w:t>入决算情况说明</w:t>
      </w:r>
      <w:bookmarkEnd w:id="36"/>
      <w:bookmarkEnd w:id="37"/>
      <w:bookmarkEnd w:id="38"/>
      <w:bookmarkEnd w:id="39"/>
    </w:p>
    <w:p>
      <w:pPr>
        <w:spacing w:line="600" w:lineRule="exact"/>
        <w:ind w:firstLine="640" w:firstLineChars="200"/>
        <w:outlineLvl w:val="1"/>
        <w:rPr>
          <w:rFonts w:eastAsia="仿宋"/>
          <w:sz w:val="32"/>
          <w:szCs w:val="32"/>
        </w:rPr>
      </w:pPr>
      <w:bookmarkStart w:id="40" w:name="_Toc81557902"/>
      <w:bookmarkStart w:id="41" w:name="_Toc26118"/>
      <w:r>
        <w:rPr>
          <w:rFonts w:eastAsia="仿宋_GB2312"/>
          <w:sz w:val="32"/>
          <w:szCs w:val="32"/>
        </w:rPr>
        <w:t>2021年本年收入合计886.82万元，其中：一般公共预算财政拨款收入886.82万元，占100%</w:t>
      </w:r>
      <w:bookmarkEnd w:id="40"/>
      <w:bookmarkEnd w:id="41"/>
      <w:r>
        <w:rPr>
          <w:rFonts w:eastAsia="仿宋"/>
          <w:sz w:val="32"/>
          <w:szCs w:val="32"/>
        </w:rPr>
        <w:t>；政府性基金预算财政拨款收入0万元，占0%；国有资本经营预算财政拨款收入0万元，占0%；上级补助收入0万元，占0%；事业收入0万元，占0%；经营收入0万元，占0%；附属单位上缴收入0万元，占0%；其他收入0万元，占0%。</w:t>
      </w:r>
    </w:p>
    <w:p>
      <w:pPr>
        <w:spacing w:line="600" w:lineRule="exact"/>
        <w:ind w:firstLine="640" w:firstLineChars="200"/>
        <w:outlineLvl w:val="1"/>
        <w:rPr>
          <w:rFonts w:eastAsia="仿宋_GB2312"/>
          <w:sz w:val="32"/>
          <w:szCs w:val="32"/>
        </w:rPr>
      </w:pPr>
    </w:p>
    <w:p>
      <w:pPr>
        <w:spacing w:line="600" w:lineRule="exact"/>
        <w:ind w:firstLine="640" w:firstLineChars="200"/>
        <w:jc w:val="center"/>
        <w:rPr>
          <w:rFonts w:eastAsia="仿宋"/>
          <w:sz w:val="32"/>
          <w:szCs w:val="32"/>
        </w:rPr>
      </w:pPr>
    </w:p>
    <w:p>
      <w:pPr>
        <w:spacing w:line="600" w:lineRule="exact"/>
        <w:ind w:firstLine="420" w:firstLineChars="200"/>
        <w:jc w:val="center"/>
        <w:rPr>
          <w:rFonts w:eastAsia="仿宋"/>
          <w:sz w:val="32"/>
          <w:szCs w:val="32"/>
        </w:rPr>
      </w:pPr>
      <w:r>
        <w:drawing>
          <wp:anchor distT="0" distB="0" distL="114300" distR="114300" simplePos="0" relativeHeight="251660288" behindDoc="0" locked="0" layoutInCell="1" allowOverlap="1">
            <wp:simplePos x="0" y="0"/>
            <wp:positionH relativeFrom="column">
              <wp:posOffset>521970</wp:posOffset>
            </wp:positionH>
            <wp:positionV relativeFrom="paragraph">
              <wp:posOffset>124460</wp:posOffset>
            </wp:positionV>
            <wp:extent cx="4114800" cy="2410460"/>
            <wp:effectExtent l="5080" t="4445" r="13970" b="23495"/>
            <wp:wrapNone/>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jc w:val="center"/>
        <w:rPr>
          <w:rFonts w:eastAsia="仿宋"/>
          <w:sz w:val="32"/>
          <w:szCs w:val="32"/>
        </w:rPr>
      </w:pPr>
    </w:p>
    <w:p>
      <w:pPr>
        <w:spacing w:line="600" w:lineRule="exact"/>
        <w:ind w:firstLine="640" w:firstLineChars="200"/>
        <w:jc w:val="center"/>
        <w:rPr>
          <w:rFonts w:eastAsia="仿宋"/>
          <w:sz w:val="32"/>
          <w:szCs w:val="32"/>
        </w:rPr>
      </w:pPr>
    </w:p>
    <w:p>
      <w:pPr>
        <w:spacing w:line="600" w:lineRule="exact"/>
        <w:ind w:firstLine="640" w:firstLineChars="200"/>
        <w:jc w:val="center"/>
        <w:rPr>
          <w:rFonts w:eastAsia="仿宋"/>
          <w:sz w:val="32"/>
          <w:szCs w:val="32"/>
        </w:rPr>
      </w:pPr>
    </w:p>
    <w:p>
      <w:pPr>
        <w:spacing w:line="600" w:lineRule="exact"/>
        <w:ind w:firstLine="640" w:firstLineChars="200"/>
        <w:jc w:val="center"/>
        <w:rPr>
          <w:rFonts w:eastAsia="仿宋"/>
          <w:sz w:val="32"/>
          <w:szCs w:val="32"/>
        </w:rPr>
      </w:pPr>
    </w:p>
    <w:p>
      <w:pPr>
        <w:spacing w:line="600" w:lineRule="exact"/>
        <w:ind w:firstLine="640" w:firstLineChars="200"/>
        <w:jc w:val="center"/>
        <w:rPr>
          <w:rFonts w:eastAsia="仿宋"/>
          <w:sz w:val="32"/>
          <w:szCs w:val="32"/>
        </w:rPr>
      </w:pPr>
    </w:p>
    <w:p>
      <w:pPr>
        <w:spacing w:line="600" w:lineRule="exact"/>
        <w:ind w:firstLine="640" w:firstLineChars="200"/>
        <w:jc w:val="center"/>
        <w:rPr>
          <w:rFonts w:eastAsia="仿宋"/>
          <w:sz w:val="32"/>
          <w:szCs w:val="32"/>
        </w:rPr>
      </w:pPr>
    </w:p>
    <w:p>
      <w:pPr>
        <w:pStyle w:val="32"/>
        <w:numPr>
          <w:ilvl w:val="0"/>
          <w:numId w:val="1"/>
        </w:numPr>
        <w:spacing w:line="600" w:lineRule="exact"/>
        <w:ind w:firstLineChars="0"/>
        <w:outlineLvl w:val="1"/>
        <w:rPr>
          <w:rStyle w:val="34"/>
          <w:rFonts w:ascii="Times New Roman" w:hAnsi="Times New Roman" w:eastAsia="黑体" w:cs="Times New Roman"/>
          <w:b w:val="0"/>
        </w:rPr>
      </w:pPr>
      <w:bookmarkStart w:id="42" w:name="_Toc15377207"/>
      <w:bookmarkStart w:id="43" w:name="_Toc15396605"/>
      <w:bookmarkStart w:id="44" w:name="_Toc13004"/>
      <w:bookmarkStart w:id="45" w:name="_Toc81557903"/>
      <w:r>
        <w:rPr>
          <w:rFonts w:eastAsia="黑体"/>
          <w:sz w:val="32"/>
          <w:szCs w:val="32"/>
        </w:rPr>
        <w:t>支</w:t>
      </w:r>
      <w:r>
        <w:rPr>
          <w:rStyle w:val="34"/>
          <w:rFonts w:ascii="Times New Roman" w:hAnsi="Times New Roman" w:eastAsia="黑体" w:cs="Times New Roman"/>
          <w:b w:val="0"/>
        </w:rPr>
        <w:t>出决算情况说明</w:t>
      </w:r>
      <w:bookmarkEnd w:id="42"/>
      <w:bookmarkEnd w:id="43"/>
      <w:bookmarkEnd w:id="44"/>
      <w:bookmarkEnd w:id="45"/>
    </w:p>
    <w:p>
      <w:pPr>
        <w:spacing w:line="600" w:lineRule="exact"/>
        <w:ind w:firstLine="640" w:firstLineChars="200"/>
        <w:outlineLvl w:val="1"/>
        <w:rPr>
          <w:rFonts w:eastAsia="仿宋_GB2312"/>
          <w:sz w:val="32"/>
          <w:szCs w:val="32"/>
        </w:rPr>
      </w:pPr>
      <w:bookmarkStart w:id="46" w:name="_Toc5030"/>
      <w:bookmarkStart w:id="47" w:name="_Toc81557904"/>
      <w:r>
        <w:rPr>
          <w:rFonts w:eastAsia="仿宋_GB2312"/>
          <w:sz w:val="32"/>
          <w:szCs w:val="32"/>
        </w:rPr>
        <w:t>2021年本年支出合计886.82万元，其中：基本支出850.05万元，占95.85%；项目支出36.77万元，占4.15%。</w:t>
      </w:r>
      <w:bookmarkEnd w:id="46"/>
      <w:bookmarkEnd w:id="47"/>
    </w:p>
    <w:p>
      <w:pPr>
        <w:pStyle w:val="2"/>
        <w:spacing w:before="93"/>
        <w:rPr>
          <w:rFonts w:ascii="Times New Roman"/>
        </w:rPr>
      </w:pPr>
      <w:r>
        <w:rPr>
          <w:rFonts w:ascii="Times New Roman"/>
        </w:rPr>
        <w:drawing>
          <wp:anchor distT="0" distB="0" distL="114300" distR="114300" simplePos="0" relativeHeight="251661312" behindDoc="0" locked="0" layoutInCell="1" allowOverlap="1">
            <wp:simplePos x="0" y="0"/>
            <wp:positionH relativeFrom="column">
              <wp:posOffset>494665</wp:posOffset>
            </wp:positionH>
            <wp:positionV relativeFrom="paragraph">
              <wp:posOffset>280035</wp:posOffset>
            </wp:positionV>
            <wp:extent cx="4572000" cy="2743200"/>
            <wp:effectExtent l="4445" t="4445" r="14605" b="14605"/>
            <wp:wrapNone/>
            <wp:docPr id="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jc w:val="center"/>
        <w:rPr>
          <w:rFonts w:eastAsia="仿宋"/>
          <w:sz w:val="32"/>
          <w:szCs w:val="32"/>
        </w:rPr>
      </w:pPr>
    </w:p>
    <w:p>
      <w:pPr>
        <w:spacing w:line="600" w:lineRule="exact"/>
        <w:ind w:firstLine="640" w:firstLineChars="200"/>
        <w:jc w:val="center"/>
        <w:rPr>
          <w:rFonts w:eastAsia="仿宋"/>
          <w:sz w:val="32"/>
          <w:szCs w:val="32"/>
        </w:rPr>
      </w:pPr>
    </w:p>
    <w:p>
      <w:pPr>
        <w:spacing w:line="600" w:lineRule="exact"/>
        <w:ind w:firstLine="640" w:firstLineChars="200"/>
        <w:jc w:val="center"/>
        <w:rPr>
          <w:rFonts w:eastAsia="仿宋"/>
          <w:sz w:val="32"/>
          <w:szCs w:val="32"/>
        </w:rPr>
      </w:pPr>
    </w:p>
    <w:p>
      <w:pPr>
        <w:spacing w:line="600" w:lineRule="exact"/>
        <w:ind w:firstLine="640" w:firstLineChars="200"/>
        <w:jc w:val="center"/>
        <w:rPr>
          <w:rFonts w:eastAsia="仿宋"/>
          <w:sz w:val="32"/>
          <w:szCs w:val="32"/>
        </w:rPr>
      </w:pPr>
    </w:p>
    <w:p>
      <w:pPr>
        <w:spacing w:line="600" w:lineRule="exact"/>
        <w:ind w:firstLine="640" w:firstLineChars="200"/>
        <w:jc w:val="center"/>
        <w:rPr>
          <w:rFonts w:eastAsia="仿宋"/>
          <w:sz w:val="32"/>
          <w:szCs w:val="32"/>
        </w:rPr>
      </w:pPr>
    </w:p>
    <w:p>
      <w:pPr>
        <w:spacing w:line="600" w:lineRule="exact"/>
        <w:ind w:firstLine="640" w:firstLineChars="200"/>
        <w:jc w:val="center"/>
        <w:rPr>
          <w:rFonts w:eastAsia="仿宋"/>
          <w:sz w:val="32"/>
          <w:szCs w:val="32"/>
        </w:rPr>
      </w:pPr>
    </w:p>
    <w:p>
      <w:pPr>
        <w:spacing w:line="600" w:lineRule="exact"/>
        <w:ind w:firstLine="640" w:firstLineChars="200"/>
        <w:jc w:val="center"/>
        <w:rPr>
          <w:rFonts w:eastAsia="仿宋"/>
          <w:sz w:val="32"/>
          <w:szCs w:val="32"/>
        </w:rPr>
      </w:pPr>
    </w:p>
    <w:p>
      <w:pPr>
        <w:spacing w:line="600" w:lineRule="exact"/>
        <w:ind w:firstLine="640" w:firstLineChars="200"/>
        <w:outlineLvl w:val="1"/>
        <w:rPr>
          <w:rStyle w:val="34"/>
          <w:rFonts w:ascii="Times New Roman" w:hAnsi="Times New Roman" w:eastAsia="黑体" w:cs="Times New Roman"/>
          <w:b w:val="0"/>
        </w:rPr>
      </w:pPr>
      <w:bookmarkStart w:id="48" w:name="_Toc81557905"/>
      <w:bookmarkStart w:id="49" w:name="_Toc5958"/>
      <w:bookmarkStart w:id="50" w:name="_Toc15396606"/>
      <w:bookmarkStart w:id="51" w:name="_Toc15377208"/>
      <w:r>
        <w:rPr>
          <w:rFonts w:eastAsia="黑体"/>
          <w:sz w:val="32"/>
          <w:szCs w:val="32"/>
        </w:rPr>
        <w:t>四、财</w:t>
      </w:r>
      <w:r>
        <w:rPr>
          <w:rStyle w:val="34"/>
          <w:rFonts w:ascii="Times New Roman" w:hAnsi="Times New Roman" w:eastAsia="黑体" w:cs="Times New Roman"/>
          <w:b w:val="0"/>
        </w:rPr>
        <w:t>政拨款收入支出决算总体情况说明</w:t>
      </w:r>
      <w:bookmarkEnd w:id="48"/>
      <w:bookmarkEnd w:id="49"/>
      <w:bookmarkEnd w:id="50"/>
      <w:bookmarkEnd w:id="51"/>
    </w:p>
    <w:p>
      <w:pPr>
        <w:spacing w:line="600" w:lineRule="exact"/>
        <w:ind w:firstLine="640"/>
        <w:rPr>
          <w:rFonts w:eastAsia="仿宋_GB2312"/>
          <w:sz w:val="32"/>
          <w:szCs w:val="32"/>
        </w:rPr>
      </w:pPr>
      <w:r>
        <w:rPr>
          <w:rFonts w:eastAsia="仿宋_GB2312"/>
          <w:sz w:val="32"/>
          <w:szCs w:val="32"/>
        </w:rPr>
        <w:t>2021年财政拨款收、支总计886.82万元。与2020年相比，财政拨款收、支总计各增加194.5</w:t>
      </w:r>
      <w:r>
        <w:rPr>
          <w:rFonts w:hint="eastAsia" w:eastAsia="仿宋_GB2312"/>
          <w:sz w:val="32"/>
          <w:szCs w:val="32"/>
          <w:lang w:val="en-US" w:eastAsia="zh-CN"/>
        </w:rPr>
        <w:t>0</w:t>
      </w:r>
      <w:r>
        <w:rPr>
          <w:rFonts w:eastAsia="仿宋_GB2312"/>
          <w:sz w:val="32"/>
          <w:szCs w:val="32"/>
        </w:rPr>
        <w:t>万元，增长28.09%。主要变动原因是我局人员经费增加。</w:t>
      </w:r>
    </w:p>
    <w:p>
      <w:pPr>
        <w:pStyle w:val="2"/>
        <w:spacing w:before="93" w:line="600" w:lineRule="exact"/>
        <w:jc w:val="center"/>
        <w:rPr>
          <w:rFonts w:ascii="Times New Roman"/>
        </w:rPr>
      </w:pPr>
      <w:r>
        <w:rPr>
          <w:rFonts w:ascii="Times New Roman"/>
        </w:rPr>
        <w:drawing>
          <wp:anchor distT="0" distB="0" distL="114300" distR="114300" simplePos="0" relativeHeight="251662336" behindDoc="0" locked="0" layoutInCell="1" allowOverlap="1">
            <wp:simplePos x="0" y="0"/>
            <wp:positionH relativeFrom="column">
              <wp:posOffset>319405</wp:posOffset>
            </wp:positionH>
            <wp:positionV relativeFrom="paragraph">
              <wp:posOffset>245745</wp:posOffset>
            </wp:positionV>
            <wp:extent cx="4324985" cy="2441575"/>
            <wp:effectExtent l="4445" t="4445" r="13970" b="11430"/>
            <wp:wrapNone/>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2"/>
        <w:spacing w:before="93" w:line="600" w:lineRule="exact"/>
        <w:jc w:val="center"/>
        <w:rPr>
          <w:rFonts w:ascii="Times New Roman"/>
        </w:rPr>
      </w:pPr>
    </w:p>
    <w:p>
      <w:pPr>
        <w:pStyle w:val="2"/>
        <w:spacing w:before="93" w:line="600" w:lineRule="exact"/>
        <w:jc w:val="center"/>
        <w:rPr>
          <w:rFonts w:ascii="Times New Roman"/>
        </w:rPr>
      </w:pPr>
    </w:p>
    <w:p>
      <w:pPr>
        <w:pStyle w:val="2"/>
        <w:spacing w:before="93" w:line="600" w:lineRule="exact"/>
        <w:jc w:val="center"/>
        <w:rPr>
          <w:rFonts w:ascii="Times New Roman"/>
        </w:rPr>
      </w:pPr>
    </w:p>
    <w:p>
      <w:pPr>
        <w:pStyle w:val="2"/>
        <w:spacing w:before="93" w:line="600" w:lineRule="exact"/>
        <w:jc w:val="center"/>
        <w:rPr>
          <w:rFonts w:ascii="Times New Roman"/>
        </w:rPr>
      </w:pPr>
    </w:p>
    <w:p>
      <w:pPr>
        <w:pStyle w:val="2"/>
        <w:spacing w:before="93" w:line="600" w:lineRule="exact"/>
        <w:jc w:val="center"/>
        <w:rPr>
          <w:rFonts w:ascii="Times New Roman"/>
        </w:rPr>
      </w:pPr>
    </w:p>
    <w:p>
      <w:pPr>
        <w:spacing w:line="600" w:lineRule="exact"/>
        <w:ind w:firstLine="640" w:firstLineChars="200"/>
        <w:outlineLvl w:val="1"/>
        <w:rPr>
          <w:rStyle w:val="34"/>
          <w:rFonts w:ascii="Times New Roman" w:hAnsi="Times New Roman" w:eastAsia="黑体" w:cs="Times New Roman"/>
          <w:b w:val="0"/>
        </w:rPr>
      </w:pPr>
      <w:bookmarkStart w:id="52" w:name="_Toc15396607"/>
      <w:bookmarkStart w:id="53" w:name="_Toc26316"/>
      <w:bookmarkStart w:id="54" w:name="_Toc15377209"/>
      <w:bookmarkStart w:id="55" w:name="_Toc81557906"/>
      <w:r>
        <w:rPr>
          <w:rFonts w:eastAsia="黑体"/>
          <w:sz w:val="32"/>
          <w:szCs w:val="32"/>
        </w:rPr>
        <w:t>五、</w:t>
      </w:r>
      <w:r>
        <w:rPr>
          <w:rFonts w:eastAsia="黑体"/>
          <w:b/>
          <w:sz w:val="32"/>
          <w:szCs w:val="32"/>
        </w:rPr>
        <w:t>一</w:t>
      </w:r>
      <w:r>
        <w:rPr>
          <w:rStyle w:val="34"/>
          <w:rFonts w:ascii="Times New Roman" w:hAnsi="Times New Roman" w:eastAsia="黑体" w:cs="Times New Roman"/>
          <w:b w:val="0"/>
        </w:rPr>
        <w:t>般公共预算财政拨款支出决算情况说明</w:t>
      </w:r>
      <w:bookmarkEnd w:id="52"/>
      <w:bookmarkEnd w:id="53"/>
      <w:bookmarkEnd w:id="54"/>
      <w:bookmarkEnd w:id="55"/>
    </w:p>
    <w:p>
      <w:pPr>
        <w:spacing w:line="600" w:lineRule="exact"/>
        <w:ind w:firstLine="643" w:firstLineChars="200"/>
        <w:outlineLvl w:val="2"/>
        <w:rPr>
          <w:rFonts w:eastAsia="楷体_GB2312"/>
          <w:b/>
          <w:sz w:val="32"/>
          <w:szCs w:val="32"/>
        </w:rPr>
      </w:pPr>
      <w:bookmarkStart w:id="56" w:name="_Toc16955"/>
      <w:bookmarkStart w:id="57" w:name="_Toc81557907"/>
      <w:bookmarkStart w:id="58" w:name="_Toc15377210"/>
      <w:r>
        <w:rPr>
          <w:rFonts w:eastAsia="楷体_GB2312"/>
          <w:b/>
          <w:sz w:val="32"/>
          <w:szCs w:val="32"/>
        </w:rPr>
        <w:t>（一）一般公共预算财政拨款支出决算总体情况</w:t>
      </w:r>
      <w:bookmarkEnd w:id="56"/>
      <w:bookmarkEnd w:id="57"/>
      <w:bookmarkEnd w:id="58"/>
    </w:p>
    <w:p>
      <w:pPr>
        <w:spacing w:before="93" w:line="600" w:lineRule="exact"/>
        <w:ind w:firstLine="640" w:firstLineChars="200"/>
        <w:rPr>
          <w:rFonts w:eastAsia="仿宋_GB2312"/>
        </w:rPr>
      </w:pPr>
      <w:r>
        <w:rPr>
          <w:rFonts w:eastAsia="仿宋_GB2312"/>
          <w:sz w:val="32"/>
          <w:szCs w:val="32"/>
        </w:rPr>
        <w:t>2021年一般公共预算财政拨款支出886.82万元，占本年支出合计的100%。与2020年相比，一般公共预算财政拨款增加194.50万元，增长28.09%。主要变动原因是人员经费增加。</w:t>
      </w:r>
    </w:p>
    <w:p>
      <w:pPr>
        <w:pStyle w:val="2"/>
        <w:spacing w:before="93"/>
        <w:rPr>
          <w:rFonts w:ascii="Times New Roman"/>
        </w:rPr>
      </w:pPr>
      <w:r>
        <w:rPr>
          <w:rFonts w:ascii="Times New Roman"/>
        </w:rPr>
        <w:drawing>
          <wp:anchor distT="0" distB="0" distL="114300" distR="114300" simplePos="0" relativeHeight="251664384" behindDoc="0" locked="0" layoutInCell="1" allowOverlap="1">
            <wp:simplePos x="0" y="0"/>
            <wp:positionH relativeFrom="column">
              <wp:posOffset>292100</wp:posOffset>
            </wp:positionH>
            <wp:positionV relativeFrom="paragraph">
              <wp:posOffset>201295</wp:posOffset>
            </wp:positionV>
            <wp:extent cx="4705350" cy="2292350"/>
            <wp:effectExtent l="4445" t="4445" r="14605" b="8255"/>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2"/>
        <w:spacing w:before="93"/>
        <w:rPr>
          <w:rFonts w:ascii="Times New Roman"/>
        </w:rPr>
      </w:pPr>
    </w:p>
    <w:p>
      <w:pPr>
        <w:pStyle w:val="2"/>
        <w:spacing w:before="93"/>
        <w:rPr>
          <w:rFonts w:ascii="Times New Roman"/>
        </w:rPr>
      </w:pPr>
    </w:p>
    <w:p>
      <w:pPr>
        <w:pStyle w:val="2"/>
        <w:spacing w:before="93"/>
        <w:rPr>
          <w:rFonts w:ascii="Times New Roman"/>
        </w:rPr>
      </w:pPr>
    </w:p>
    <w:p>
      <w:pPr>
        <w:pStyle w:val="2"/>
        <w:spacing w:before="93"/>
        <w:rPr>
          <w:rFonts w:ascii="Times New Roman"/>
        </w:rPr>
      </w:pPr>
    </w:p>
    <w:p>
      <w:pPr>
        <w:pStyle w:val="2"/>
        <w:spacing w:before="93"/>
        <w:rPr>
          <w:rFonts w:ascii="Times New Roman"/>
        </w:rPr>
      </w:pPr>
    </w:p>
    <w:p>
      <w:pPr>
        <w:pStyle w:val="2"/>
        <w:spacing w:before="93" w:line="600" w:lineRule="exact"/>
        <w:ind w:firstLine="640" w:firstLineChars="200"/>
        <w:jc w:val="center"/>
        <w:rPr>
          <w:rFonts w:ascii="Times New Roman" w:eastAsia="仿宋"/>
          <w:sz w:val="32"/>
          <w:szCs w:val="32"/>
        </w:rPr>
      </w:pPr>
    </w:p>
    <w:p>
      <w:pPr>
        <w:pStyle w:val="2"/>
        <w:spacing w:before="93" w:line="600" w:lineRule="exact"/>
        <w:ind w:firstLine="640" w:firstLineChars="200"/>
        <w:jc w:val="center"/>
        <w:rPr>
          <w:rFonts w:ascii="Times New Roman" w:eastAsia="仿宋"/>
          <w:sz w:val="32"/>
          <w:szCs w:val="32"/>
        </w:rPr>
      </w:pPr>
    </w:p>
    <w:p>
      <w:pPr>
        <w:pStyle w:val="2"/>
        <w:spacing w:before="93" w:line="600" w:lineRule="exact"/>
        <w:rPr>
          <w:rFonts w:ascii="Times New Roman" w:eastAsia="仿宋"/>
          <w:sz w:val="32"/>
          <w:szCs w:val="32"/>
        </w:rPr>
      </w:pPr>
    </w:p>
    <w:p>
      <w:pPr>
        <w:spacing w:line="560" w:lineRule="exact"/>
        <w:ind w:firstLine="643" w:firstLineChars="200"/>
        <w:outlineLvl w:val="2"/>
        <w:rPr>
          <w:rFonts w:eastAsia="楷体_GB2312"/>
          <w:b/>
          <w:sz w:val="32"/>
          <w:szCs w:val="32"/>
        </w:rPr>
      </w:pPr>
      <w:bookmarkStart w:id="59" w:name="_Toc1624"/>
      <w:bookmarkStart w:id="60" w:name="_Toc15377211"/>
      <w:bookmarkStart w:id="61" w:name="_Toc81557908"/>
      <w:r>
        <w:rPr>
          <w:rFonts w:eastAsia="楷体_GB2312"/>
          <w:b/>
          <w:sz w:val="32"/>
          <w:szCs w:val="32"/>
        </w:rPr>
        <w:t>（二）一般公共预算财政拨款支出决算结构情况</w:t>
      </w:r>
      <w:bookmarkEnd w:id="59"/>
      <w:bookmarkEnd w:id="60"/>
      <w:bookmarkEnd w:id="61"/>
    </w:p>
    <w:p>
      <w:pPr>
        <w:spacing w:line="560" w:lineRule="exact"/>
        <w:ind w:firstLine="640"/>
        <w:rPr>
          <w:rFonts w:eastAsia="仿宋_GB2312"/>
          <w:sz w:val="32"/>
          <w:szCs w:val="32"/>
        </w:rPr>
      </w:pPr>
      <w:r>
        <w:rPr>
          <w:rFonts w:eastAsia="仿宋_GB2312"/>
          <w:sz w:val="32"/>
          <w:szCs w:val="32"/>
        </w:rPr>
        <w:t>2021年一般公共预算财政拨款支出886.82万元，主要用于以下方面：</w:t>
      </w:r>
      <w:r>
        <w:rPr>
          <w:rFonts w:eastAsia="仿宋_GB2312"/>
          <w:b/>
          <w:sz w:val="32"/>
          <w:szCs w:val="32"/>
        </w:rPr>
        <w:t>一般公共服务（类）</w:t>
      </w:r>
      <w:r>
        <w:rPr>
          <w:rFonts w:eastAsia="仿宋_GB2312"/>
          <w:sz w:val="32"/>
          <w:szCs w:val="32"/>
        </w:rPr>
        <w:t>支出607.97万元，占68.56%；</w:t>
      </w:r>
      <w:r>
        <w:rPr>
          <w:rFonts w:eastAsia="仿宋_GB2312"/>
          <w:b/>
          <w:sz w:val="32"/>
          <w:szCs w:val="32"/>
        </w:rPr>
        <w:t>教育支出（类）</w:t>
      </w:r>
      <w:r>
        <w:rPr>
          <w:rFonts w:hint="eastAsia" w:eastAsia="仿宋_GB2312"/>
          <w:sz w:val="32"/>
          <w:szCs w:val="32"/>
          <w:lang w:eastAsia="zh-CN"/>
        </w:rPr>
        <w:t>支出</w:t>
      </w:r>
      <w:r>
        <w:rPr>
          <w:rFonts w:eastAsia="仿宋_GB2312"/>
          <w:sz w:val="32"/>
          <w:szCs w:val="32"/>
        </w:rPr>
        <w:t>12.67万元，占1.43%；</w:t>
      </w:r>
      <w:r>
        <w:rPr>
          <w:rFonts w:eastAsia="仿宋_GB2312"/>
          <w:b/>
          <w:sz w:val="32"/>
          <w:szCs w:val="32"/>
        </w:rPr>
        <w:t>社会保障和就业（类）</w:t>
      </w:r>
      <w:r>
        <w:rPr>
          <w:rFonts w:eastAsia="仿宋_GB2312"/>
          <w:sz w:val="32"/>
          <w:szCs w:val="32"/>
        </w:rPr>
        <w:t>支出145.</w:t>
      </w:r>
      <w:r>
        <w:rPr>
          <w:rFonts w:hint="eastAsia" w:eastAsia="仿宋_GB2312"/>
          <w:sz w:val="32"/>
          <w:szCs w:val="32"/>
        </w:rPr>
        <w:t>0</w:t>
      </w:r>
      <w:r>
        <w:rPr>
          <w:rFonts w:eastAsia="仿宋_GB2312"/>
          <w:sz w:val="32"/>
          <w:szCs w:val="32"/>
        </w:rPr>
        <w:t>7万元，占16.36%；</w:t>
      </w:r>
      <w:r>
        <w:rPr>
          <w:rFonts w:eastAsia="仿宋_GB2312"/>
          <w:b/>
          <w:bCs/>
          <w:sz w:val="32"/>
          <w:szCs w:val="32"/>
        </w:rPr>
        <w:t>卫生健康</w:t>
      </w:r>
      <w:r>
        <w:rPr>
          <w:rFonts w:hint="eastAsia" w:eastAsia="仿宋_GB2312"/>
          <w:b/>
          <w:bCs/>
          <w:sz w:val="32"/>
          <w:szCs w:val="32"/>
          <w:lang w:eastAsia="zh-CN"/>
        </w:rPr>
        <w:t>（类）</w:t>
      </w:r>
      <w:r>
        <w:rPr>
          <w:rFonts w:hint="eastAsia" w:eastAsia="仿宋_GB2312"/>
          <w:sz w:val="32"/>
          <w:szCs w:val="32"/>
          <w:lang w:eastAsia="zh-CN"/>
        </w:rPr>
        <w:t>支出</w:t>
      </w:r>
      <w:r>
        <w:rPr>
          <w:rFonts w:eastAsia="仿宋_GB2312"/>
          <w:sz w:val="32"/>
          <w:szCs w:val="32"/>
        </w:rPr>
        <w:t>49.69万元，占5.60%；</w:t>
      </w:r>
      <w:r>
        <w:rPr>
          <w:rFonts w:eastAsia="仿宋_GB2312"/>
          <w:b/>
          <w:sz w:val="32"/>
          <w:szCs w:val="32"/>
        </w:rPr>
        <w:t>住房保障</w:t>
      </w:r>
      <w:r>
        <w:rPr>
          <w:rFonts w:hint="eastAsia" w:eastAsia="仿宋_GB2312"/>
          <w:b/>
          <w:sz w:val="32"/>
          <w:szCs w:val="32"/>
          <w:lang w:eastAsia="zh-CN"/>
        </w:rPr>
        <w:t>（类）</w:t>
      </w:r>
      <w:r>
        <w:rPr>
          <w:rFonts w:eastAsia="仿宋_GB2312"/>
          <w:sz w:val="32"/>
          <w:szCs w:val="32"/>
        </w:rPr>
        <w:t>支出71.42万元，占8.05%。</w:t>
      </w:r>
    </w:p>
    <w:p>
      <w:pPr>
        <w:pStyle w:val="2"/>
        <w:spacing w:beforeLines="0" w:line="560" w:lineRule="exact"/>
        <w:rPr>
          <w:rFonts w:ascii="Times New Roman"/>
        </w:rPr>
      </w:pPr>
      <w:r>
        <w:rPr>
          <w:rFonts w:ascii="Times New Roman"/>
        </w:rPr>
        <w:drawing>
          <wp:anchor distT="0" distB="0" distL="114300" distR="114300" simplePos="0" relativeHeight="251665408" behindDoc="0" locked="0" layoutInCell="1" allowOverlap="1">
            <wp:simplePos x="0" y="0"/>
            <wp:positionH relativeFrom="column">
              <wp:posOffset>276225</wp:posOffset>
            </wp:positionH>
            <wp:positionV relativeFrom="paragraph">
              <wp:posOffset>262255</wp:posOffset>
            </wp:positionV>
            <wp:extent cx="4572000" cy="2743200"/>
            <wp:effectExtent l="4445" t="4445" r="14605" b="14605"/>
            <wp:wrapNone/>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eastAsia="仿宋"/>
          <w:sz w:val="32"/>
          <w:szCs w:val="32"/>
        </w:rPr>
      </w:pPr>
    </w:p>
    <w:p>
      <w:pPr>
        <w:spacing w:line="600" w:lineRule="exact"/>
        <w:ind w:firstLine="640" w:firstLineChars="200"/>
        <w:rPr>
          <w:rFonts w:eastAsia="仿宋"/>
          <w:sz w:val="32"/>
          <w:szCs w:val="32"/>
        </w:rPr>
      </w:pPr>
    </w:p>
    <w:p>
      <w:pPr>
        <w:spacing w:line="600" w:lineRule="exact"/>
        <w:ind w:firstLine="640" w:firstLineChars="200"/>
        <w:rPr>
          <w:rFonts w:eastAsia="仿宋"/>
          <w:sz w:val="32"/>
          <w:szCs w:val="32"/>
        </w:rPr>
      </w:pPr>
    </w:p>
    <w:p>
      <w:pPr>
        <w:spacing w:line="600" w:lineRule="exact"/>
        <w:ind w:firstLine="640" w:firstLineChars="200"/>
        <w:rPr>
          <w:rFonts w:eastAsia="仿宋"/>
          <w:sz w:val="32"/>
          <w:szCs w:val="32"/>
        </w:rPr>
      </w:pPr>
    </w:p>
    <w:p>
      <w:pPr>
        <w:spacing w:line="600" w:lineRule="exact"/>
        <w:ind w:firstLine="640" w:firstLineChars="200"/>
        <w:rPr>
          <w:rFonts w:eastAsia="仿宋"/>
          <w:sz w:val="32"/>
          <w:szCs w:val="32"/>
        </w:rPr>
      </w:pPr>
    </w:p>
    <w:p>
      <w:pPr>
        <w:spacing w:line="600" w:lineRule="exact"/>
        <w:rPr>
          <w:rFonts w:eastAsia="仿宋"/>
          <w:sz w:val="32"/>
          <w:szCs w:val="32"/>
        </w:rPr>
      </w:pPr>
    </w:p>
    <w:p>
      <w:pPr>
        <w:spacing w:line="600" w:lineRule="exact"/>
        <w:ind w:firstLine="640" w:firstLineChars="200"/>
        <w:rPr>
          <w:rFonts w:eastAsia="仿宋"/>
          <w:sz w:val="32"/>
          <w:szCs w:val="32"/>
        </w:rPr>
      </w:pPr>
    </w:p>
    <w:p>
      <w:pPr>
        <w:spacing w:line="600" w:lineRule="exact"/>
        <w:ind w:firstLine="643" w:firstLineChars="200"/>
        <w:outlineLvl w:val="2"/>
        <w:rPr>
          <w:rFonts w:eastAsia="楷体_GB2312"/>
          <w:b/>
          <w:sz w:val="32"/>
          <w:szCs w:val="32"/>
        </w:rPr>
      </w:pPr>
      <w:bookmarkStart w:id="62" w:name="_Toc22903"/>
      <w:bookmarkStart w:id="63" w:name="_Toc15377212"/>
      <w:bookmarkStart w:id="64" w:name="_Toc81557909"/>
      <w:r>
        <w:rPr>
          <w:rFonts w:eastAsia="楷体_GB2312"/>
          <w:b/>
          <w:sz w:val="32"/>
          <w:szCs w:val="32"/>
        </w:rPr>
        <w:t>（三）一般公共预算财政拨款支出决算具体情况</w:t>
      </w:r>
      <w:bookmarkEnd w:id="62"/>
      <w:bookmarkEnd w:id="63"/>
      <w:bookmarkEnd w:id="64"/>
    </w:p>
    <w:p>
      <w:pPr>
        <w:spacing w:line="600" w:lineRule="exact"/>
        <w:ind w:firstLine="643" w:firstLineChars="200"/>
        <w:outlineLvl w:val="2"/>
        <w:rPr>
          <w:rFonts w:eastAsia="仿宋_GB2312"/>
          <w:sz w:val="32"/>
          <w:szCs w:val="32"/>
        </w:rPr>
      </w:pPr>
      <w:bookmarkStart w:id="65" w:name="_Toc15378460"/>
      <w:bookmarkStart w:id="66" w:name="_Toc15377213"/>
      <w:bookmarkStart w:id="67" w:name="_Toc15377444"/>
      <w:bookmarkStart w:id="68" w:name="_Toc22952"/>
      <w:bookmarkStart w:id="69" w:name="_Toc81557910"/>
      <w:r>
        <w:rPr>
          <w:rFonts w:eastAsia="仿宋_GB2312"/>
          <w:b/>
          <w:sz w:val="32"/>
          <w:szCs w:val="32"/>
        </w:rPr>
        <w:t>2021年一般公共预算支出决算数为886.82</w:t>
      </w:r>
      <w:r>
        <w:rPr>
          <w:rFonts w:hint="eastAsia" w:eastAsia="仿宋_GB2312"/>
          <w:b/>
          <w:sz w:val="32"/>
          <w:szCs w:val="32"/>
        </w:rPr>
        <w:t>万元</w:t>
      </w:r>
      <w:r>
        <w:rPr>
          <w:rFonts w:eastAsia="仿宋_GB2312"/>
          <w:sz w:val="32"/>
          <w:szCs w:val="32"/>
        </w:rPr>
        <w:t>，</w:t>
      </w:r>
      <w:r>
        <w:rPr>
          <w:rStyle w:val="22"/>
          <w:rFonts w:eastAsia="仿宋_GB2312"/>
          <w:bCs/>
          <w:sz w:val="32"/>
          <w:szCs w:val="32"/>
        </w:rPr>
        <w:t>完成预算100%。其中：</w:t>
      </w:r>
      <w:bookmarkEnd w:id="65"/>
      <w:bookmarkEnd w:id="66"/>
      <w:bookmarkEnd w:id="67"/>
      <w:bookmarkEnd w:id="68"/>
      <w:bookmarkEnd w:id="69"/>
    </w:p>
    <w:p>
      <w:pPr>
        <w:spacing w:line="600" w:lineRule="exact"/>
        <w:ind w:firstLine="643" w:firstLineChars="200"/>
        <w:rPr>
          <w:rStyle w:val="22"/>
          <w:rFonts w:eastAsia="仿宋_GB2312"/>
          <w:b w:val="0"/>
          <w:bCs/>
          <w:sz w:val="32"/>
          <w:szCs w:val="32"/>
        </w:rPr>
      </w:pPr>
      <w:r>
        <w:rPr>
          <w:rStyle w:val="22"/>
          <w:rFonts w:eastAsia="仿宋_GB2312"/>
          <w:bCs/>
          <w:sz w:val="32"/>
          <w:szCs w:val="32"/>
        </w:rPr>
        <w:t>1.一般公共服务（类）发展与改革事务（款）行政运行（项）:</w:t>
      </w:r>
      <w:r>
        <w:rPr>
          <w:rStyle w:val="22"/>
          <w:rFonts w:eastAsia="仿宋_GB2312"/>
          <w:b w:val="0"/>
          <w:bCs/>
          <w:sz w:val="32"/>
          <w:szCs w:val="32"/>
        </w:rPr>
        <w:t>支出决算为527.31万元，完成预算100%</w:t>
      </w:r>
      <w:r>
        <w:rPr>
          <w:rStyle w:val="22"/>
          <w:rFonts w:hint="eastAsia" w:eastAsia="仿宋_GB2312"/>
          <w:b w:val="0"/>
          <w:bCs/>
          <w:sz w:val="32"/>
          <w:szCs w:val="32"/>
        </w:rPr>
        <w:t>，</w:t>
      </w:r>
      <w:r>
        <w:rPr>
          <w:rStyle w:val="22"/>
          <w:rFonts w:hint="eastAsia" w:ascii="仿宋" w:hAnsi="仿宋" w:eastAsia="仿宋"/>
          <w:b w:val="0"/>
          <w:bCs/>
          <w:sz w:val="32"/>
          <w:szCs w:val="32"/>
        </w:rPr>
        <w:t>决算数等于预算数</w:t>
      </w:r>
      <w:r>
        <w:rPr>
          <w:rStyle w:val="22"/>
          <w:rFonts w:eastAsia="仿宋_GB2312"/>
          <w:b w:val="0"/>
          <w:bCs/>
          <w:sz w:val="32"/>
          <w:szCs w:val="32"/>
        </w:rPr>
        <w:t>。</w:t>
      </w:r>
    </w:p>
    <w:p>
      <w:pPr>
        <w:spacing w:line="600" w:lineRule="exact"/>
        <w:ind w:firstLine="643" w:firstLineChars="200"/>
        <w:rPr>
          <w:rStyle w:val="22"/>
          <w:rFonts w:eastAsia="仿宋_GB2312"/>
          <w:b w:val="0"/>
          <w:bCs/>
          <w:sz w:val="32"/>
          <w:szCs w:val="32"/>
        </w:rPr>
      </w:pPr>
      <w:r>
        <w:rPr>
          <w:rStyle w:val="22"/>
          <w:rFonts w:eastAsia="仿宋_GB2312"/>
          <w:bCs/>
          <w:sz w:val="32"/>
          <w:szCs w:val="32"/>
        </w:rPr>
        <w:t>2.一般公共服务（类）发展与改革事务（款）物价管理（项）:</w:t>
      </w:r>
      <w:r>
        <w:rPr>
          <w:rStyle w:val="22"/>
          <w:rFonts w:eastAsia="仿宋_GB2312"/>
          <w:b w:val="0"/>
          <w:bCs/>
          <w:sz w:val="32"/>
          <w:szCs w:val="32"/>
        </w:rPr>
        <w:t>支出决算为64.14万元，完成预算100%</w:t>
      </w:r>
      <w:bookmarkStart w:id="70" w:name="_Hlk81239200"/>
      <w:r>
        <w:rPr>
          <w:rStyle w:val="22"/>
          <w:rFonts w:hint="eastAsia" w:eastAsia="仿宋_GB2312"/>
          <w:b w:val="0"/>
          <w:bCs/>
          <w:sz w:val="32"/>
          <w:szCs w:val="32"/>
        </w:rPr>
        <w:t>，</w:t>
      </w:r>
      <w:r>
        <w:rPr>
          <w:rStyle w:val="22"/>
          <w:rFonts w:hint="eastAsia" w:ascii="仿宋" w:hAnsi="仿宋" w:eastAsia="仿宋"/>
          <w:b w:val="0"/>
          <w:bCs/>
          <w:sz w:val="32"/>
          <w:szCs w:val="32"/>
        </w:rPr>
        <w:t>决算数等于预算数</w:t>
      </w:r>
      <w:r>
        <w:rPr>
          <w:rStyle w:val="22"/>
          <w:rFonts w:eastAsia="仿宋_GB2312"/>
          <w:b w:val="0"/>
          <w:bCs/>
          <w:sz w:val="32"/>
          <w:szCs w:val="32"/>
        </w:rPr>
        <w:t>。</w:t>
      </w:r>
    </w:p>
    <w:p>
      <w:pPr>
        <w:pStyle w:val="2"/>
        <w:spacing w:before="93"/>
        <w:ind w:firstLine="643" w:firstLineChars="200"/>
        <w:rPr>
          <w:rFonts w:ascii="Times New Roman"/>
        </w:rPr>
      </w:pPr>
      <w:r>
        <w:rPr>
          <w:rStyle w:val="22"/>
          <w:rFonts w:ascii="Times New Roman"/>
          <w:bCs/>
          <w:kern w:val="2"/>
          <w:sz w:val="32"/>
          <w:szCs w:val="32"/>
        </w:rPr>
        <w:t>3.一般公共服务（类）发展与改革事务（款）其他发展与改革事务支出（项）:</w:t>
      </w:r>
      <w:r>
        <w:rPr>
          <w:rStyle w:val="22"/>
          <w:rFonts w:ascii="Times New Roman"/>
          <w:b w:val="0"/>
          <w:bCs/>
          <w:sz w:val="32"/>
          <w:szCs w:val="32"/>
        </w:rPr>
        <w:t>支出决算为16.52万元，完成预算100%</w:t>
      </w:r>
      <w:r>
        <w:rPr>
          <w:rStyle w:val="22"/>
          <w:rFonts w:hint="eastAsia"/>
          <w:b w:val="0"/>
          <w:bCs/>
          <w:sz w:val="32"/>
          <w:szCs w:val="32"/>
        </w:rPr>
        <w:t>，</w:t>
      </w:r>
      <w:r>
        <w:rPr>
          <w:rStyle w:val="22"/>
          <w:rFonts w:hint="eastAsia" w:ascii="仿宋" w:hAnsi="仿宋" w:eastAsia="仿宋"/>
          <w:b w:val="0"/>
          <w:bCs/>
          <w:sz w:val="32"/>
          <w:szCs w:val="32"/>
        </w:rPr>
        <w:t>决算数等于预算数</w:t>
      </w:r>
      <w:r>
        <w:rPr>
          <w:rStyle w:val="22"/>
          <w:rFonts w:ascii="Times New Roman"/>
          <w:b w:val="0"/>
          <w:bCs/>
          <w:sz w:val="32"/>
          <w:szCs w:val="32"/>
        </w:rPr>
        <w:t>。</w:t>
      </w:r>
    </w:p>
    <w:bookmarkEnd w:id="70"/>
    <w:p>
      <w:pPr>
        <w:spacing w:line="600" w:lineRule="exact"/>
        <w:ind w:firstLine="643" w:firstLineChars="200"/>
        <w:rPr>
          <w:rFonts w:eastAsia="仿宋_GB2312"/>
          <w:bCs/>
          <w:sz w:val="32"/>
          <w:szCs w:val="32"/>
        </w:rPr>
      </w:pPr>
      <w:r>
        <w:rPr>
          <w:rStyle w:val="22"/>
          <w:rFonts w:eastAsia="仿宋_GB2312"/>
          <w:bCs/>
          <w:sz w:val="32"/>
          <w:szCs w:val="32"/>
        </w:rPr>
        <w:t>4.教育（类）进修及培训（款）培训支出（项）:</w:t>
      </w:r>
      <w:r>
        <w:rPr>
          <w:rStyle w:val="22"/>
          <w:rFonts w:eastAsia="仿宋_GB2312"/>
          <w:b w:val="0"/>
          <w:bCs/>
          <w:sz w:val="32"/>
          <w:szCs w:val="32"/>
        </w:rPr>
        <w:t>支出决算为12.67万元，完成预算100%</w:t>
      </w:r>
      <w:r>
        <w:rPr>
          <w:rStyle w:val="22"/>
          <w:rFonts w:hint="eastAsia" w:eastAsia="仿宋_GB2312"/>
          <w:b w:val="0"/>
          <w:bCs/>
          <w:sz w:val="32"/>
          <w:szCs w:val="32"/>
        </w:rPr>
        <w:t>，</w:t>
      </w:r>
      <w:r>
        <w:rPr>
          <w:rStyle w:val="22"/>
          <w:rFonts w:hint="eastAsia" w:ascii="仿宋" w:hAnsi="仿宋" w:eastAsia="仿宋"/>
          <w:b w:val="0"/>
          <w:bCs/>
          <w:sz w:val="32"/>
          <w:szCs w:val="32"/>
        </w:rPr>
        <w:t>决算数等于预算数</w:t>
      </w:r>
      <w:r>
        <w:rPr>
          <w:rStyle w:val="22"/>
          <w:rFonts w:eastAsia="仿宋_GB2312"/>
          <w:b w:val="0"/>
          <w:bCs/>
          <w:sz w:val="32"/>
          <w:szCs w:val="32"/>
        </w:rPr>
        <w:t>。</w:t>
      </w:r>
    </w:p>
    <w:p>
      <w:pPr>
        <w:spacing w:line="600" w:lineRule="exact"/>
        <w:ind w:firstLine="643" w:firstLineChars="200"/>
        <w:rPr>
          <w:rStyle w:val="22"/>
          <w:rFonts w:eastAsia="仿宋_GB2312"/>
          <w:b w:val="0"/>
          <w:bCs/>
          <w:sz w:val="32"/>
          <w:szCs w:val="32"/>
        </w:rPr>
      </w:pPr>
      <w:r>
        <w:rPr>
          <w:rStyle w:val="22"/>
          <w:rFonts w:eastAsia="仿宋_GB2312"/>
          <w:bCs/>
          <w:sz w:val="32"/>
          <w:szCs w:val="32"/>
        </w:rPr>
        <w:t>5.社会保障和就业（类）行政事业单位养老支出（款）行政单位离退休（项）:</w:t>
      </w:r>
      <w:r>
        <w:rPr>
          <w:rStyle w:val="22"/>
          <w:rFonts w:eastAsia="仿宋_GB2312"/>
          <w:b w:val="0"/>
          <w:bCs/>
          <w:sz w:val="32"/>
          <w:szCs w:val="32"/>
        </w:rPr>
        <w:t>支出决算为103.93万元，完成预算100%</w:t>
      </w:r>
      <w:r>
        <w:rPr>
          <w:rStyle w:val="22"/>
          <w:rFonts w:hint="eastAsia" w:eastAsia="仿宋_GB2312"/>
          <w:b w:val="0"/>
          <w:bCs/>
          <w:sz w:val="32"/>
          <w:szCs w:val="32"/>
        </w:rPr>
        <w:t>，</w:t>
      </w:r>
      <w:r>
        <w:rPr>
          <w:rStyle w:val="22"/>
          <w:rFonts w:hint="eastAsia" w:ascii="仿宋" w:hAnsi="仿宋" w:eastAsia="仿宋"/>
          <w:b w:val="0"/>
          <w:bCs/>
          <w:sz w:val="32"/>
          <w:szCs w:val="32"/>
        </w:rPr>
        <w:t>决算数等于预算数</w:t>
      </w:r>
      <w:r>
        <w:rPr>
          <w:rStyle w:val="22"/>
          <w:rFonts w:eastAsia="仿宋_GB2312"/>
          <w:b w:val="0"/>
          <w:bCs/>
          <w:sz w:val="32"/>
          <w:szCs w:val="32"/>
        </w:rPr>
        <w:t>。</w:t>
      </w:r>
    </w:p>
    <w:p>
      <w:pPr>
        <w:pStyle w:val="2"/>
        <w:spacing w:before="93"/>
        <w:ind w:firstLine="643" w:firstLineChars="200"/>
        <w:rPr>
          <w:rFonts w:ascii="Times New Roman" w:eastAsia="宋体"/>
        </w:rPr>
      </w:pPr>
      <w:r>
        <w:rPr>
          <w:rStyle w:val="22"/>
          <w:rFonts w:ascii="Times New Roman"/>
          <w:bCs/>
          <w:sz w:val="32"/>
          <w:szCs w:val="32"/>
        </w:rPr>
        <w:t>6.社会保障和就业（类）行政事业单位养老支出（款）机关事业单位基本养老保险缴费支出（项）:</w:t>
      </w:r>
      <w:r>
        <w:rPr>
          <w:rStyle w:val="22"/>
          <w:rFonts w:ascii="Times New Roman"/>
          <w:b w:val="0"/>
          <w:bCs/>
          <w:sz w:val="32"/>
          <w:szCs w:val="32"/>
        </w:rPr>
        <w:t>支出决算为41.14万元，完成预算100%</w:t>
      </w:r>
      <w:r>
        <w:rPr>
          <w:rStyle w:val="22"/>
          <w:rFonts w:hint="eastAsia"/>
          <w:b w:val="0"/>
          <w:bCs/>
          <w:sz w:val="32"/>
          <w:szCs w:val="32"/>
        </w:rPr>
        <w:t>，</w:t>
      </w:r>
      <w:r>
        <w:rPr>
          <w:rStyle w:val="22"/>
          <w:rFonts w:hint="eastAsia" w:ascii="仿宋" w:hAnsi="仿宋" w:eastAsia="仿宋"/>
          <w:b w:val="0"/>
          <w:bCs/>
          <w:sz w:val="32"/>
          <w:szCs w:val="32"/>
        </w:rPr>
        <w:t>决算数等于预算数</w:t>
      </w:r>
      <w:r>
        <w:rPr>
          <w:rStyle w:val="22"/>
          <w:rFonts w:ascii="Times New Roman"/>
          <w:b w:val="0"/>
          <w:bCs/>
          <w:sz w:val="32"/>
          <w:szCs w:val="32"/>
        </w:rPr>
        <w:t>。</w:t>
      </w:r>
    </w:p>
    <w:p>
      <w:pPr>
        <w:spacing w:line="600" w:lineRule="exact"/>
        <w:ind w:firstLine="643" w:firstLineChars="200"/>
        <w:rPr>
          <w:rFonts w:eastAsia="仿宋_GB2312"/>
          <w:b/>
          <w:sz w:val="32"/>
          <w:szCs w:val="32"/>
        </w:rPr>
      </w:pPr>
      <w:r>
        <w:rPr>
          <w:rStyle w:val="22"/>
          <w:rFonts w:eastAsia="仿宋_GB2312"/>
          <w:bCs/>
          <w:sz w:val="32"/>
          <w:szCs w:val="32"/>
        </w:rPr>
        <w:t>7.</w:t>
      </w:r>
      <w:r>
        <w:rPr>
          <w:rFonts w:eastAsia="仿宋_GB2312"/>
          <w:b/>
          <w:bCs/>
          <w:sz w:val="32"/>
          <w:szCs w:val="32"/>
        </w:rPr>
        <w:t>卫生健康</w:t>
      </w:r>
      <w:r>
        <w:rPr>
          <w:rStyle w:val="22"/>
          <w:rFonts w:eastAsia="仿宋_GB2312"/>
          <w:bCs/>
          <w:sz w:val="32"/>
          <w:szCs w:val="32"/>
        </w:rPr>
        <w:t>（类）行政事业单位医疗（款）行政单位医疗（项）:</w:t>
      </w:r>
      <w:r>
        <w:rPr>
          <w:rStyle w:val="22"/>
          <w:rFonts w:eastAsia="仿宋_GB2312"/>
          <w:b w:val="0"/>
          <w:bCs/>
          <w:sz w:val="32"/>
          <w:szCs w:val="32"/>
        </w:rPr>
        <w:t>支出决算为38.65万元，完成预算100%</w:t>
      </w:r>
      <w:r>
        <w:rPr>
          <w:rStyle w:val="22"/>
          <w:rFonts w:hint="eastAsia" w:eastAsia="仿宋_GB2312"/>
          <w:b w:val="0"/>
          <w:bCs/>
          <w:sz w:val="32"/>
          <w:szCs w:val="32"/>
        </w:rPr>
        <w:t>，</w:t>
      </w:r>
      <w:r>
        <w:rPr>
          <w:rStyle w:val="22"/>
          <w:rFonts w:hint="eastAsia" w:ascii="仿宋" w:hAnsi="仿宋" w:eastAsia="仿宋"/>
          <w:b w:val="0"/>
          <w:bCs/>
          <w:sz w:val="32"/>
          <w:szCs w:val="32"/>
        </w:rPr>
        <w:t>决算数等于预算数</w:t>
      </w:r>
      <w:r>
        <w:rPr>
          <w:rStyle w:val="22"/>
          <w:rFonts w:eastAsia="仿宋_GB2312"/>
          <w:b w:val="0"/>
          <w:bCs/>
          <w:sz w:val="32"/>
          <w:szCs w:val="32"/>
        </w:rPr>
        <w:t>。</w:t>
      </w:r>
    </w:p>
    <w:p>
      <w:pPr>
        <w:spacing w:line="600" w:lineRule="exact"/>
        <w:ind w:firstLine="643" w:firstLineChars="200"/>
        <w:rPr>
          <w:rFonts w:eastAsia="仿宋_GB2312"/>
          <w:b/>
          <w:sz w:val="32"/>
          <w:szCs w:val="32"/>
        </w:rPr>
      </w:pPr>
      <w:r>
        <w:rPr>
          <w:rStyle w:val="22"/>
          <w:rFonts w:eastAsia="仿宋_GB2312"/>
          <w:bCs/>
          <w:sz w:val="32"/>
          <w:szCs w:val="32"/>
        </w:rPr>
        <w:t>8.</w:t>
      </w:r>
      <w:r>
        <w:rPr>
          <w:rFonts w:eastAsia="仿宋_GB2312"/>
          <w:b/>
          <w:bCs/>
          <w:sz w:val="32"/>
          <w:szCs w:val="32"/>
        </w:rPr>
        <w:t>卫生健康</w:t>
      </w:r>
      <w:r>
        <w:rPr>
          <w:rStyle w:val="22"/>
          <w:rFonts w:eastAsia="仿宋_GB2312"/>
          <w:bCs/>
          <w:sz w:val="32"/>
          <w:szCs w:val="32"/>
        </w:rPr>
        <w:t>（类）行政事业单位医疗（款）公务员医疗补助（项）:</w:t>
      </w:r>
      <w:r>
        <w:rPr>
          <w:rStyle w:val="22"/>
          <w:rFonts w:eastAsia="仿宋_GB2312"/>
          <w:b w:val="0"/>
          <w:bCs/>
          <w:sz w:val="32"/>
          <w:szCs w:val="32"/>
        </w:rPr>
        <w:t>支出决算为11.04万元，完成预算100%</w:t>
      </w:r>
      <w:r>
        <w:rPr>
          <w:rStyle w:val="22"/>
          <w:rFonts w:hint="eastAsia" w:eastAsia="仿宋_GB2312"/>
          <w:b w:val="0"/>
          <w:bCs/>
          <w:sz w:val="32"/>
          <w:szCs w:val="32"/>
        </w:rPr>
        <w:t>，</w:t>
      </w:r>
      <w:r>
        <w:rPr>
          <w:rStyle w:val="22"/>
          <w:rFonts w:hint="eastAsia" w:ascii="仿宋" w:hAnsi="仿宋" w:eastAsia="仿宋"/>
          <w:b w:val="0"/>
          <w:bCs/>
          <w:sz w:val="32"/>
          <w:szCs w:val="32"/>
        </w:rPr>
        <w:t>决算数等于预算数</w:t>
      </w:r>
      <w:r>
        <w:rPr>
          <w:rStyle w:val="22"/>
          <w:rFonts w:eastAsia="仿宋_GB2312"/>
          <w:b w:val="0"/>
          <w:bCs/>
          <w:sz w:val="32"/>
          <w:szCs w:val="32"/>
        </w:rPr>
        <w:t>。</w:t>
      </w:r>
    </w:p>
    <w:p>
      <w:pPr>
        <w:spacing w:line="600" w:lineRule="exact"/>
        <w:ind w:firstLine="643" w:firstLineChars="200"/>
        <w:rPr>
          <w:rFonts w:eastAsia="仿宋_GB2312"/>
          <w:b/>
          <w:sz w:val="32"/>
          <w:szCs w:val="32"/>
        </w:rPr>
      </w:pPr>
      <w:r>
        <w:rPr>
          <w:rStyle w:val="22"/>
          <w:rFonts w:eastAsia="仿宋_GB2312"/>
          <w:bCs/>
          <w:sz w:val="32"/>
          <w:szCs w:val="32"/>
        </w:rPr>
        <w:t>9.</w:t>
      </w:r>
      <w:r>
        <w:rPr>
          <w:rFonts w:eastAsia="仿宋_GB2312"/>
          <w:b/>
          <w:bCs/>
          <w:sz w:val="32"/>
          <w:szCs w:val="32"/>
        </w:rPr>
        <w:t>住房保障</w:t>
      </w:r>
      <w:r>
        <w:rPr>
          <w:rStyle w:val="22"/>
          <w:rFonts w:eastAsia="仿宋_GB2312"/>
          <w:bCs/>
          <w:sz w:val="32"/>
          <w:szCs w:val="32"/>
        </w:rPr>
        <w:t>（类）住房改革支出（款）住房公积金（项）:</w:t>
      </w:r>
      <w:r>
        <w:rPr>
          <w:rStyle w:val="22"/>
          <w:rFonts w:eastAsia="仿宋_GB2312"/>
          <w:b w:val="0"/>
          <w:bCs/>
          <w:sz w:val="32"/>
          <w:szCs w:val="32"/>
        </w:rPr>
        <w:t>支出决算为48.65万元，完成预算100%</w:t>
      </w:r>
      <w:r>
        <w:rPr>
          <w:rStyle w:val="22"/>
          <w:rFonts w:hint="eastAsia" w:eastAsia="仿宋_GB2312"/>
          <w:b w:val="0"/>
          <w:bCs/>
          <w:sz w:val="32"/>
          <w:szCs w:val="32"/>
        </w:rPr>
        <w:t>，</w:t>
      </w:r>
      <w:r>
        <w:rPr>
          <w:rStyle w:val="22"/>
          <w:rFonts w:hint="eastAsia" w:ascii="仿宋" w:hAnsi="仿宋" w:eastAsia="仿宋"/>
          <w:b w:val="0"/>
          <w:bCs/>
          <w:sz w:val="32"/>
          <w:szCs w:val="32"/>
        </w:rPr>
        <w:t>决算数等于预算数</w:t>
      </w:r>
      <w:r>
        <w:rPr>
          <w:rStyle w:val="22"/>
          <w:rFonts w:eastAsia="仿宋_GB2312"/>
          <w:b w:val="0"/>
          <w:bCs/>
          <w:sz w:val="32"/>
          <w:szCs w:val="32"/>
        </w:rPr>
        <w:t>。</w:t>
      </w:r>
    </w:p>
    <w:p>
      <w:pPr>
        <w:spacing w:line="600" w:lineRule="exact"/>
        <w:ind w:firstLine="643" w:firstLineChars="200"/>
        <w:rPr>
          <w:rFonts w:eastAsia="仿宋_GB2312"/>
          <w:b/>
          <w:sz w:val="32"/>
          <w:szCs w:val="32"/>
        </w:rPr>
      </w:pPr>
      <w:r>
        <w:rPr>
          <w:rStyle w:val="22"/>
          <w:rFonts w:eastAsia="仿宋_GB2312"/>
          <w:bCs/>
          <w:sz w:val="32"/>
          <w:szCs w:val="32"/>
        </w:rPr>
        <w:t>10.</w:t>
      </w:r>
      <w:r>
        <w:rPr>
          <w:rFonts w:eastAsia="仿宋_GB2312"/>
          <w:b/>
          <w:bCs/>
          <w:sz w:val="32"/>
          <w:szCs w:val="32"/>
        </w:rPr>
        <w:t>住房保障</w:t>
      </w:r>
      <w:r>
        <w:rPr>
          <w:rStyle w:val="22"/>
          <w:rFonts w:eastAsia="仿宋_GB2312"/>
          <w:bCs/>
          <w:sz w:val="32"/>
          <w:szCs w:val="32"/>
        </w:rPr>
        <w:t>（类）住房改革支出（款）购房补贴（项）:</w:t>
      </w:r>
      <w:r>
        <w:rPr>
          <w:rStyle w:val="22"/>
          <w:rFonts w:eastAsia="仿宋_GB2312"/>
          <w:b w:val="0"/>
          <w:bCs/>
          <w:sz w:val="32"/>
          <w:szCs w:val="32"/>
        </w:rPr>
        <w:t>支出决算为22.77万元，完成预算100%</w:t>
      </w:r>
      <w:r>
        <w:rPr>
          <w:rStyle w:val="22"/>
          <w:rFonts w:hint="eastAsia" w:eastAsia="仿宋_GB2312"/>
          <w:b w:val="0"/>
          <w:bCs/>
          <w:sz w:val="32"/>
          <w:szCs w:val="32"/>
        </w:rPr>
        <w:t>，</w:t>
      </w:r>
      <w:r>
        <w:rPr>
          <w:rStyle w:val="22"/>
          <w:rFonts w:hint="eastAsia" w:ascii="仿宋" w:hAnsi="仿宋" w:eastAsia="仿宋"/>
          <w:b w:val="0"/>
          <w:bCs/>
          <w:sz w:val="32"/>
          <w:szCs w:val="32"/>
        </w:rPr>
        <w:t>决算数等于预算数</w:t>
      </w:r>
      <w:r>
        <w:rPr>
          <w:rStyle w:val="22"/>
          <w:rFonts w:eastAsia="仿宋_GB2312"/>
          <w:b w:val="0"/>
          <w:bCs/>
          <w:sz w:val="32"/>
          <w:szCs w:val="32"/>
        </w:rPr>
        <w:t>。</w:t>
      </w:r>
    </w:p>
    <w:p>
      <w:pPr>
        <w:tabs>
          <w:tab w:val="right" w:pos="8306"/>
        </w:tabs>
        <w:spacing w:line="600" w:lineRule="exact"/>
        <w:ind w:firstLine="640"/>
        <w:outlineLvl w:val="1"/>
        <w:rPr>
          <w:rStyle w:val="34"/>
          <w:rFonts w:ascii="Times New Roman" w:hAnsi="Times New Roman" w:cs="Times New Roman"/>
        </w:rPr>
      </w:pPr>
      <w:bookmarkStart w:id="71" w:name="_Toc81557911"/>
      <w:bookmarkStart w:id="72" w:name="_Toc9364"/>
      <w:bookmarkStart w:id="73" w:name="_Toc15396608"/>
      <w:bookmarkStart w:id="74" w:name="_Toc15377214"/>
      <w:r>
        <w:rPr>
          <w:rFonts w:eastAsia="黑体"/>
          <w:sz w:val="32"/>
          <w:szCs w:val="32"/>
        </w:rPr>
        <w:t>六</w:t>
      </w:r>
      <w:r>
        <w:rPr>
          <w:rFonts w:eastAsia="黑体"/>
          <w:b/>
          <w:sz w:val="32"/>
          <w:szCs w:val="32"/>
        </w:rPr>
        <w:t>、一</w:t>
      </w:r>
      <w:r>
        <w:rPr>
          <w:rStyle w:val="34"/>
          <w:rFonts w:ascii="Times New Roman" w:hAnsi="Times New Roman" w:eastAsia="黑体" w:cs="Times New Roman"/>
          <w:b w:val="0"/>
        </w:rPr>
        <w:t>般公共预算财政拨款基本支出决算情况说明</w:t>
      </w:r>
      <w:bookmarkEnd w:id="71"/>
      <w:bookmarkEnd w:id="72"/>
      <w:bookmarkEnd w:id="73"/>
      <w:bookmarkEnd w:id="74"/>
      <w:r>
        <w:rPr>
          <w:rStyle w:val="34"/>
          <w:rFonts w:ascii="Times New Roman" w:hAnsi="Times New Roman" w:eastAsia="黑体" w:cs="Times New Roman"/>
          <w:b w:val="0"/>
        </w:rPr>
        <w:tab/>
      </w:r>
    </w:p>
    <w:p>
      <w:pPr>
        <w:spacing w:line="600" w:lineRule="exact"/>
        <w:ind w:firstLine="645"/>
        <w:rPr>
          <w:rFonts w:eastAsia="仿宋_GB2312"/>
          <w:sz w:val="32"/>
          <w:szCs w:val="32"/>
        </w:rPr>
      </w:pPr>
      <w:r>
        <w:rPr>
          <w:rFonts w:eastAsia="仿宋_GB2312"/>
          <w:sz w:val="32"/>
          <w:szCs w:val="32"/>
        </w:rPr>
        <w:t>2021年一般公共预算财政拨款基本支出850.05万元，其中：</w:t>
      </w:r>
    </w:p>
    <w:p>
      <w:pPr>
        <w:spacing w:line="600" w:lineRule="exact"/>
        <w:ind w:firstLine="645"/>
        <w:rPr>
          <w:rFonts w:eastAsia="仿宋_GB2312"/>
          <w:b/>
          <w:sz w:val="32"/>
          <w:szCs w:val="32"/>
        </w:rPr>
      </w:pPr>
      <w:r>
        <w:rPr>
          <w:rFonts w:eastAsia="仿宋_GB2312"/>
          <w:sz w:val="32"/>
          <w:szCs w:val="32"/>
        </w:rPr>
        <w:t>人员经费688.55万元，主要包括：基本工资、津贴补贴、奖金、机关事业单位基本养老保险缴费、职工基本医疗保险缴费、公务员医疗补助缴费、住房公积金、其他工资福利支出、退休费、奖励金、其他对个人和家庭的补助支出等。</w:t>
      </w:r>
      <w:r>
        <w:rPr>
          <w:rFonts w:eastAsia="仿宋_GB2312"/>
          <w:sz w:val="32"/>
          <w:szCs w:val="32"/>
        </w:rPr>
        <w:br w:type="textWrapping"/>
      </w:r>
      <w:r>
        <w:rPr>
          <w:rFonts w:eastAsia="仿宋_GB2312"/>
          <w:sz w:val="32"/>
          <w:szCs w:val="32"/>
        </w:rPr>
        <w:t>　　公用经费161.50万元，主要包括：办公费、印刷费、手续费、水费、电费、邮电费、取暖费、物业管理费、差旅费、维修（护）费、会议费、培训费、公务接待费、劳务费、委托业务费、工会经费、福利费、公务用车运行维护费、其他交通费、其他商品和服务支出等。</w:t>
      </w:r>
    </w:p>
    <w:p>
      <w:pPr>
        <w:spacing w:line="600" w:lineRule="exact"/>
        <w:ind w:firstLine="640"/>
        <w:outlineLvl w:val="1"/>
        <w:rPr>
          <w:rStyle w:val="34"/>
          <w:rFonts w:ascii="Times New Roman" w:hAnsi="Times New Roman" w:eastAsia="黑体" w:cs="Times New Roman"/>
          <w:b w:val="0"/>
        </w:rPr>
      </w:pPr>
      <w:bookmarkStart w:id="75" w:name="_Toc30916"/>
      <w:bookmarkStart w:id="76" w:name="_Toc15396609"/>
      <w:bookmarkStart w:id="77" w:name="_Toc15377215"/>
      <w:bookmarkStart w:id="78" w:name="_Toc81557912"/>
      <w:r>
        <w:rPr>
          <w:rFonts w:eastAsia="黑体"/>
          <w:sz w:val="32"/>
          <w:szCs w:val="32"/>
        </w:rPr>
        <w:t>七、</w:t>
      </w:r>
      <w:r>
        <w:rPr>
          <w:rStyle w:val="34"/>
          <w:rFonts w:ascii="Times New Roman" w:hAnsi="Times New Roman" w:eastAsia="黑体" w:cs="Times New Roman"/>
        </w:rPr>
        <w:t>“</w:t>
      </w:r>
      <w:r>
        <w:rPr>
          <w:rStyle w:val="34"/>
          <w:rFonts w:ascii="Times New Roman" w:hAnsi="Times New Roman" w:eastAsia="黑体" w:cs="Times New Roman"/>
          <w:b w:val="0"/>
        </w:rPr>
        <w:t>三公”经费财政拨款支出决算情况说明</w:t>
      </w:r>
      <w:bookmarkEnd w:id="75"/>
      <w:bookmarkEnd w:id="76"/>
      <w:bookmarkEnd w:id="77"/>
      <w:bookmarkEnd w:id="78"/>
    </w:p>
    <w:p>
      <w:pPr>
        <w:spacing w:line="600" w:lineRule="exact"/>
        <w:ind w:firstLine="640"/>
        <w:outlineLvl w:val="2"/>
        <w:rPr>
          <w:rFonts w:eastAsia="楷体_GB2312"/>
          <w:b/>
          <w:sz w:val="32"/>
          <w:szCs w:val="32"/>
        </w:rPr>
      </w:pPr>
      <w:bookmarkStart w:id="79" w:name="_Toc15377216"/>
      <w:bookmarkStart w:id="80" w:name="_Toc81557913"/>
      <w:bookmarkStart w:id="81" w:name="_Toc22283"/>
      <w:r>
        <w:rPr>
          <w:rFonts w:eastAsia="楷体_GB2312"/>
          <w:b/>
          <w:sz w:val="32"/>
          <w:szCs w:val="32"/>
        </w:rPr>
        <w:t>（一）“三公”经费财政拨款支出决算总体情况说明</w:t>
      </w:r>
      <w:bookmarkEnd w:id="79"/>
      <w:bookmarkEnd w:id="80"/>
      <w:bookmarkEnd w:id="81"/>
    </w:p>
    <w:p>
      <w:pPr>
        <w:spacing w:line="600" w:lineRule="exact"/>
        <w:ind w:firstLine="640"/>
        <w:rPr>
          <w:rFonts w:eastAsia="仿宋"/>
          <w:sz w:val="32"/>
          <w:szCs w:val="32"/>
        </w:rPr>
      </w:pPr>
      <w:r>
        <w:rPr>
          <w:rFonts w:eastAsia="仿宋_GB2312"/>
          <w:sz w:val="32"/>
          <w:szCs w:val="32"/>
        </w:rPr>
        <w:t>2021年“三公”经费财政拨款支出决算为5.33万元，完成预算</w:t>
      </w:r>
      <w:r>
        <w:rPr>
          <w:rFonts w:hint="eastAsia" w:eastAsia="仿宋_GB2312"/>
          <w:sz w:val="32"/>
          <w:szCs w:val="32"/>
        </w:rPr>
        <w:t>100</w:t>
      </w:r>
      <w:r>
        <w:rPr>
          <w:rFonts w:eastAsia="仿宋_GB2312"/>
          <w:sz w:val="32"/>
          <w:szCs w:val="32"/>
        </w:rPr>
        <w:t>%，</w:t>
      </w:r>
      <w:r>
        <w:rPr>
          <w:rStyle w:val="22"/>
          <w:rFonts w:hint="eastAsia" w:ascii="仿宋" w:hAnsi="仿宋" w:eastAsia="仿宋"/>
          <w:b w:val="0"/>
          <w:bCs/>
          <w:sz w:val="32"/>
          <w:szCs w:val="32"/>
        </w:rPr>
        <w:t>决算数等于预算数。</w:t>
      </w:r>
    </w:p>
    <w:p>
      <w:pPr>
        <w:spacing w:line="600" w:lineRule="exact"/>
        <w:ind w:firstLine="640"/>
        <w:outlineLvl w:val="2"/>
        <w:rPr>
          <w:rFonts w:eastAsia="楷体_GB2312"/>
          <w:b/>
          <w:sz w:val="32"/>
          <w:szCs w:val="32"/>
        </w:rPr>
      </w:pPr>
      <w:bookmarkStart w:id="82" w:name="_Toc81557914"/>
      <w:bookmarkStart w:id="83" w:name="_Toc32415"/>
      <w:bookmarkStart w:id="84" w:name="_Toc15377217"/>
      <w:r>
        <w:rPr>
          <w:rFonts w:eastAsia="楷体_GB2312"/>
          <w:b/>
          <w:sz w:val="32"/>
          <w:szCs w:val="32"/>
        </w:rPr>
        <w:t>（二）“三公”经费财政拨款支出决算具体情况说明</w:t>
      </w:r>
      <w:bookmarkEnd w:id="82"/>
      <w:bookmarkEnd w:id="83"/>
      <w:bookmarkEnd w:id="84"/>
    </w:p>
    <w:p>
      <w:pPr>
        <w:spacing w:line="600" w:lineRule="exact"/>
        <w:ind w:firstLine="640"/>
        <w:rPr>
          <w:rFonts w:eastAsia="仿宋_GB2312"/>
          <w:sz w:val="32"/>
          <w:szCs w:val="32"/>
        </w:rPr>
      </w:pPr>
      <w:r>
        <w:rPr>
          <w:rFonts w:eastAsia="仿宋_GB2312"/>
          <w:sz w:val="32"/>
          <w:szCs w:val="32"/>
        </w:rPr>
        <w:t>2021年“三公”经费财政拨款支出决算中，因公出国（境）费支出决算0万元，占0%；公务用车购置及运行维护费支出决算4.89万元，占91.74%；公务接待费支出决算0.44万元，占8.26%。具体情况如下：</w:t>
      </w:r>
    </w:p>
    <w:p>
      <w:pPr>
        <w:pStyle w:val="2"/>
        <w:spacing w:before="93" w:line="600" w:lineRule="exact"/>
        <w:ind w:firstLine="640"/>
        <w:jc w:val="center"/>
        <w:rPr>
          <w:rFonts w:ascii="Times New Roman"/>
        </w:rPr>
      </w:pPr>
    </w:p>
    <w:p>
      <w:pPr>
        <w:pStyle w:val="2"/>
        <w:spacing w:before="93" w:line="600" w:lineRule="exact"/>
        <w:ind w:firstLine="640"/>
        <w:jc w:val="center"/>
        <w:rPr>
          <w:rFonts w:ascii="Times New Roman"/>
        </w:rPr>
      </w:pPr>
      <w:r>
        <w:rPr>
          <w:rFonts w:ascii="Times New Roman"/>
        </w:rPr>
        <w:drawing>
          <wp:anchor distT="0" distB="0" distL="114300" distR="114300" simplePos="0" relativeHeight="251666432" behindDoc="0" locked="0" layoutInCell="1" allowOverlap="1">
            <wp:simplePos x="0" y="0"/>
            <wp:positionH relativeFrom="column">
              <wp:posOffset>408940</wp:posOffset>
            </wp:positionH>
            <wp:positionV relativeFrom="paragraph">
              <wp:posOffset>-202565</wp:posOffset>
            </wp:positionV>
            <wp:extent cx="4439285" cy="2553970"/>
            <wp:effectExtent l="4445" t="4445" r="13970" b="13335"/>
            <wp:wrapNone/>
            <wp:docPr id="9"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2"/>
        <w:spacing w:before="93" w:line="600" w:lineRule="exact"/>
        <w:ind w:firstLine="640"/>
        <w:jc w:val="center"/>
        <w:rPr>
          <w:rFonts w:ascii="Times New Roman"/>
        </w:rPr>
      </w:pPr>
    </w:p>
    <w:p>
      <w:pPr>
        <w:pStyle w:val="2"/>
        <w:spacing w:before="93" w:line="600" w:lineRule="exact"/>
        <w:ind w:firstLine="640"/>
        <w:jc w:val="center"/>
        <w:rPr>
          <w:rFonts w:ascii="Times New Roman"/>
        </w:rPr>
      </w:pPr>
    </w:p>
    <w:p>
      <w:pPr>
        <w:pStyle w:val="2"/>
        <w:spacing w:before="93" w:line="600" w:lineRule="exact"/>
        <w:ind w:firstLine="640"/>
        <w:jc w:val="center"/>
        <w:rPr>
          <w:rFonts w:ascii="Times New Roman"/>
        </w:rPr>
      </w:pPr>
    </w:p>
    <w:p>
      <w:pPr>
        <w:pStyle w:val="2"/>
        <w:spacing w:before="93" w:line="600" w:lineRule="exact"/>
        <w:ind w:firstLine="640"/>
        <w:jc w:val="center"/>
        <w:rPr>
          <w:rFonts w:ascii="Times New Roman"/>
        </w:rPr>
      </w:pPr>
    </w:p>
    <w:p>
      <w:pPr>
        <w:pStyle w:val="2"/>
        <w:spacing w:before="93" w:line="600" w:lineRule="exact"/>
        <w:ind w:firstLine="640"/>
        <w:jc w:val="center"/>
        <w:rPr>
          <w:rFonts w:ascii="Times New Roman" w:eastAsia="仿宋"/>
          <w:sz w:val="32"/>
          <w:szCs w:val="32"/>
        </w:rPr>
      </w:pPr>
    </w:p>
    <w:p>
      <w:pPr>
        <w:spacing w:line="600" w:lineRule="exact"/>
        <w:ind w:firstLine="640"/>
        <w:rPr>
          <w:rFonts w:eastAsia="仿宋_GB2312"/>
          <w:sz w:val="32"/>
          <w:szCs w:val="32"/>
        </w:rPr>
      </w:pPr>
      <w:r>
        <w:rPr>
          <w:rFonts w:eastAsia="仿宋_GB2312"/>
          <w:b/>
          <w:sz w:val="32"/>
          <w:szCs w:val="32"/>
        </w:rPr>
        <w:t>1.因公出国（境）经费支出</w:t>
      </w:r>
      <w:r>
        <w:rPr>
          <w:rFonts w:eastAsia="仿宋_GB2312"/>
          <w:sz w:val="32"/>
          <w:szCs w:val="32"/>
        </w:rPr>
        <w:t>0万元</w:t>
      </w:r>
      <w:r>
        <w:rPr>
          <w:rFonts w:hint="eastAsia" w:eastAsia="仿宋_GB2312"/>
          <w:sz w:val="32"/>
          <w:szCs w:val="32"/>
        </w:rPr>
        <w:t>，</w:t>
      </w:r>
      <w:r>
        <w:rPr>
          <w:rStyle w:val="22"/>
          <w:rFonts w:hint="eastAsia" w:ascii="仿宋" w:hAnsi="仿宋" w:eastAsia="仿宋"/>
          <w:b w:val="0"/>
          <w:bCs/>
          <w:sz w:val="32"/>
          <w:szCs w:val="32"/>
        </w:rPr>
        <w:t>完成预算0</w:t>
      </w:r>
      <w:r>
        <w:rPr>
          <w:rStyle w:val="22"/>
          <w:rFonts w:ascii="仿宋" w:hAnsi="仿宋" w:eastAsia="仿宋"/>
          <w:b w:val="0"/>
          <w:bCs/>
          <w:sz w:val="32"/>
          <w:szCs w:val="32"/>
        </w:rPr>
        <w:t>%</w:t>
      </w:r>
      <w:r>
        <w:rPr>
          <w:rStyle w:val="22"/>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全年安排因公出国（境）团组0次，出国（境）0人。因公出国（境）支出决算与</w:t>
      </w:r>
      <w:r>
        <w:rPr>
          <w:rFonts w:ascii="仿宋_GB2312" w:eastAsia="仿宋_GB2312"/>
          <w:sz w:val="32"/>
          <w:szCs w:val="32"/>
        </w:rPr>
        <w:t>20</w:t>
      </w:r>
      <w:r>
        <w:rPr>
          <w:rFonts w:hint="eastAsia" w:ascii="仿宋_GB2312" w:eastAsia="仿宋_GB2312"/>
          <w:sz w:val="32"/>
          <w:szCs w:val="32"/>
        </w:rPr>
        <w:t>20年持平。</w:t>
      </w:r>
    </w:p>
    <w:p>
      <w:pPr>
        <w:spacing w:line="600" w:lineRule="exact"/>
        <w:ind w:firstLine="640"/>
        <w:rPr>
          <w:rFonts w:eastAsia="仿宋_GB2312"/>
          <w:b/>
          <w:sz w:val="32"/>
          <w:szCs w:val="32"/>
        </w:rPr>
      </w:pPr>
      <w:r>
        <w:rPr>
          <w:rFonts w:eastAsia="仿宋_GB2312"/>
          <w:b/>
          <w:sz w:val="32"/>
          <w:szCs w:val="32"/>
        </w:rPr>
        <w:t>2.公务用车购置及运行维护费支出</w:t>
      </w:r>
      <w:r>
        <w:rPr>
          <w:rFonts w:eastAsia="仿宋_GB2312"/>
          <w:sz w:val="32"/>
          <w:szCs w:val="32"/>
        </w:rPr>
        <w:t>4.89万元,</w:t>
      </w:r>
      <w:r>
        <w:rPr>
          <w:rStyle w:val="22"/>
          <w:rFonts w:eastAsia="仿宋_GB2312"/>
          <w:b w:val="0"/>
          <w:bCs/>
          <w:sz w:val="32"/>
          <w:szCs w:val="32"/>
        </w:rPr>
        <w:t>完成预算</w:t>
      </w:r>
      <w:r>
        <w:rPr>
          <w:rStyle w:val="22"/>
          <w:rFonts w:hint="eastAsia" w:eastAsia="仿宋_GB2312"/>
          <w:b w:val="0"/>
          <w:bCs/>
          <w:sz w:val="32"/>
          <w:szCs w:val="32"/>
        </w:rPr>
        <w:t>100</w:t>
      </w:r>
      <w:r>
        <w:rPr>
          <w:rStyle w:val="22"/>
          <w:rFonts w:eastAsia="仿宋_GB2312"/>
          <w:b w:val="0"/>
          <w:bCs/>
          <w:sz w:val="32"/>
          <w:szCs w:val="32"/>
        </w:rPr>
        <w:t>%。</w:t>
      </w:r>
      <w:r>
        <w:rPr>
          <w:rFonts w:eastAsia="仿宋_GB2312"/>
          <w:sz w:val="32"/>
          <w:szCs w:val="32"/>
        </w:rPr>
        <w:t>公务用车购置及运行维护费支出决算比2020年增加0.57万元，增加13.19%。主要原因是</w:t>
      </w:r>
      <w:bookmarkStart w:id="85" w:name="_Hlk81239712"/>
      <w:r>
        <w:rPr>
          <w:rFonts w:eastAsia="仿宋_GB2312"/>
          <w:sz w:val="32"/>
          <w:szCs w:val="32"/>
        </w:rPr>
        <w:t>2021年</w:t>
      </w:r>
      <w:bookmarkEnd w:id="85"/>
      <w:r>
        <w:rPr>
          <w:rFonts w:eastAsia="仿宋_GB2312"/>
          <w:sz w:val="32"/>
          <w:szCs w:val="32"/>
        </w:rPr>
        <w:t>成本调查监审工作量增加，出差频次略增。</w:t>
      </w:r>
    </w:p>
    <w:p>
      <w:pPr>
        <w:spacing w:line="600" w:lineRule="exact"/>
        <w:ind w:firstLine="640" w:firstLineChars="200"/>
        <w:rPr>
          <w:rFonts w:eastAsia="仿宋_GB2312"/>
          <w:sz w:val="32"/>
          <w:szCs w:val="32"/>
        </w:rPr>
      </w:pPr>
      <w:r>
        <w:rPr>
          <w:rFonts w:eastAsia="仿宋_GB2312"/>
          <w:sz w:val="32"/>
          <w:szCs w:val="32"/>
        </w:rPr>
        <w:t>其中：</w:t>
      </w:r>
    </w:p>
    <w:p>
      <w:pPr>
        <w:spacing w:line="600" w:lineRule="exact"/>
        <w:ind w:firstLine="643" w:firstLineChars="200"/>
        <w:rPr>
          <w:rFonts w:eastAsia="仿宋_GB2312"/>
          <w:b/>
          <w:sz w:val="32"/>
          <w:szCs w:val="32"/>
        </w:rPr>
      </w:pPr>
      <w:r>
        <w:rPr>
          <w:rFonts w:eastAsia="仿宋_GB2312"/>
          <w:b/>
          <w:sz w:val="32"/>
          <w:szCs w:val="32"/>
        </w:rPr>
        <w:t>公务用车购置支出</w:t>
      </w:r>
      <w:r>
        <w:rPr>
          <w:rFonts w:eastAsia="仿宋_GB2312"/>
          <w:sz w:val="32"/>
          <w:szCs w:val="32"/>
        </w:rPr>
        <w:t>0万元。</w:t>
      </w:r>
      <w:r>
        <w:rPr>
          <w:rFonts w:hint="eastAsia" w:ascii="仿宋_GB2312" w:eastAsia="仿宋_GB2312"/>
          <w:sz w:val="32"/>
          <w:szCs w:val="32"/>
        </w:rPr>
        <w:t>全年按规定更新购置公务用车0辆。截至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月底，单位共有公务用车1辆，其中：越野车1辆。</w:t>
      </w:r>
    </w:p>
    <w:p>
      <w:pPr>
        <w:spacing w:line="600" w:lineRule="exact"/>
        <w:ind w:firstLine="640"/>
        <w:rPr>
          <w:rFonts w:eastAsia="仿宋_GB2312"/>
          <w:sz w:val="32"/>
          <w:szCs w:val="32"/>
        </w:rPr>
      </w:pPr>
      <w:r>
        <w:rPr>
          <w:rFonts w:eastAsia="仿宋_GB2312"/>
          <w:b/>
          <w:sz w:val="32"/>
          <w:szCs w:val="32"/>
        </w:rPr>
        <w:t>公务用车运行维护费支出</w:t>
      </w:r>
      <w:r>
        <w:rPr>
          <w:rFonts w:eastAsia="仿宋_GB2312"/>
          <w:sz w:val="32"/>
          <w:szCs w:val="32"/>
        </w:rPr>
        <w:t>4.89万元。主要用于成本调查和成本监审等所需的公务用车燃料费、维修费、过路过桥费、保险费等支出。</w:t>
      </w:r>
    </w:p>
    <w:p>
      <w:pPr>
        <w:spacing w:line="600" w:lineRule="exact"/>
        <w:ind w:firstLine="643" w:firstLineChars="200"/>
        <w:rPr>
          <w:rFonts w:eastAsia="仿宋_GB2312"/>
          <w:sz w:val="32"/>
          <w:szCs w:val="32"/>
        </w:rPr>
      </w:pPr>
      <w:r>
        <w:rPr>
          <w:rFonts w:eastAsia="仿宋_GB2312"/>
          <w:b/>
          <w:sz w:val="32"/>
          <w:szCs w:val="32"/>
        </w:rPr>
        <w:t>3.公务接待费支出</w:t>
      </w:r>
      <w:r>
        <w:rPr>
          <w:rFonts w:eastAsia="仿宋_GB2312"/>
          <w:sz w:val="32"/>
          <w:szCs w:val="32"/>
        </w:rPr>
        <w:t>0.44万元，</w:t>
      </w:r>
      <w:r>
        <w:rPr>
          <w:rStyle w:val="22"/>
          <w:rFonts w:eastAsia="仿宋_GB2312"/>
          <w:b w:val="0"/>
          <w:bCs/>
          <w:sz w:val="32"/>
          <w:szCs w:val="32"/>
        </w:rPr>
        <w:t>完成预算15.71%。</w:t>
      </w:r>
      <w:r>
        <w:rPr>
          <w:rFonts w:eastAsia="仿宋_GB2312"/>
          <w:sz w:val="32"/>
          <w:szCs w:val="32"/>
        </w:rPr>
        <w:t>公务接待费支出决算比2020年增加0.44万元。主要原因是受疫情影响2020年</w:t>
      </w:r>
      <w:r>
        <w:rPr>
          <w:rFonts w:hint="eastAsia" w:eastAsia="仿宋_GB2312"/>
          <w:sz w:val="32"/>
          <w:szCs w:val="32"/>
        </w:rPr>
        <w:t>无</w:t>
      </w:r>
      <w:r>
        <w:rPr>
          <w:rFonts w:eastAsia="仿宋_GB2312"/>
          <w:sz w:val="32"/>
          <w:szCs w:val="32"/>
        </w:rPr>
        <w:t>公务接待费。</w:t>
      </w:r>
    </w:p>
    <w:p>
      <w:pPr>
        <w:numPr>
          <w:ilvl w:val="255"/>
          <w:numId w:val="0"/>
        </w:numPr>
        <w:spacing w:line="600" w:lineRule="exact"/>
        <w:ind w:firstLine="640" w:firstLineChars="200"/>
        <w:rPr>
          <w:rFonts w:eastAsia="仿宋_GB2312"/>
          <w:sz w:val="32"/>
          <w:szCs w:val="32"/>
        </w:rPr>
      </w:pPr>
      <w:r>
        <w:rPr>
          <w:rFonts w:eastAsia="仿宋_GB2312"/>
          <w:sz w:val="32"/>
          <w:szCs w:val="32"/>
        </w:rPr>
        <w:t>其中：</w:t>
      </w:r>
    </w:p>
    <w:p>
      <w:pPr>
        <w:spacing w:line="600" w:lineRule="exact"/>
        <w:ind w:firstLine="640"/>
        <w:rPr>
          <w:rFonts w:eastAsia="仿宋_GB2312"/>
          <w:sz w:val="32"/>
          <w:szCs w:val="32"/>
        </w:rPr>
      </w:pPr>
      <w:r>
        <w:rPr>
          <w:rFonts w:eastAsia="仿宋_GB2312"/>
          <w:b/>
          <w:sz w:val="32"/>
          <w:szCs w:val="32"/>
        </w:rPr>
        <w:t>国内公务接待支出</w:t>
      </w:r>
      <w:r>
        <w:rPr>
          <w:rFonts w:eastAsia="仿宋_GB2312"/>
          <w:sz w:val="32"/>
          <w:szCs w:val="32"/>
        </w:rPr>
        <w:t>0.44万元。主要用于接待国家发改委和市州来我局开展农本调查和成本监审业务交流等工作。国内公务接待5批次，2</w:t>
      </w:r>
      <w:r>
        <w:rPr>
          <w:rFonts w:hint="eastAsia" w:eastAsia="仿宋_GB2312"/>
          <w:sz w:val="32"/>
          <w:szCs w:val="32"/>
        </w:rPr>
        <w:t>7</w:t>
      </w:r>
      <w:r>
        <w:rPr>
          <w:rFonts w:eastAsia="仿宋_GB2312"/>
          <w:sz w:val="32"/>
          <w:szCs w:val="32"/>
        </w:rPr>
        <w:t>人次（不包括陪同人员），共计支出0.44万元，具体内容包括：接待国家发改委价格司来四川开展</w:t>
      </w:r>
      <w:r>
        <w:rPr>
          <w:rFonts w:hint="eastAsia" w:eastAsia="仿宋_GB2312"/>
          <w:sz w:val="32"/>
          <w:szCs w:val="32"/>
        </w:rPr>
        <w:t>教育收费调研，共计</w:t>
      </w:r>
      <w:r>
        <w:rPr>
          <w:rFonts w:eastAsia="仿宋_GB2312"/>
          <w:sz w:val="32"/>
          <w:szCs w:val="32"/>
        </w:rPr>
        <w:t>890元；</w:t>
      </w:r>
      <w:r>
        <w:rPr>
          <w:rFonts w:hint="eastAsia" w:eastAsia="仿宋_GB2312"/>
          <w:sz w:val="32"/>
          <w:szCs w:val="32"/>
        </w:rPr>
        <w:t>接待攀枝花市发展改革委交流原水和天然气成本监审工作，共计813元；接待资阳市发展改革委交流城市供水成本监审情况，共计695元；接待德阳市发展改革委交流成本调查和监审工作开展情况，共计878.43；接待遂宁、巴中市发展改革委交流成本调查和监审工作，共计1167.9元</w:t>
      </w:r>
      <w:r>
        <w:rPr>
          <w:rFonts w:eastAsia="仿宋_GB2312"/>
          <w:sz w:val="32"/>
          <w:szCs w:val="32"/>
        </w:rPr>
        <w:t>。</w:t>
      </w:r>
    </w:p>
    <w:p>
      <w:pPr>
        <w:spacing w:line="600" w:lineRule="exact"/>
        <w:ind w:firstLine="640"/>
        <w:rPr>
          <w:rFonts w:eastAsia="仿宋_GB2312"/>
          <w:sz w:val="32"/>
          <w:szCs w:val="32"/>
        </w:rPr>
      </w:pPr>
      <w:r>
        <w:rPr>
          <w:rFonts w:eastAsia="仿宋_GB2312"/>
          <w:b/>
          <w:sz w:val="32"/>
          <w:szCs w:val="32"/>
        </w:rPr>
        <w:t>外事接待支出</w:t>
      </w:r>
      <w:r>
        <w:rPr>
          <w:rFonts w:eastAsia="仿宋_GB2312"/>
          <w:sz w:val="32"/>
          <w:szCs w:val="32"/>
        </w:rPr>
        <w:t>0万元</w:t>
      </w:r>
      <w:bookmarkStart w:id="86" w:name="_Toc15377218"/>
      <w:bookmarkStart w:id="87" w:name="_Toc15396610"/>
      <w:r>
        <w:rPr>
          <w:rFonts w:hint="eastAsia" w:eastAsia="仿宋_GB2312"/>
          <w:sz w:val="32"/>
          <w:szCs w:val="32"/>
        </w:rPr>
        <w:t>，</w:t>
      </w:r>
      <w:r>
        <w:rPr>
          <w:rFonts w:hint="eastAsia" w:ascii="仿宋_GB2312" w:eastAsia="仿宋_GB2312"/>
          <w:sz w:val="32"/>
          <w:szCs w:val="32"/>
        </w:rPr>
        <w:t>外事接待0批次，0人，共计支出0万元。</w:t>
      </w:r>
    </w:p>
    <w:p>
      <w:pPr>
        <w:spacing w:line="600" w:lineRule="exact"/>
        <w:ind w:firstLine="640"/>
        <w:outlineLvl w:val="1"/>
        <w:rPr>
          <w:rStyle w:val="34"/>
          <w:rFonts w:ascii="Times New Roman" w:hAnsi="Times New Roman" w:eastAsia="黑体" w:cs="Times New Roman"/>
        </w:rPr>
      </w:pPr>
      <w:bookmarkStart w:id="88" w:name="_Toc2010"/>
      <w:bookmarkStart w:id="89" w:name="_Toc81557915"/>
      <w:r>
        <w:rPr>
          <w:rFonts w:eastAsia="黑体"/>
          <w:sz w:val="32"/>
          <w:szCs w:val="32"/>
        </w:rPr>
        <w:t>八、</w:t>
      </w:r>
      <w:r>
        <w:rPr>
          <w:rStyle w:val="34"/>
          <w:rFonts w:ascii="Times New Roman" w:hAnsi="Times New Roman" w:eastAsia="黑体" w:cs="Times New Roman"/>
          <w:b w:val="0"/>
        </w:rPr>
        <w:t>政府性基金预算支出决算情况说明</w:t>
      </w:r>
      <w:bookmarkEnd w:id="86"/>
      <w:bookmarkEnd w:id="87"/>
      <w:bookmarkEnd w:id="88"/>
      <w:bookmarkEnd w:id="89"/>
    </w:p>
    <w:p>
      <w:pPr>
        <w:spacing w:line="600" w:lineRule="exact"/>
        <w:ind w:firstLine="640"/>
        <w:rPr>
          <w:rFonts w:eastAsia="仿宋_GB2312"/>
          <w:sz w:val="32"/>
          <w:szCs w:val="32"/>
        </w:rPr>
      </w:pPr>
      <w:r>
        <w:rPr>
          <w:rFonts w:eastAsia="仿宋_GB2312"/>
          <w:sz w:val="32"/>
          <w:szCs w:val="32"/>
        </w:rPr>
        <w:t>2021年政府性基金预算财政拨款支出0万元。</w:t>
      </w:r>
    </w:p>
    <w:p>
      <w:pPr>
        <w:numPr>
          <w:ilvl w:val="0"/>
          <w:numId w:val="2"/>
        </w:numPr>
        <w:spacing w:line="600" w:lineRule="exact"/>
        <w:ind w:firstLine="640"/>
        <w:outlineLvl w:val="1"/>
        <w:rPr>
          <w:rStyle w:val="34"/>
          <w:rFonts w:ascii="Times New Roman" w:hAnsi="Times New Roman" w:eastAsia="黑体" w:cs="Times New Roman"/>
          <w:b w:val="0"/>
        </w:rPr>
      </w:pPr>
      <w:bookmarkStart w:id="90" w:name="_Toc15396611"/>
      <w:bookmarkStart w:id="91" w:name="_Toc81557916"/>
      <w:bookmarkStart w:id="92" w:name="_Toc15377219"/>
      <w:bookmarkStart w:id="93" w:name="_Toc22195"/>
      <w:r>
        <w:rPr>
          <w:rStyle w:val="34"/>
          <w:rFonts w:ascii="Times New Roman" w:hAnsi="Times New Roman" w:eastAsia="黑体" w:cs="Times New Roman"/>
          <w:b w:val="0"/>
        </w:rPr>
        <w:t>国有资本经营预算支出决算情况说明</w:t>
      </w:r>
      <w:bookmarkEnd w:id="90"/>
      <w:bookmarkEnd w:id="91"/>
      <w:bookmarkEnd w:id="92"/>
      <w:bookmarkEnd w:id="93"/>
    </w:p>
    <w:p>
      <w:pPr>
        <w:spacing w:line="600" w:lineRule="exact"/>
        <w:ind w:firstLine="640"/>
        <w:jc w:val="left"/>
        <w:rPr>
          <w:rFonts w:eastAsia="方正小标宋简体"/>
          <w:sz w:val="44"/>
          <w:szCs w:val="44"/>
        </w:rPr>
      </w:pPr>
      <w:r>
        <w:rPr>
          <w:rFonts w:eastAsia="仿宋_GB2312"/>
          <w:sz w:val="32"/>
          <w:szCs w:val="32"/>
        </w:rPr>
        <w:t>2021年国有资本经营预算财政拨款支出0万元。</w:t>
      </w:r>
    </w:p>
    <w:p>
      <w:pPr>
        <w:numPr>
          <w:ilvl w:val="0"/>
          <w:numId w:val="2"/>
        </w:numPr>
        <w:spacing w:line="600" w:lineRule="exact"/>
        <w:ind w:firstLine="640"/>
        <w:outlineLvl w:val="1"/>
        <w:rPr>
          <w:rStyle w:val="34"/>
          <w:rFonts w:ascii="Times New Roman" w:hAnsi="Times New Roman" w:eastAsia="黑体" w:cs="Times New Roman"/>
          <w:b w:val="0"/>
        </w:rPr>
      </w:pPr>
      <w:bookmarkStart w:id="94" w:name="_Toc11069"/>
      <w:bookmarkStart w:id="95" w:name="_Toc15396612"/>
      <w:bookmarkStart w:id="96" w:name="_Toc81557917"/>
      <w:bookmarkStart w:id="97" w:name="_Toc15377221"/>
      <w:r>
        <w:rPr>
          <w:rStyle w:val="34"/>
          <w:rFonts w:ascii="Times New Roman" w:hAnsi="Times New Roman" w:eastAsia="黑体" w:cs="Times New Roman"/>
          <w:b w:val="0"/>
        </w:rPr>
        <w:t>其他重要事项的情况说明</w:t>
      </w:r>
      <w:bookmarkEnd w:id="94"/>
      <w:bookmarkEnd w:id="95"/>
      <w:bookmarkEnd w:id="96"/>
      <w:bookmarkEnd w:id="97"/>
    </w:p>
    <w:p>
      <w:pPr>
        <w:spacing w:line="600" w:lineRule="exact"/>
        <w:ind w:firstLine="643" w:firstLineChars="200"/>
        <w:outlineLvl w:val="2"/>
        <w:rPr>
          <w:rFonts w:eastAsia="楷体_GB2312"/>
          <w:sz w:val="32"/>
          <w:szCs w:val="32"/>
        </w:rPr>
      </w:pPr>
      <w:bookmarkStart w:id="98" w:name="_Toc10314"/>
      <w:bookmarkStart w:id="99" w:name="_Toc81557918"/>
      <w:bookmarkStart w:id="100" w:name="_Toc15377222"/>
      <w:r>
        <w:rPr>
          <w:rFonts w:eastAsia="楷体_GB2312"/>
          <w:b/>
          <w:sz w:val="32"/>
          <w:szCs w:val="32"/>
        </w:rPr>
        <w:t>（一）机关运行经费支出情况</w:t>
      </w:r>
      <w:bookmarkEnd w:id="98"/>
      <w:bookmarkEnd w:id="99"/>
      <w:bookmarkEnd w:id="100"/>
    </w:p>
    <w:p>
      <w:pPr>
        <w:spacing w:line="600" w:lineRule="exact"/>
        <w:ind w:firstLine="640" w:firstLineChars="200"/>
        <w:rPr>
          <w:rFonts w:eastAsia="仿宋_GB2312"/>
          <w:sz w:val="32"/>
          <w:szCs w:val="32"/>
        </w:rPr>
      </w:pPr>
      <w:r>
        <w:rPr>
          <w:rFonts w:eastAsia="仿宋_GB2312"/>
          <w:sz w:val="32"/>
          <w:szCs w:val="32"/>
        </w:rPr>
        <w:t>2021年，四川省成本调查监审局机关运行经费支出161.50万元，比2020年增长27.66万元，增长20.67%。主要原因是我局人员增加</w:t>
      </w:r>
      <w:r>
        <w:rPr>
          <w:rFonts w:hint="eastAsia" w:eastAsia="仿宋_GB2312"/>
          <w:sz w:val="32"/>
          <w:szCs w:val="32"/>
        </w:rPr>
        <w:t>导致</w:t>
      </w:r>
      <w:r>
        <w:rPr>
          <w:rFonts w:eastAsia="仿宋_GB2312"/>
          <w:sz w:val="32"/>
          <w:szCs w:val="32"/>
        </w:rPr>
        <w:t>其他交通补贴费用增加。</w:t>
      </w:r>
    </w:p>
    <w:p>
      <w:pPr>
        <w:spacing w:line="600" w:lineRule="exact"/>
        <w:ind w:firstLine="643" w:firstLineChars="200"/>
        <w:outlineLvl w:val="2"/>
        <w:rPr>
          <w:rFonts w:eastAsia="楷体_GB2312"/>
          <w:b/>
          <w:sz w:val="32"/>
          <w:szCs w:val="32"/>
        </w:rPr>
      </w:pPr>
      <w:bookmarkStart w:id="101" w:name="_Toc81557919"/>
      <w:bookmarkStart w:id="102" w:name="_Toc15377223"/>
      <w:bookmarkStart w:id="103" w:name="_Toc18256"/>
      <w:r>
        <w:rPr>
          <w:rFonts w:eastAsia="楷体_GB2312"/>
          <w:b/>
          <w:sz w:val="32"/>
          <w:szCs w:val="32"/>
        </w:rPr>
        <w:t>（二）政府采购支出情况</w:t>
      </w:r>
      <w:bookmarkEnd w:id="101"/>
      <w:bookmarkEnd w:id="102"/>
      <w:bookmarkEnd w:id="103"/>
    </w:p>
    <w:p>
      <w:pPr>
        <w:spacing w:line="600" w:lineRule="exact"/>
        <w:ind w:firstLine="640" w:firstLineChars="200"/>
        <w:rPr>
          <w:rFonts w:eastAsia="仿宋_GB2312"/>
          <w:sz w:val="32"/>
          <w:szCs w:val="32"/>
        </w:rPr>
      </w:pPr>
      <w:r>
        <w:rPr>
          <w:rFonts w:eastAsia="仿宋_GB2312"/>
          <w:sz w:val="32"/>
          <w:szCs w:val="32"/>
        </w:rPr>
        <w:t>20</w:t>
      </w:r>
      <w:r>
        <w:rPr>
          <w:rFonts w:hint="eastAsia" w:eastAsia="仿宋_GB2312"/>
          <w:sz w:val="32"/>
          <w:szCs w:val="32"/>
        </w:rPr>
        <w:t>21年，</w:t>
      </w:r>
      <w:r>
        <w:rPr>
          <w:rFonts w:eastAsia="仿宋_GB2312"/>
          <w:sz w:val="32"/>
          <w:szCs w:val="32"/>
        </w:rPr>
        <w:t>四川省成本调查监审局</w:t>
      </w:r>
      <w:r>
        <w:rPr>
          <w:rFonts w:hint="eastAsia" w:eastAsia="仿宋_GB2312"/>
          <w:sz w:val="32"/>
          <w:szCs w:val="32"/>
        </w:rPr>
        <w:t>政府采购支出总额2.89万元，其中：政府采购服务支出2.89万元。主要用于公务用车运行维护。授予中小企业合同金额1.00万元，占政府采购支出总额的34.60</w:t>
      </w:r>
      <w:r>
        <w:rPr>
          <w:rFonts w:eastAsia="仿宋_GB2312"/>
          <w:sz w:val="32"/>
          <w:szCs w:val="32"/>
        </w:rPr>
        <w:t>%</w:t>
      </w:r>
      <w:r>
        <w:rPr>
          <w:rFonts w:hint="eastAsia" w:eastAsia="仿宋_GB2312"/>
          <w:sz w:val="32"/>
          <w:szCs w:val="32"/>
        </w:rPr>
        <w:t>，其中：授予小微企业合同金额0万元，占政府采购支出总额的0</w:t>
      </w:r>
      <w:r>
        <w:rPr>
          <w:rFonts w:eastAsia="仿宋_GB2312"/>
          <w:sz w:val="32"/>
          <w:szCs w:val="32"/>
        </w:rPr>
        <w:t>%</w:t>
      </w:r>
      <w:r>
        <w:rPr>
          <w:rFonts w:hint="eastAsia" w:eastAsia="仿宋_GB2312"/>
          <w:sz w:val="32"/>
          <w:szCs w:val="32"/>
        </w:rPr>
        <w:t>。</w:t>
      </w:r>
    </w:p>
    <w:p>
      <w:pPr>
        <w:spacing w:line="600" w:lineRule="exact"/>
        <w:ind w:firstLine="643" w:firstLineChars="200"/>
        <w:outlineLvl w:val="2"/>
        <w:rPr>
          <w:rFonts w:eastAsia="楷体_GB2312"/>
          <w:b/>
          <w:sz w:val="32"/>
          <w:szCs w:val="32"/>
        </w:rPr>
      </w:pPr>
      <w:bookmarkStart w:id="104" w:name="_Toc81557920"/>
      <w:bookmarkStart w:id="105" w:name="_Toc21802"/>
      <w:bookmarkStart w:id="106" w:name="_Toc15377224"/>
      <w:r>
        <w:rPr>
          <w:rFonts w:eastAsia="楷体_GB2312"/>
          <w:b/>
          <w:sz w:val="32"/>
          <w:szCs w:val="32"/>
        </w:rPr>
        <w:t>（三）国有资产占有使用情况</w:t>
      </w:r>
      <w:bookmarkEnd w:id="104"/>
      <w:bookmarkEnd w:id="105"/>
      <w:bookmarkEnd w:id="106"/>
    </w:p>
    <w:p>
      <w:pPr>
        <w:spacing w:line="600" w:lineRule="exact"/>
        <w:ind w:firstLine="640" w:firstLineChars="200"/>
        <w:rPr>
          <w:rFonts w:eastAsia="仿宋_GB2312"/>
          <w:sz w:val="32"/>
          <w:szCs w:val="32"/>
        </w:rPr>
      </w:pPr>
      <w:r>
        <w:rPr>
          <w:rFonts w:eastAsia="仿宋_GB2312"/>
          <w:sz w:val="32"/>
          <w:szCs w:val="32"/>
        </w:rPr>
        <w:t>截至2021年12月31日，四川省成本调查监审局共有车辆1辆，其中：应急保障用车1辆，应急保障用车主要是用于开展成本调查监审工作。单价50万元以上通用设备0台（套），单价100万元以上专用设备0台（套）。</w:t>
      </w:r>
    </w:p>
    <w:p>
      <w:pPr>
        <w:spacing w:line="600" w:lineRule="exact"/>
        <w:ind w:firstLine="643" w:firstLineChars="200"/>
        <w:outlineLvl w:val="2"/>
        <w:rPr>
          <w:rFonts w:eastAsia="楷体_GB2312"/>
          <w:b/>
          <w:sz w:val="32"/>
          <w:szCs w:val="32"/>
        </w:rPr>
      </w:pPr>
      <w:bookmarkStart w:id="107" w:name="_Toc8846"/>
      <w:bookmarkStart w:id="108" w:name="_Toc81557921"/>
      <w:r>
        <w:rPr>
          <w:rFonts w:eastAsia="楷体_GB2312"/>
          <w:b/>
          <w:sz w:val="32"/>
          <w:szCs w:val="32"/>
        </w:rPr>
        <w:t>（四）预算绩效管理情况</w:t>
      </w:r>
      <w:bookmarkEnd w:id="107"/>
      <w:bookmarkEnd w:id="108"/>
    </w:p>
    <w:p>
      <w:pPr>
        <w:spacing w:line="600" w:lineRule="exact"/>
        <w:ind w:firstLine="640" w:firstLineChars="200"/>
        <w:rPr>
          <w:rFonts w:eastAsia="仿宋_GB2312"/>
          <w:sz w:val="32"/>
          <w:szCs w:val="32"/>
        </w:rPr>
      </w:pPr>
      <w:r>
        <w:rPr>
          <w:rFonts w:hint="eastAsia" w:eastAsia="仿宋_GB2312"/>
          <w:sz w:val="32"/>
          <w:szCs w:val="32"/>
        </w:rPr>
        <w:t>根据预算绩效管理要求，</w:t>
      </w:r>
      <w:r>
        <w:rPr>
          <w:rFonts w:eastAsia="仿宋_GB2312"/>
          <w:sz w:val="32"/>
          <w:szCs w:val="32"/>
        </w:rPr>
        <w:t>四川省成本调查监审局</w:t>
      </w:r>
      <w:r>
        <w:rPr>
          <w:rFonts w:hint="eastAsia" w:eastAsia="仿宋_GB2312"/>
          <w:sz w:val="32"/>
          <w:szCs w:val="32"/>
        </w:rPr>
        <w:t>在2021年度预算编制阶段，组织对0个项目开展了预算事前绩效评估，对0个项目编制了绩效目标，预算执行过程中，选取0个项目开展绩效监控，年终执行完毕后，对0个项目开展了绩效自评，2021年特定目标类部门预算项目绩效目标自评表见附件（第四部分）。</w:t>
      </w:r>
    </w:p>
    <w:p>
      <w:pPr>
        <w:autoSpaceDE w:val="0"/>
        <w:autoSpaceDN w:val="0"/>
        <w:adjustRightInd w:val="0"/>
        <w:spacing w:line="600" w:lineRule="exact"/>
        <w:ind w:firstLine="640" w:firstLineChars="200"/>
        <w:jc w:val="left"/>
        <w:rPr>
          <w:rFonts w:eastAsia="仿宋_GB2312"/>
          <w:sz w:val="32"/>
          <w:szCs w:val="32"/>
        </w:rPr>
      </w:pPr>
    </w:p>
    <w:p>
      <w:pPr>
        <w:autoSpaceDE w:val="0"/>
        <w:autoSpaceDN w:val="0"/>
        <w:adjustRightInd w:val="0"/>
        <w:spacing w:line="600" w:lineRule="exact"/>
        <w:ind w:firstLine="640" w:firstLineChars="200"/>
        <w:jc w:val="left"/>
        <w:rPr>
          <w:rFonts w:eastAsia="仿宋_GB2312"/>
          <w:sz w:val="32"/>
          <w:szCs w:val="32"/>
        </w:rPr>
      </w:pPr>
    </w:p>
    <w:p>
      <w:pPr>
        <w:autoSpaceDE w:val="0"/>
        <w:autoSpaceDN w:val="0"/>
        <w:adjustRightInd w:val="0"/>
        <w:spacing w:line="600" w:lineRule="exact"/>
        <w:ind w:firstLine="640" w:firstLineChars="200"/>
        <w:jc w:val="left"/>
        <w:rPr>
          <w:rFonts w:eastAsia="仿宋_GB2312"/>
          <w:sz w:val="32"/>
          <w:szCs w:val="32"/>
        </w:rPr>
      </w:pPr>
    </w:p>
    <w:p>
      <w:pPr>
        <w:autoSpaceDE w:val="0"/>
        <w:autoSpaceDN w:val="0"/>
        <w:adjustRightInd w:val="0"/>
        <w:spacing w:line="600" w:lineRule="exact"/>
        <w:ind w:firstLine="640" w:firstLineChars="200"/>
        <w:jc w:val="left"/>
        <w:rPr>
          <w:rFonts w:eastAsia="仿宋_GB2312"/>
          <w:sz w:val="32"/>
          <w:szCs w:val="32"/>
        </w:rPr>
      </w:pPr>
    </w:p>
    <w:p>
      <w:pPr>
        <w:autoSpaceDE w:val="0"/>
        <w:autoSpaceDN w:val="0"/>
        <w:adjustRightInd w:val="0"/>
        <w:spacing w:line="600" w:lineRule="exact"/>
        <w:ind w:firstLine="640" w:firstLineChars="200"/>
        <w:jc w:val="left"/>
        <w:rPr>
          <w:rFonts w:eastAsia="仿宋_GB2312"/>
          <w:sz w:val="32"/>
          <w:szCs w:val="32"/>
        </w:rPr>
      </w:pPr>
    </w:p>
    <w:p>
      <w:pPr>
        <w:numPr>
          <w:ilvl w:val="0"/>
          <w:numId w:val="3"/>
        </w:numPr>
        <w:spacing w:line="600" w:lineRule="exact"/>
        <w:ind w:firstLine="660" w:firstLineChars="150"/>
        <w:jc w:val="center"/>
        <w:outlineLvl w:val="0"/>
        <w:rPr>
          <w:rStyle w:val="33"/>
          <w:rFonts w:eastAsia="黑体"/>
          <w:b w:val="0"/>
        </w:rPr>
      </w:pPr>
      <w:bookmarkStart w:id="109" w:name="_Toc1596356131_WPSOffice_Level1"/>
      <w:bookmarkStart w:id="110" w:name="_Toc81557922"/>
      <w:bookmarkStart w:id="111" w:name="_Toc15396613"/>
      <w:bookmarkStart w:id="112" w:name="_Toc15377225"/>
      <w:bookmarkStart w:id="113" w:name="_Toc28284"/>
      <w:r>
        <w:rPr>
          <w:rFonts w:eastAsia="黑体"/>
          <w:sz w:val="44"/>
          <w:szCs w:val="44"/>
        </w:rPr>
        <w:t>名</w:t>
      </w:r>
      <w:r>
        <w:rPr>
          <w:rStyle w:val="33"/>
          <w:rFonts w:eastAsia="黑体"/>
          <w:b w:val="0"/>
        </w:rPr>
        <w:t>词解释</w:t>
      </w:r>
      <w:bookmarkEnd w:id="109"/>
    </w:p>
    <w:bookmarkEnd w:id="110"/>
    <w:bookmarkEnd w:id="111"/>
    <w:bookmarkEnd w:id="112"/>
    <w:bookmarkEnd w:id="113"/>
    <w:p>
      <w:pPr>
        <w:pStyle w:val="31"/>
        <w:spacing w:line="560" w:lineRule="exact"/>
        <w:ind w:firstLine="640" w:firstLineChars="200"/>
        <w:rPr>
          <w:rFonts w:ascii="Times New Roman" w:hAnsi="Times New Roman" w:eastAsia="仿宋_GB2312" w:cs="Times New Roman"/>
          <w:color w:val="auto"/>
          <w:sz w:val="32"/>
          <w:szCs w:val="32"/>
        </w:rPr>
      </w:pPr>
    </w:p>
    <w:p>
      <w:pPr>
        <w:pStyle w:val="31"/>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1.财政拨款收入：指单位从同级财政部门取得的财政预算资金。</w:t>
      </w:r>
    </w:p>
    <w:p>
      <w:pPr>
        <w:pStyle w:val="31"/>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2.事业收入：指事业单位开展专业业务活动及辅助活动取得的收入。</w:t>
      </w:r>
    </w:p>
    <w:p>
      <w:pPr>
        <w:pStyle w:val="31"/>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3.经营收入：指事业单位在专业业务活动及其辅助活动之外开展非独立核算经营活动取得的收入。</w:t>
      </w:r>
    </w:p>
    <w:p>
      <w:pPr>
        <w:pStyle w:val="31"/>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4.其他收入：指单位取得的除上述收入以外的各项收入。主要是利息收入等。</w:t>
      </w:r>
    </w:p>
    <w:p>
      <w:pPr>
        <w:pStyle w:val="31"/>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5.使用非财政拨款结余：指事业单位使用以前年度积累的非财政拨款结余弥补当年收支差额的金额。</w:t>
      </w:r>
    </w:p>
    <w:p>
      <w:pPr>
        <w:pStyle w:val="31"/>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6.年初结转和结余：指以前年度尚未完成、结转到本年按有关规定继续使用的资金。</w:t>
      </w:r>
    </w:p>
    <w:p>
      <w:pPr>
        <w:pStyle w:val="31"/>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7.结余分配：指事业单位按照会计制度规定缴纳的所得税、提取的专用结余以及转入非财政拨款结余的金额等。</w:t>
      </w:r>
    </w:p>
    <w:p>
      <w:pPr>
        <w:pStyle w:val="31"/>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8.年末结转和结余：指单位按有关规定结转到下年或以后年度继续使用的资金。</w:t>
      </w:r>
    </w:p>
    <w:p>
      <w:pPr>
        <w:spacing w:line="560" w:lineRule="exact"/>
        <w:ind w:firstLine="640" w:firstLineChars="200"/>
        <w:rPr>
          <w:rStyle w:val="22"/>
          <w:rFonts w:eastAsia="仿宋_GB2312"/>
          <w:b w:val="0"/>
          <w:bCs/>
          <w:sz w:val="32"/>
          <w:szCs w:val="32"/>
        </w:rPr>
      </w:pPr>
      <w:r>
        <w:rPr>
          <w:rStyle w:val="22"/>
          <w:rFonts w:eastAsia="仿宋_GB2312"/>
          <w:b w:val="0"/>
          <w:bCs/>
          <w:sz w:val="32"/>
          <w:szCs w:val="32"/>
        </w:rPr>
        <w:t>9.一般公共服务（类）发展与改革事务（款）行政运行（项）:</w:t>
      </w:r>
      <w:r>
        <w:rPr>
          <w:rFonts w:eastAsia="仿宋_GB2312"/>
          <w:kern w:val="0"/>
          <w:sz w:val="32"/>
          <w:szCs w:val="32"/>
        </w:rPr>
        <w:t xml:space="preserve"> 指反映行政单位（包括实行公务员管理的事业单位）的基本支出。</w:t>
      </w:r>
    </w:p>
    <w:p>
      <w:pPr>
        <w:spacing w:line="560" w:lineRule="exact"/>
        <w:ind w:firstLine="640" w:firstLineChars="200"/>
        <w:rPr>
          <w:rStyle w:val="22"/>
          <w:rFonts w:eastAsia="仿宋_GB2312"/>
          <w:b w:val="0"/>
          <w:bCs/>
          <w:sz w:val="32"/>
          <w:szCs w:val="32"/>
        </w:rPr>
      </w:pPr>
      <w:r>
        <w:rPr>
          <w:rStyle w:val="22"/>
          <w:rFonts w:eastAsia="仿宋_GB2312"/>
          <w:b w:val="0"/>
          <w:bCs/>
          <w:sz w:val="32"/>
          <w:szCs w:val="32"/>
        </w:rPr>
        <w:t>10.一般公共服务（类）发展与改革事务（款）物价管理（项）:指反映物价管理方面的支出。</w:t>
      </w:r>
    </w:p>
    <w:p>
      <w:pPr>
        <w:spacing w:line="560" w:lineRule="exact"/>
        <w:ind w:firstLine="640" w:firstLineChars="200"/>
        <w:rPr>
          <w:rFonts w:hint="eastAsia" w:eastAsia="仿宋_GB2312"/>
          <w:kern w:val="0"/>
          <w:sz w:val="32"/>
          <w:szCs w:val="32"/>
        </w:rPr>
      </w:pPr>
      <w:r>
        <w:rPr>
          <w:rStyle w:val="22"/>
          <w:rFonts w:eastAsia="仿宋_GB2312"/>
          <w:b w:val="0"/>
          <w:bCs/>
          <w:sz w:val="32"/>
          <w:szCs w:val="32"/>
        </w:rPr>
        <w:t>11.教育（类）进修及培训（款）培训支出（项）:</w:t>
      </w:r>
      <w:r>
        <w:rPr>
          <w:rFonts w:eastAsia="仿宋_GB2312"/>
          <w:kern w:val="0"/>
          <w:sz w:val="32"/>
          <w:szCs w:val="32"/>
        </w:rPr>
        <w:t xml:space="preserve"> 指反映各部门安排的用于培训方面的支出。</w:t>
      </w:r>
    </w:p>
    <w:p>
      <w:pPr>
        <w:spacing w:line="560" w:lineRule="exact"/>
        <w:ind w:firstLine="640" w:firstLineChars="200"/>
        <w:rPr>
          <w:rStyle w:val="22"/>
          <w:rFonts w:eastAsia="仿宋_GB2312"/>
          <w:b w:val="0"/>
          <w:bCs/>
          <w:sz w:val="32"/>
          <w:szCs w:val="32"/>
        </w:rPr>
      </w:pPr>
      <w:r>
        <w:rPr>
          <w:rStyle w:val="22"/>
          <w:rFonts w:eastAsia="仿宋_GB2312"/>
          <w:b w:val="0"/>
          <w:bCs/>
          <w:sz w:val="32"/>
          <w:szCs w:val="32"/>
        </w:rPr>
        <w:t xml:space="preserve">12.社会保障和就业（类）行政事业单位养老支出（款）行政单位离退休（项）: </w:t>
      </w:r>
      <w:r>
        <w:rPr>
          <w:rFonts w:eastAsia="仿宋_GB2312"/>
          <w:kern w:val="0"/>
          <w:sz w:val="32"/>
          <w:szCs w:val="32"/>
        </w:rPr>
        <w:t>指行政单位（包括实行公务员管理的事业单位）开支的离退休经费。</w:t>
      </w:r>
    </w:p>
    <w:p>
      <w:pPr>
        <w:pStyle w:val="2"/>
        <w:spacing w:before="93" w:line="560" w:lineRule="exact"/>
        <w:ind w:firstLine="640" w:firstLineChars="200"/>
        <w:rPr>
          <w:rStyle w:val="22"/>
          <w:rFonts w:ascii="Times New Roman"/>
          <w:b w:val="0"/>
          <w:bCs/>
          <w:kern w:val="2"/>
          <w:sz w:val="32"/>
          <w:szCs w:val="32"/>
        </w:rPr>
      </w:pPr>
      <w:r>
        <w:rPr>
          <w:rStyle w:val="22"/>
          <w:rFonts w:ascii="Times New Roman"/>
          <w:b w:val="0"/>
          <w:bCs/>
          <w:sz w:val="32"/>
          <w:szCs w:val="32"/>
        </w:rPr>
        <w:t xml:space="preserve">13.社会保障和就业（类）行政事业单位养老支出（款）机关事业单位基本养老保险缴费支出（项）: </w:t>
      </w:r>
      <w:r>
        <w:rPr>
          <w:rFonts w:ascii="Times New Roman"/>
          <w:sz w:val="32"/>
          <w:szCs w:val="32"/>
        </w:rPr>
        <w:t>反映机关事业单位实施养老保险制度由单位缴纳的基本养老保险费支出。</w:t>
      </w:r>
    </w:p>
    <w:p>
      <w:pPr>
        <w:pStyle w:val="2"/>
        <w:spacing w:before="93" w:line="560" w:lineRule="exact"/>
        <w:ind w:firstLine="640" w:firstLineChars="200"/>
        <w:rPr>
          <w:rFonts w:ascii="Times New Roman"/>
        </w:rPr>
      </w:pPr>
      <w:r>
        <w:rPr>
          <w:rStyle w:val="22"/>
          <w:rFonts w:ascii="Times New Roman"/>
          <w:b w:val="0"/>
          <w:bCs/>
          <w:sz w:val="32"/>
          <w:szCs w:val="32"/>
        </w:rPr>
        <w:t>14.社会保障和就业（类）行政事业单位养老支出（款）机关事业单位职业年金缴费支出（项）:</w:t>
      </w:r>
      <w:r>
        <w:rPr>
          <w:rFonts w:ascii="Times New Roman"/>
          <w:sz w:val="32"/>
          <w:szCs w:val="32"/>
        </w:rPr>
        <w:t xml:space="preserve"> 反映机关事业单位实施养老保险制度由单位实际缴纳的职业年金支出。</w:t>
      </w:r>
    </w:p>
    <w:p>
      <w:pPr>
        <w:spacing w:line="560" w:lineRule="exact"/>
        <w:ind w:firstLine="640" w:firstLineChars="200"/>
        <w:rPr>
          <w:rFonts w:eastAsia="仿宋_GB2312"/>
          <w:sz w:val="32"/>
          <w:szCs w:val="32"/>
        </w:rPr>
      </w:pPr>
      <w:r>
        <w:rPr>
          <w:rStyle w:val="22"/>
          <w:rFonts w:eastAsia="仿宋_GB2312"/>
          <w:b w:val="0"/>
          <w:bCs/>
          <w:sz w:val="32"/>
          <w:szCs w:val="32"/>
        </w:rPr>
        <w:t>15.</w:t>
      </w:r>
      <w:r>
        <w:rPr>
          <w:rFonts w:eastAsia="仿宋_GB2312"/>
          <w:bCs/>
          <w:sz w:val="32"/>
          <w:szCs w:val="32"/>
        </w:rPr>
        <w:t>卫生健康</w:t>
      </w:r>
      <w:r>
        <w:rPr>
          <w:rStyle w:val="22"/>
          <w:rFonts w:eastAsia="仿宋_GB2312"/>
          <w:b w:val="0"/>
          <w:bCs/>
          <w:sz w:val="32"/>
          <w:szCs w:val="32"/>
        </w:rPr>
        <w:t>（类）行政事业单位医疗（款）</w:t>
      </w:r>
      <w:r>
        <w:rPr>
          <w:rStyle w:val="22"/>
          <w:rFonts w:hint="eastAsia" w:eastAsia="仿宋_GB2312"/>
          <w:b w:val="0"/>
          <w:bCs/>
          <w:sz w:val="32"/>
          <w:szCs w:val="32"/>
        </w:rPr>
        <w:t>行政</w:t>
      </w:r>
      <w:r>
        <w:rPr>
          <w:rStyle w:val="22"/>
          <w:rFonts w:eastAsia="仿宋_GB2312"/>
          <w:b w:val="0"/>
          <w:bCs/>
          <w:sz w:val="32"/>
          <w:szCs w:val="32"/>
        </w:rPr>
        <w:t xml:space="preserve">单位医疗（项）: </w:t>
      </w:r>
      <w:r>
        <w:rPr>
          <w:rFonts w:eastAsia="仿宋_GB2312"/>
          <w:kern w:val="0"/>
          <w:sz w:val="32"/>
          <w:szCs w:val="32"/>
        </w:rPr>
        <w:t>指反映财政部门安排的行政单位（包括实行公务员管理的事业单位）基本医疗保险缴费经费，未参加医疗保险的行政单位的公费医疗经费，按国家规定享受离休人员、红军老战士待遇人员的医疗经费。</w:t>
      </w:r>
    </w:p>
    <w:p>
      <w:pPr>
        <w:spacing w:line="560" w:lineRule="exact"/>
        <w:ind w:firstLine="640" w:firstLineChars="200"/>
        <w:rPr>
          <w:rFonts w:eastAsia="仿宋_GB2312"/>
          <w:sz w:val="32"/>
          <w:szCs w:val="32"/>
        </w:rPr>
      </w:pPr>
      <w:r>
        <w:rPr>
          <w:rStyle w:val="22"/>
          <w:rFonts w:eastAsia="仿宋_GB2312"/>
          <w:b w:val="0"/>
          <w:bCs/>
          <w:sz w:val="32"/>
          <w:szCs w:val="32"/>
        </w:rPr>
        <w:t>16.</w:t>
      </w:r>
      <w:r>
        <w:rPr>
          <w:rFonts w:eastAsia="仿宋_GB2312"/>
          <w:bCs/>
          <w:sz w:val="32"/>
          <w:szCs w:val="32"/>
        </w:rPr>
        <w:t>卫生健康</w:t>
      </w:r>
      <w:r>
        <w:rPr>
          <w:rStyle w:val="22"/>
          <w:rFonts w:eastAsia="仿宋_GB2312"/>
          <w:b w:val="0"/>
          <w:bCs/>
          <w:sz w:val="32"/>
          <w:szCs w:val="32"/>
        </w:rPr>
        <w:t>（类）行政事业单位医疗（款）公务员医疗补助（项）: 指财政部门安排的公务员医疗补助经费。</w:t>
      </w:r>
    </w:p>
    <w:p>
      <w:pPr>
        <w:spacing w:line="560" w:lineRule="exact"/>
        <w:ind w:firstLine="640" w:firstLineChars="200"/>
        <w:rPr>
          <w:rFonts w:eastAsia="仿宋_GB2312"/>
          <w:sz w:val="32"/>
          <w:szCs w:val="32"/>
        </w:rPr>
      </w:pPr>
      <w:r>
        <w:rPr>
          <w:rStyle w:val="22"/>
          <w:rFonts w:eastAsia="仿宋_GB2312"/>
          <w:b w:val="0"/>
          <w:bCs/>
          <w:sz w:val="32"/>
          <w:szCs w:val="32"/>
        </w:rPr>
        <w:t>17.</w:t>
      </w:r>
      <w:r>
        <w:rPr>
          <w:rFonts w:eastAsia="仿宋_GB2312"/>
          <w:bCs/>
          <w:sz w:val="32"/>
          <w:szCs w:val="32"/>
        </w:rPr>
        <w:t>住房保障</w:t>
      </w:r>
      <w:r>
        <w:rPr>
          <w:rStyle w:val="22"/>
          <w:rFonts w:eastAsia="仿宋_GB2312"/>
          <w:b w:val="0"/>
          <w:bCs/>
          <w:sz w:val="32"/>
          <w:szCs w:val="32"/>
        </w:rPr>
        <w:t xml:space="preserve">（类）住房改革支出（款）住房公积金（项）: </w:t>
      </w:r>
      <w:r>
        <w:rPr>
          <w:rFonts w:eastAsia="仿宋_GB2312"/>
          <w:kern w:val="0"/>
          <w:sz w:val="32"/>
          <w:szCs w:val="32"/>
        </w:rPr>
        <w:t>指反映行政事业单位按人力资源和社会保障部、财政部规定的基本工资和津贴补贴以及规定比例为职工缴纳的住房公积金。</w:t>
      </w:r>
    </w:p>
    <w:p>
      <w:pPr>
        <w:spacing w:line="560" w:lineRule="exact"/>
        <w:ind w:firstLine="640" w:firstLineChars="200"/>
        <w:rPr>
          <w:rFonts w:eastAsia="仿宋_GB2312"/>
          <w:sz w:val="32"/>
          <w:szCs w:val="32"/>
        </w:rPr>
      </w:pPr>
      <w:r>
        <w:rPr>
          <w:rStyle w:val="22"/>
          <w:rFonts w:eastAsia="仿宋_GB2312"/>
          <w:b w:val="0"/>
          <w:bCs/>
          <w:sz w:val="32"/>
          <w:szCs w:val="32"/>
        </w:rPr>
        <w:t>18.</w:t>
      </w:r>
      <w:r>
        <w:rPr>
          <w:rFonts w:eastAsia="仿宋_GB2312"/>
          <w:bCs/>
          <w:sz w:val="32"/>
          <w:szCs w:val="32"/>
        </w:rPr>
        <w:t>住房保障</w:t>
      </w:r>
      <w:r>
        <w:rPr>
          <w:rStyle w:val="22"/>
          <w:rFonts w:eastAsia="仿宋_GB2312"/>
          <w:b w:val="0"/>
          <w:bCs/>
          <w:sz w:val="32"/>
          <w:szCs w:val="32"/>
        </w:rPr>
        <w:t xml:space="preserve">（类）住房改革支出（款）购房补贴（项）: </w:t>
      </w:r>
      <w:r>
        <w:rPr>
          <w:rFonts w:eastAsia="仿宋_GB2312"/>
          <w:kern w:val="0"/>
          <w:sz w:val="32"/>
          <w:szCs w:val="32"/>
        </w:rPr>
        <w:t>指反映按房改政策规定，行政事业单位向符合条件职工（含离退休）、军队（含武警）向转役复员离退休人员发放的用于购买住房的补贴。</w:t>
      </w:r>
    </w:p>
    <w:p>
      <w:pPr>
        <w:spacing w:line="560" w:lineRule="exact"/>
        <w:ind w:firstLine="640" w:firstLineChars="200"/>
        <w:rPr>
          <w:rFonts w:eastAsia="仿宋_GB2312"/>
          <w:sz w:val="32"/>
          <w:szCs w:val="32"/>
        </w:rPr>
      </w:pPr>
      <w:r>
        <w:rPr>
          <w:rFonts w:eastAsia="仿宋_GB2312"/>
          <w:sz w:val="32"/>
          <w:szCs w:val="32"/>
        </w:rPr>
        <w:t>19.基本支出：指为保障机构正常运转、完成日常工作任务而发生的人员支出和公用支出。</w:t>
      </w:r>
    </w:p>
    <w:p>
      <w:pPr>
        <w:spacing w:line="560" w:lineRule="exact"/>
        <w:ind w:firstLine="640" w:firstLineChars="200"/>
        <w:rPr>
          <w:rFonts w:eastAsia="仿宋_GB2312"/>
          <w:sz w:val="32"/>
          <w:szCs w:val="32"/>
        </w:rPr>
      </w:pPr>
      <w:r>
        <w:rPr>
          <w:rFonts w:eastAsia="仿宋_GB2312"/>
          <w:sz w:val="32"/>
          <w:szCs w:val="32"/>
        </w:rPr>
        <w:t>20.项目支出：指在基本支出之外为完成特定行政任务和事业发展目标所发生的支出。</w:t>
      </w:r>
    </w:p>
    <w:p>
      <w:pPr>
        <w:pStyle w:val="31"/>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21.“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1"/>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22.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eastAsia="仿宋_GB2312"/>
          <w:sz w:val="32"/>
          <w:szCs w:val="32"/>
        </w:rPr>
      </w:pPr>
      <w:bookmarkStart w:id="114" w:name="_Toc15377226"/>
      <w:r>
        <w:rPr>
          <w:b/>
          <w:sz w:val="44"/>
          <w:szCs w:val="44"/>
        </w:rPr>
        <w:br w:type="page"/>
      </w:r>
    </w:p>
    <w:p>
      <w:pPr>
        <w:spacing w:line="600" w:lineRule="exact"/>
        <w:jc w:val="center"/>
        <w:outlineLvl w:val="0"/>
        <w:rPr>
          <w:rStyle w:val="33"/>
          <w:rFonts w:ascii="黑体" w:hAnsi="黑体" w:eastAsia="黑体"/>
          <w:b w:val="0"/>
        </w:rPr>
      </w:pPr>
      <w:bookmarkStart w:id="115" w:name="_Toc15396618"/>
      <w:r>
        <w:rPr>
          <w:rFonts w:hint="eastAsia" w:ascii="黑体" w:hAnsi="黑体" w:eastAsia="黑体"/>
          <w:sz w:val="44"/>
          <w:szCs w:val="44"/>
        </w:rPr>
        <w:t>第</w:t>
      </w:r>
      <w:r>
        <w:rPr>
          <w:rStyle w:val="33"/>
          <w:rFonts w:hint="eastAsia" w:ascii="黑体" w:hAnsi="黑体" w:eastAsia="黑体"/>
          <w:b w:val="0"/>
        </w:rPr>
        <w:t>四部分 附件</w:t>
      </w:r>
    </w:p>
    <w:tbl>
      <w:tblPr>
        <w:tblStyle w:val="20"/>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r>
              <w:rPr>
                <w:rFonts w:hint="eastAsia" w:ascii="宋体" w:hAnsi="宋体" w:cs="宋体"/>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项目预算</w:t>
            </w:r>
            <w:r>
              <w:rPr>
                <w:rFonts w:hint="eastAsia" w:ascii="宋体" w:hAnsi="宋体" w:cs="宋体"/>
                <w:kern w:val="0"/>
                <w:sz w:val="24"/>
              </w:rPr>
              <w:br w:type="textWrapping"/>
            </w:r>
            <w:r>
              <w:rPr>
                <w:rFonts w:hint="eastAsia" w:ascii="宋体" w:hAnsi="宋体" w:cs="宋体"/>
                <w:kern w:val="0"/>
                <w:sz w:val="24"/>
              </w:rPr>
              <w:t>执行情况</w:t>
            </w:r>
            <w:r>
              <w:rPr>
                <w:rFonts w:hint="eastAsia"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54"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75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778"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75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779"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864"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bl>
    <w:p>
      <w:pPr>
        <w:spacing w:line="600" w:lineRule="exact"/>
        <w:jc w:val="center"/>
        <w:outlineLvl w:val="0"/>
        <w:rPr>
          <w:rFonts w:ascii="黑体" w:hAnsi="黑体" w:eastAsia="黑体"/>
          <w:sz w:val="44"/>
          <w:szCs w:val="44"/>
        </w:rPr>
      </w:pPr>
    </w:p>
    <w:p>
      <w:pPr>
        <w:widowControl/>
        <w:adjustRightInd w:val="0"/>
        <w:snapToGrid w:val="0"/>
        <w:spacing w:line="580" w:lineRule="exact"/>
        <w:contextualSpacing/>
        <w:jc w:val="left"/>
      </w:pPr>
      <w:r>
        <w:rPr>
          <w:rFonts w:hint="eastAsia" w:ascii="仿宋_GB2312" w:hAnsi="宋体" w:eastAsia="仿宋_GB2312" w:cs="宋体"/>
          <w:color w:val="000000"/>
          <w:kern w:val="0"/>
          <w:sz w:val="32"/>
          <w:szCs w:val="32"/>
          <w:shd w:val="clear" w:color="auto" w:fill="FFFFFF"/>
        </w:rPr>
        <w:t>（注：此表无数据）</w:t>
      </w:r>
    </w:p>
    <w:p>
      <w:pPr>
        <w:spacing w:line="600" w:lineRule="exact"/>
        <w:jc w:val="center"/>
        <w:outlineLvl w:val="0"/>
        <w:rPr>
          <w:rFonts w:eastAsia="方正小标宋简体"/>
          <w:kern w:val="0"/>
          <w:sz w:val="44"/>
          <w:szCs w:val="44"/>
          <w:lang w:val="zh-CN"/>
        </w:rPr>
      </w:pPr>
    </w:p>
    <w:p>
      <w:pPr>
        <w:pStyle w:val="2"/>
        <w:spacing w:before="93"/>
        <w:rPr>
          <w:lang w:val="zh-CN"/>
        </w:rPr>
      </w:pPr>
    </w:p>
    <w:p>
      <w:pPr>
        <w:spacing w:line="600" w:lineRule="exact"/>
        <w:jc w:val="center"/>
        <w:outlineLvl w:val="0"/>
        <w:rPr>
          <w:rFonts w:eastAsia="黑体"/>
          <w:sz w:val="44"/>
          <w:szCs w:val="44"/>
        </w:rPr>
      </w:pPr>
      <w:bookmarkStart w:id="116" w:name="_Toc81557925"/>
      <w:bookmarkStart w:id="117" w:name="_Toc4978"/>
    </w:p>
    <w:p>
      <w:pPr>
        <w:spacing w:line="600" w:lineRule="exact"/>
        <w:jc w:val="center"/>
        <w:outlineLvl w:val="0"/>
        <w:rPr>
          <w:rFonts w:eastAsia="仿宋"/>
        </w:rPr>
      </w:pPr>
      <w:r>
        <w:rPr>
          <w:rFonts w:eastAsia="黑体"/>
          <w:sz w:val="44"/>
          <w:szCs w:val="44"/>
        </w:rPr>
        <w:t>第</w:t>
      </w:r>
      <w:r>
        <w:rPr>
          <w:rStyle w:val="33"/>
          <w:rFonts w:eastAsia="黑体"/>
          <w:b w:val="0"/>
        </w:rPr>
        <w:t>五部分 附表</w:t>
      </w:r>
      <w:bookmarkEnd w:id="114"/>
      <w:bookmarkEnd w:id="115"/>
      <w:bookmarkEnd w:id="116"/>
      <w:bookmarkEnd w:id="117"/>
      <w:bookmarkStart w:id="118" w:name="_Toc15396619"/>
    </w:p>
    <w:p>
      <w:pPr>
        <w:pStyle w:val="4"/>
        <w:rPr>
          <w:rFonts w:ascii="Times New Roman" w:hAnsi="Times New Roman" w:eastAsia="仿宋_GB2312" w:cs="Times New Roman"/>
        </w:rPr>
      </w:pPr>
      <w:bookmarkStart w:id="119" w:name="_Toc81557926"/>
      <w:bookmarkStart w:id="120" w:name="_Toc29734"/>
      <w:r>
        <w:rPr>
          <w:rFonts w:ascii="Times New Roman" w:hAnsi="Times New Roman" w:eastAsia="仿宋_GB2312" w:cs="Times New Roman"/>
          <w:b w:val="0"/>
        </w:rPr>
        <w:t>一、收</w:t>
      </w:r>
      <w:r>
        <w:rPr>
          <w:rStyle w:val="34"/>
          <w:rFonts w:ascii="Times New Roman" w:hAnsi="Times New Roman" w:eastAsia="仿宋_GB2312" w:cs="Times New Roman"/>
          <w:b w:val="0"/>
          <w:bCs w:val="0"/>
        </w:rPr>
        <w:t>入支出决算总表</w:t>
      </w:r>
      <w:bookmarkEnd w:id="118"/>
      <w:bookmarkEnd w:id="119"/>
      <w:bookmarkEnd w:id="120"/>
    </w:p>
    <w:p>
      <w:pPr>
        <w:pStyle w:val="4"/>
        <w:rPr>
          <w:rFonts w:ascii="Times New Roman" w:hAnsi="Times New Roman" w:eastAsia="仿宋_GB2312" w:cs="Times New Roman"/>
        </w:rPr>
      </w:pPr>
      <w:bookmarkStart w:id="121" w:name="_Toc15396620"/>
      <w:bookmarkStart w:id="122" w:name="_Toc16597"/>
      <w:bookmarkStart w:id="123" w:name="_Toc81557927"/>
      <w:r>
        <w:rPr>
          <w:rFonts w:ascii="Times New Roman" w:hAnsi="Times New Roman" w:eastAsia="仿宋_GB2312" w:cs="Times New Roman"/>
          <w:b w:val="0"/>
        </w:rPr>
        <w:t>二、收</w:t>
      </w:r>
      <w:r>
        <w:rPr>
          <w:rStyle w:val="34"/>
          <w:rFonts w:ascii="Times New Roman" w:hAnsi="Times New Roman" w:eastAsia="仿宋_GB2312" w:cs="Times New Roman"/>
          <w:b w:val="0"/>
          <w:bCs w:val="0"/>
        </w:rPr>
        <w:t>入决算表</w:t>
      </w:r>
      <w:bookmarkEnd w:id="121"/>
      <w:bookmarkEnd w:id="122"/>
      <w:bookmarkEnd w:id="123"/>
    </w:p>
    <w:p>
      <w:pPr>
        <w:pStyle w:val="4"/>
        <w:rPr>
          <w:rFonts w:ascii="Times New Roman" w:hAnsi="Times New Roman" w:eastAsia="仿宋_GB2312" w:cs="Times New Roman"/>
        </w:rPr>
      </w:pPr>
      <w:bookmarkStart w:id="124" w:name="_Toc4568"/>
      <w:bookmarkStart w:id="125" w:name="_Toc81557928"/>
      <w:bookmarkStart w:id="126" w:name="_Toc15396621"/>
      <w:r>
        <w:rPr>
          <w:rStyle w:val="34"/>
          <w:rFonts w:ascii="Times New Roman" w:hAnsi="Times New Roman" w:eastAsia="仿宋_GB2312" w:cs="Times New Roman"/>
          <w:b w:val="0"/>
          <w:bCs w:val="0"/>
        </w:rPr>
        <w:t>三、</w:t>
      </w:r>
      <w:r>
        <w:rPr>
          <w:rFonts w:ascii="Times New Roman" w:hAnsi="Times New Roman" w:eastAsia="仿宋_GB2312" w:cs="Times New Roman"/>
          <w:b w:val="0"/>
        </w:rPr>
        <w:t>支</w:t>
      </w:r>
      <w:r>
        <w:rPr>
          <w:rStyle w:val="34"/>
          <w:rFonts w:ascii="Times New Roman" w:hAnsi="Times New Roman" w:eastAsia="仿宋_GB2312" w:cs="Times New Roman"/>
          <w:b w:val="0"/>
          <w:bCs w:val="0"/>
        </w:rPr>
        <w:t>出决算表</w:t>
      </w:r>
      <w:bookmarkEnd w:id="124"/>
      <w:bookmarkEnd w:id="125"/>
      <w:bookmarkEnd w:id="126"/>
    </w:p>
    <w:p>
      <w:pPr>
        <w:pStyle w:val="4"/>
        <w:rPr>
          <w:rFonts w:ascii="Times New Roman" w:hAnsi="Times New Roman" w:eastAsia="仿宋_GB2312" w:cs="Times New Roman"/>
          <w:b w:val="0"/>
        </w:rPr>
      </w:pPr>
      <w:bookmarkStart w:id="127" w:name="_Toc15396622"/>
      <w:bookmarkStart w:id="128" w:name="_Toc81557929"/>
      <w:bookmarkStart w:id="129" w:name="_Toc12105"/>
      <w:r>
        <w:rPr>
          <w:rStyle w:val="34"/>
          <w:rFonts w:ascii="Times New Roman" w:hAnsi="Times New Roman" w:eastAsia="仿宋_GB2312" w:cs="Times New Roman"/>
          <w:b w:val="0"/>
          <w:bCs w:val="0"/>
        </w:rPr>
        <w:t>四、</w:t>
      </w:r>
      <w:r>
        <w:rPr>
          <w:rFonts w:ascii="Times New Roman" w:hAnsi="Times New Roman" w:eastAsia="仿宋_GB2312" w:cs="Times New Roman"/>
          <w:b w:val="0"/>
        </w:rPr>
        <w:t>财</w:t>
      </w:r>
      <w:r>
        <w:rPr>
          <w:rStyle w:val="34"/>
          <w:rFonts w:ascii="Times New Roman" w:hAnsi="Times New Roman" w:eastAsia="仿宋_GB2312" w:cs="Times New Roman"/>
          <w:b w:val="0"/>
          <w:bCs w:val="0"/>
        </w:rPr>
        <w:t>政拨款收入支出决算总表</w:t>
      </w:r>
      <w:bookmarkEnd w:id="127"/>
      <w:bookmarkEnd w:id="128"/>
      <w:bookmarkEnd w:id="129"/>
    </w:p>
    <w:p>
      <w:pPr>
        <w:pStyle w:val="4"/>
        <w:rPr>
          <w:rStyle w:val="34"/>
          <w:rFonts w:ascii="Times New Roman" w:hAnsi="Times New Roman" w:eastAsia="仿宋_GB2312" w:cs="Times New Roman"/>
          <w:b w:val="0"/>
          <w:bCs w:val="0"/>
        </w:rPr>
      </w:pPr>
      <w:bookmarkStart w:id="130" w:name="_Toc81557930"/>
      <w:bookmarkStart w:id="131" w:name="_Toc15396623"/>
      <w:bookmarkStart w:id="132" w:name="_Toc17527"/>
      <w:r>
        <w:rPr>
          <w:rStyle w:val="34"/>
          <w:rFonts w:ascii="Times New Roman" w:hAnsi="Times New Roman" w:eastAsia="仿宋_GB2312" w:cs="Times New Roman"/>
          <w:b w:val="0"/>
          <w:bCs w:val="0"/>
        </w:rPr>
        <w:t>五、</w:t>
      </w:r>
      <w:r>
        <w:rPr>
          <w:rFonts w:ascii="Times New Roman" w:hAnsi="Times New Roman" w:eastAsia="仿宋_GB2312" w:cs="Times New Roman"/>
          <w:b w:val="0"/>
        </w:rPr>
        <w:t>财</w:t>
      </w:r>
      <w:r>
        <w:rPr>
          <w:rStyle w:val="34"/>
          <w:rFonts w:ascii="Times New Roman" w:hAnsi="Times New Roman" w:eastAsia="仿宋_GB2312" w:cs="Times New Roman"/>
          <w:b w:val="0"/>
          <w:bCs w:val="0"/>
        </w:rPr>
        <w:t>政拨款支出决算明细表</w:t>
      </w:r>
      <w:bookmarkEnd w:id="130"/>
      <w:bookmarkEnd w:id="131"/>
      <w:bookmarkEnd w:id="132"/>
      <w:bookmarkStart w:id="133" w:name="_Toc15396624"/>
    </w:p>
    <w:p>
      <w:pPr>
        <w:pStyle w:val="4"/>
        <w:rPr>
          <w:rFonts w:ascii="Times New Roman" w:hAnsi="Times New Roman" w:eastAsia="仿宋_GB2312" w:cs="Times New Roman"/>
        </w:rPr>
      </w:pPr>
      <w:bookmarkStart w:id="134" w:name="_Toc81557931"/>
      <w:bookmarkStart w:id="135" w:name="_Toc8096"/>
      <w:r>
        <w:rPr>
          <w:rStyle w:val="34"/>
          <w:rFonts w:ascii="Times New Roman" w:hAnsi="Times New Roman" w:eastAsia="仿宋_GB2312" w:cs="Times New Roman"/>
          <w:b w:val="0"/>
          <w:bCs w:val="0"/>
        </w:rPr>
        <w:t>六、</w:t>
      </w:r>
      <w:r>
        <w:rPr>
          <w:rFonts w:ascii="Times New Roman" w:hAnsi="Times New Roman" w:eastAsia="仿宋_GB2312" w:cs="Times New Roman"/>
          <w:b w:val="0"/>
        </w:rPr>
        <w:t>一</w:t>
      </w:r>
      <w:r>
        <w:rPr>
          <w:rStyle w:val="34"/>
          <w:rFonts w:ascii="Times New Roman" w:hAnsi="Times New Roman" w:eastAsia="仿宋_GB2312" w:cs="Times New Roman"/>
          <w:b w:val="0"/>
          <w:bCs w:val="0"/>
        </w:rPr>
        <w:t>般公共预算财政拨款支出决算表</w:t>
      </w:r>
      <w:bookmarkEnd w:id="133"/>
      <w:bookmarkEnd w:id="134"/>
      <w:bookmarkEnd w:id="135"/>
    </w:p>
    <w:p>
      <w:pPr>
        <w:pStyle w:val="4"/>
        <w:rPr>
          <w:rFonts w:ascii="Times New Roman" w:hAnsi="Times New Roman" w:eastAsia="仿宋_GB2312" w:cs="Times New Roman"/>
        </w:rPr>
      </w:pPr>
      <w:bookmarkStart w:id="136" w:name="_Toc21628"/>
      <w:bookmarkStart w:id="137" w:name="_Toc81557932"/>
      <w:bookmarkStart w:id="138" w:name="_Toc15396625"/>
      <w:r>
        <w:rPr>
          <w:rStyle w:val="34"/>
          <w:rFonts w:ascii="Times New Roman" w:hAnsi="Times New Roman" w:eastAsia="仿宋_GB2312" w:cs="Times New Roman"/>
          <w:b w:val="0"/>
          <w:bCs w:val="0"/>
        </w:rPr>
        <w:t>七、</w:t>
      </w:r>
      <w:r>
        <w:rPr>
          <w:rFonts w:ascii="Times New Roman" w:hAnsi="Times New Roman" w:eastAsia="仿宋_GB2312" w:cs="Times New Roman"/>
          <w:b w:val="0"/>
        </w:rPr>
        <w:t>一</w:t>
      </w:r>
      <w:r>
        <w:rPr>
          <w:rStyle w:val="34"/>
          <w:rFonts w:ascii="Times New Roman" w:hAnsi="Times New Roman" w:eastAsia="仿宋_GB2312" w:cs="Times New Roman"/>
          <w:b w:val="0"/>
          <w:bCs w:val="0"/>
        </w:rPr>
        <w:t>般公共预算财政拨款支出决算明细表</w:t>
      </w:r>
      <w:bookmarkEnd w:id="136"/>
      <w:bookmarkEnd w:id="137"/>
      <w:bookmarkEnd w:id="138"/>
    </w:p>
    <w:p>
      <w:pPr>
        <w:pStyle w:val="4"/>
        <w:rPr>
          <w:rFonts w:ascii="Times New Roman" w:hAnsi="Times New Roman" w:eastAsia="仿宋_GB2312" w:cs="Times New Roman"/>
        </w:rPr>
      </w:pPr>
      <w:bookmarkStart w:id="139" w:name="_Toc81557933"/>
      <w:bookmarkStart w:id="140" w:name="_Toc24464"/>
      <w:bookmarkStart w:id="141" w:name="_Toc15396626"/>
      <w:r>
        <w:rPr>
          <w:rStyle w:val="34"/>
          <w:rFonts w:ascii="Times New Roman" w:hAnsi="Times New Roman" w:eastAsia="仿宋_GB2312" w:cs="Times New Roman"/>
          <w:b w:val="0"/>
          <w:bCs w:val="0"/>
        </w:rPr>
        <w:t>八、</w:t>
      </w:r>
      <w:r>
        <w:rPr>
          <w:rFonts w:ascii="Times New Roman" w:hAnsi="Times New Roman" w:eastAsia="仿宋_GB2312" w:cs="Times New Roman"/>
          <w:b w:val="0"/>
        </w:rPr>
        <w:t>一</w:t>
      </w:r>
      <w:r>
        <w:rPr>
          <w:rStyle w:val="34"/>
          <w:rFonts w:ascii="Times New Roman" w:hAnsi="Times New Roman" w:eastAsia="仿宋_GB2312" w:cs="Times New Roman"/>
          <w:b w:val="0"/>
          <w:bCs w:val="0"/>
        </w:rPr>
        <w:t>般公共预算财政拨款基本支出决算表</w:t>
      </w:r>
      <w:bookmarkEnd w:id="139"/>
      <w:bookmarkEnd w:id="140"/>
      <w:bookmarkEnd w:id="141"/>
    </w:p>
    <w:p>
      <w:pPr>
        <w:pStyle w:val="4"/>
        <w:rPr>
          <w:rFonts w:ascii="Times New Roman" w:hAnsi="Times New Roman" w:eastAsia="仿宋_GB2312" w:cs="Times New Roman"/>
        </w:rPr>
      </w:pPr>
      <w:bookmarkStart w:id="142" w:name="_Toc81557934"/>
      <w:bookmarkStart w:id="143" w:name="_Toc15396627"/>
      <w:bookmarkStart w:id="144" w:name="_Toc2887"/>
      <w:r>
        <w:rPr>
          <w:rStyle w:val="34"/>
          <w:rFonts w:ascii="Times New Roman" w:hAnsi="Times New Roman" w:eastAsia="仿宋_GB2312" w:cs="Times New Roman"/>
          <w:b w:val="0"/>
          <w:bCs w:val="0"/>
        </w:rPr>
        <w:t>九、</w:t>
      </w:r>
      <w:r>
        <w:rPr>
          <w:rFonts w:ascii="Times New Roman" w:hAnsi="Times New Roman" w:eastAsia="仿宋_GB2312" w:cs="Times New Roman"/>
          <w:b w:val="0"/>
        </w:rPr>
        <w:t>一</w:t>
      </w:r>
      <w:r>
        <w:rPr>
          <w:rStyle w:val="34"/>
          <w:rFonts w:ascii="Times New Roman" w:hAnsi="Times New Roman" w:eastAsia="仿宋_GB2312" w:cs="Times New Roman"/>
          <w:b w:val="0"/>
          <w:bCs w:val="0"/>
        </w:rPr>
        <w:t>般公共预算财政拨款项目支出决算表</w:t>
      </w:r>
      <w:bookmarkEnd w:id="142"/>
      <w:bookmarkEnd w:id="143"/>
      <w:bookmarkEnd w:id="144"/>
    </w:p>
    <w:p>
      <w:pPr>
        <w:pStyle w:val="4"/>
        <w:rPr>
          <w:rFonts w:ascii="Times New Roman" w:hAnsi="Times New Roman" w:eastAsia="仿宋_GB2312" w:cs="Times New Roman"/>
        </w:rPr>
      </w:pPr>
      <w:bookmarkStart w:id="145" w:name="_Toc891"/>
      <w:bookmarkStart w:id="146" w:name="_Toc15396628"/>
      <w:bookmarkStart w:id="147" w:name="_Toc81557935"/>
      <w:r>
        <w:rPr>
          <w:rStyle w:val="34"/>
          <w:rFonts w:ascii="Times New Roman" w:hAnsi="Times New Roman" w:eastAsia="仿宋_GB2312" w:cs="Times New Roman"/>
          <w:b w:val="0"/>
          <w:bCs w:val="0"/>
        </w:rPr>
        <w:t>十、</w:t>
      </w:r>
      <w:r>
        <w:rPr>
          <w:rFonts w:ascii="Times New Roman" w:hAnsi="Times New Roman" w:eastAsia="仿宋_GB2312" w:cs="Times New Roman"/>
          <w:b w:val="0"/>
        </w:rPr>
        <w:t>一</w:t>
      </w:r>
      <w:r>
        <w:rPr>
          <w:rStyle w:val="34"/>
          <w:rFonts w:ascii="Times New Roman" w:hAnsi="Times New Roman" w:eastAsia="仿宋_GB2312" w:cs="Times New Roman"/>
          <w:b w:val="0"/>
          <w:bCs w:val="0"/>
        </w:rPr>
        <w:t>般公共预算财政拨款“三公”经费支出决算表</w:t>
      </w:r>
      <w:bookmarkEnd w:id="145"/>
      <w:bookmarkEnd w:id="146"/>
      <w:bookmarkEnd w:id="147"/>
    </w:p>
    <w:p>
      <w:pPr>
        <w:pStyle w:val="4"/>
        <w:rPr>
          <w:rFonts w:ascii="Times New Roman" w:hAnsi="Times New Roman" w:eastAsia="仿宋_GB2312" w:cs="Times New Roman"/>
        </w:rPr>
      </w:pPr>
      <w:bookmarkStart w:id="148" w:name="_Toc16967"/>
      <w:bookmarkStart w:id="149" w:name="_Toc81557936"/>
      <w:bookmarkStart w:id="150" w:name="_Toc15396629"/>
      <w:r>
        <w:rPr>
          <w:rStyle w:val="34"/>
          <w:rFonts w:ascii="Times New Roman" w:hAnsi="Times New Roman" w:eastAsia="仿宋_GB2312" w:cs="Times New Roman"/>
          <w:b w:val="0"/>
          <w:bCs w:val="0"/>
        </w:rPr>
        <w:t>十一、</w:t>
      </w:r>
      <w:r>
        <w:rPr>
          <w:rFonts w:ascii="Times New Roman" w:hAnsi="Times New Roman" w:eastAsia="仿宋_GB2312" w:cs="Times New Roman"/>
          <w:b w:val="0"/>
        </w:rPr>
        <w:t>政</w:t>
      </w:r>
      <w:r>
        <w:rPr>
          <w:rStyle w:val="34"/>
          <w:rFonts w:ascii="Times New Roman" w:hAnsi="Times New Roman" w:eastAsia="仿宋_GB2312" w:cs="Times New Roman"/>
          <w:b w:val="0"/>
          <w:bCs w:val="0"/>
        </w:rPr>
        <w:t>府性基金预算财政拨款收入支出决算表</w:t>
      </w:r>
      <w:bookmarkEnd w:id="148"/>
      <w:bookmarkEnd w:id="149"/>
      <w:bookmarkEnd w:id="150"/>
    </w:p>
    <w:p>
      <w:pPr>
        <w:pStyle w:val="4"/>
        <w:rPr>
          <w:rFonts w:ascii="Times New Roman" w:hAnsi="Times New Roman" w:eastAsia="仿宋_GB2312" w:cs="Times New Roman"/>
        </w:rPr>
      </w:pPr>
      <w:bookmarkStart w:id="151" w:name="_Toc81557937"/>
      <w:bookmarkStart w:id="152" w:name="_Toc857"/>
      <w:bookmarkStart w:id="153" w:name="_Toc15396630"/>
      <w:r>
        <w:rPr>
          <w:rStyle w:val="34"/>
          <w:rFonts w:ascii="Times New Roman" w:hAnsi="Times New Roman" w:eastAsia="仿宋_GB2312" w:cs="Times New Roman"/>
          <w:b w:val="0"/>
          <w:bCs w:val="0"/>
        </w:rPr>
        <w:t>十二、</w:t>
      </w:r>
      <w:r>
        <w:rPr>
          <w:rFonts w:ascii="Times New Roman" w:hAnsi="Times New Roman" w:eastAsia="仿宋_GB2312" w:cs="Times New Roman"/>
          <w:b w:val="0"/>
        </w:rPr>
        <w:t>政</w:t>
      </w:r>
      <w:r>
        <w:rPr>
          <w:rStyle w:val="34"/>
          <w:rFonts w:ascii="Times New Roman" w:hAnsi="Times New Roman" w:eastAsia="仿宋_GB2312" w:cs="Times New Roman"/>
          <w:b w:val="0"/>
          <w:bCs w:val="0"/>
        </w:rPr>
        <w:t>府性基金预算财政拨款“三公”经费支出决算表</w:t>
      </w:r>
      <w:bookmarkEnd w:id="151"/>
      <w:bookmarkEnd w:id="152"/>
      <w:bookmarkEnd w:id="153"/>
    </w:p>
    <w:p>
      <w:pPr>
        <w:pStyle w:val="4"/>
        <w:rPr>
          <w:rStyle w:val="34"/>
          <w:rFonts w:ascii="Times New Roman" w:hAnsi="Times New Roman" w:eastAsia="仿宋_GB2312" w:cs="Times New Roman"/>
          <w:b w:val="0"/>
          <w:bCs w:val="0"/>
        </w:rPr>
      </w:pPr>
      <w:bookmarkStart w:id="154" w:name="_Toc81557938"/>
      <w:bookmarkStart w:id="155" w:name="_Toc15396631"/>
      <w:bookmarkStart w:id="156" w:name="_Toc11445"/>
      <w:r>
        <w:rPr>
          <w:rStyle w:val="34"/>
          <w:rFonts w:ascii="Times New Roman" w:hAnsi="Times New Roman" w:eastAsia="仿宋_GB2312" w:cs="Times New Roman"/>
          <w:b w:val="0"/>
          <w:bCs w:val="0"/>
        </w:rPr>
        <w:t>十三、</w:t>
      </w:r>
      <w:r>
        <w:rPr>
          <w:rFonts w:ascii="Times New Roman" w:hAnsi="Times New Roman" w:eastAsia="仿宋_GB2312" w:cs="Times New Roman"/>
          <w:b w:val="0"/>
        </w:rPr>
        <w:t>国</w:t>
      </w:r>
      <w:r>
        <w:rPr>
          <w:rStyle w:val="34"/>
          <w:rFonts w:ascii="Times New Roman" w:hAnsi="Times New Roman" w:eastAsia="仿宋_GB2312" w:cs="Times New Roman"/>
          <w:b w:val="0"/>
          <w:bCs w:val="0"/>
        </w:rPr>
        <w:t>有资本经营预算财政拨款收入支出决算表</w:t>
      </w:r>
      <w:bookmarkEnd w:id="154"/>
      <w:bookmarkEnd w:id="155"/>
      <w:bookmarkEnd w:id="156"/>
    </w:p>
    <w:p>
      <w:pPr>
        <w:rPr>
          <w:rFonts w:eastAsia="仿宋_GB2312"/>
        </w:rPr>
      </w:pPr>
      <w:bookmarkStart w:id="157" w:name="_Toc81557939"/>
      <w:bookmarkStart w:id="158" w:name="_Toc31768"/>
      <w:r>
        <w:rPr>
          <w:rStyle w:val="34"/>
          <w:rFonts w:ascii="Times New Roman" w:hAnsi="Times New Roman" w:eastAsia="仿宋_GB2312" w:cs="Times New Roman"/>
          <w:b w:val="0"/>
          <w:bCs w:val="0"/>
        </w:rPr>
        <w:t>十四、国有资本经营预算财政拨款支出决算表</w:t>
      </w:r>
      <w:bookmarkEnd w:id="157"/>
      <w:bookmarkEnd w:id="158"/>
    </w:p>
    <w:sectPr>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w:t>
                          </w:r>
                          <w:r>
                            <w:rPr>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2"/>
                    </w:pPr>
                    <w:r>
                      <w:t>—</w:t>
                    </w:r>
                    <w:r>
                      <w:rPr>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t xml:space="preserve"> —</w:t>
                    </w:r>
                  </w:p>
                </w:txbxContent>
              </v:textbox>
            </v:shape>
          </w:pict>
        </mc:Fallback>
      </mc:AlternateConten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0NDEzN2MyMjNmYWYxMDlkNDIyOTk1Mjc0Zjg1OT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0595"/>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44BD"/>
    <w:rsid w:val="001D7531"/>
    <w:rsid w:val="001E737D"/>
    <w:rsid w:val="001F0592"/>
    <w:rsid w:val="001F12B9"/>
    <w:rsid w:val="001F7506"/>
    <w:rsid w:val="002006CD"/>
    <w:rsid w:val="00202B36"/>
    <w:rsid w:val="00204B7A"/>
    <w:rsid w:val="00204CDE"/>
    <w:rsid w:val="0021101A"/>
    <w:rsid w:val="00217685"/>
    <w:rsid w:val="00220536"/>
    <w:rsid w:val="00226DA4"/>
    <w:rsid w:val="00235629"/>
    <w:rsid w:val="00236932"/>
    <w:rsid w:val="00245235"/>
    <w:rsid w:val="00247D87"/>
    <w:rsid w:val="002524BD"/>
    <w:rsid w:val="00260C38"/>
    <w:rsid w:val="002616C0"/>
    <w:rsid w:val="00265372"/>
    <w:rsid w:val="002662AA"/>
    <w:rsid w:val="00280496"/>
    <w:rsid w:val="00294DC9"/>
    <w:rsid w:val="00295495"/>
    <w:rsid w:val="002A31DE"/>
    <w:rsid w:val="002B2613"/>
    <w:rsid w:val="002D6D05"/>
    <w:rsid w:val="002F1818"/>
    <w:rsid w:val="002F567B"/>
    <w:rsid w:val="002F6BCF"/>
    <w:rsid w:val="00310B98"/>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29E9"/>
    <w:rsid w:val="00406254"/>
    <w:rsid w:val="004223DE"/>
    <w:rsid w:val="00423392"/>
    <w:rsid w:val="00434489"/>
    <w:rsid w:val="00437085"/>
    <w:rsid w:val="00443880"/>
    <w:rsid w:val="004464F4"/>
    <w:rsid w:val="00447301"/>
    <w:rsid w:val="00471401"/>
    <w:rsid w:val="00473F31"/>
    <w:rsid w:val="0048263A"/>
    <w:rsid w:val="00487E5D"/>
    <w:rsid w:val="004A711F"/>
    <w:rsid w:val="004B0740"/>
    <w:rsid w:val="004B199D"/>
    <w:rsid w:val="004B4690"/>
    <w:rsid w:val="004B7EB5"/>
    <w:rsid w:val="004E0A2D"/>
    <w:rsid w:val="004E206B"/>
    <w:rsid w:val="004E6DF7"/>
    <w:rsid w:val="004F0FBD"/>
    <w:rsid w:val="00505A47"/>
    <w:rsid w:val="00512FDA"/>
    <w:rsid w:val="00520DA0"/>
    <w:rsid w:val="00537753"/>
    <w:rsid w:val="005664BB"/>
    <w:rsid w:val="00566FFA"/>
    <w:rsid w:val="0057481D"/>
    <w:rsid w:val="0058486E"/>
    <w:rsid w:val="00584F3C"/>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0150"/>
    <w:rsid w:val="006A3141"/>
    <w:rsid w:val="006A5E34"/>
    <w:rsid w:val="006B2422"/>
    <w:rsid w:val="006B2B9A"/>
    <w:rsid w:val="006C1937"/>
    <w:rsid w:val="006F020C"/>
    <w:rsid w:val="00706589"/>
    <w:rsid w:val="007127B7"/>
    <w:rsid w:val="0071798E"/>
    <w:rsid w:val="007416B6"/>
    <w:rsid w:val="00746F48"/>
    <w:rsid w:val="0075404D"/>
    <w:rsid w:val="0076182A"/>
    <w:rsid w:val="00767B7E"/>
    <w:rsid w:val="007770C3"/>
    <w:rsid w:val="00784D24"/>
    <w:rsid w:val="00785FBA"/>
    <w:rsid w:val="00786E4A"/>
    <w:rsid w:val="007875EB"/>
    <w:rsid w:val="0079426B"/>
    <w:rsid w:val="007A6E4F"/>
    <w:rsid w:val="007B7C7E"/>
    <w:rsid w:val="007D1682"/>
    <w:rsid w:val="007D312A"/>
    <w:rsid w:val="007D3F19"/>
    <w:rsid w:val="007D772F"/>
    <w:rsid w:val="007E23B0"/>
    <w:rsid w:val="007E23E5"/>
    <w:rsid w:val="007F1991"/>
    <w:rsid w:val="007F2C2F"/>
    <w:rsid w:val="007F55FC"/>
    <w:rsid w:val="007F5665"/>
    <w:rsid w:val="00800112"/>
    <w:rsid w:val="00813348"/>
    <w:rsid w:val="008253BB"/>
    <w:rsid w:val="0083706E"/>
    <w:rsid w:val="008408F6"/>
    <w:rsid w:val="00841AE5"/>
    <w:rsid w:val="008423A5"/>
    <w:rsid w:val="00850625"/>
    <w:rsid w:val="00853718"/>
    <w:rsid w:val="00855221"/>
    <w:rsid w:val="00857F89"/>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56BF"/>
    <w:rsid w:val="0098660A"/>
    <w:rsid w:val="009931C3"/>
    <w:rsid w:val="009B2C43"/>
    <w:rsid w:val="009B4EAE"/>
    <w:rsid w:val="009B7573"/>
    <w:rsid w:val="009C22F4"/>
    <w:rsid w:val="009C2A4B"/>
    <w:rsid w:val="009C2DDE"/>
    <w:rsid w:val="009C2E98"/>
    <w:rsid w:val="009D0276"/>
    <w:rsid w:val="009D3447"/>
    <w:rsid w:val="009D4711"/>
    <w:rsid w:val="009F1185"/>
    <w:rsid w:val="009F18CD"/>
    <w:rsid w:val="009F2A13"/>
    <w:rsid w:val="009F7527"/>
    <w:rsid w:val="00A04EB0"/>
    <w:rsid w:val="00A13CC1"/>
    <w:rsid w:val="00A16847"/>
    <w:rsid w:val="00A237D8"/>
    <w:rsid w:val="00A268C4"/>
    <w:rsid w:val="00A27A8E"/>
    <w:rsid w:val="00A307CD"/>
    <w:rsid w:val="00A32C22"/>
    <w:rsid w:val="00A331C8"/>
    <w:rsid w:val="00A40A00"/>
    <w:rsid w:val="00A4142F"/>
    <w:rsid w:val="00A422EB"/>
    <w:rsid w:val="00A45BB7"/>
    <w:rsid w:val="00A554D6"/>
    <w:rsid w:val="00A56DF2"/>
    <w:rsid w:val="00A56E6E"/>
    <w:rsid w:val="00A67AB5"/>
    <w:rsid w:val="00A733B2"/>
    <w:rsid w:val="00A741C2"/>
    <w:rsid w:val="00A91760"/>
    <w:rsid w:val="00A93B00"/>
    <w:rsid w:val="00A93C21"/>
    <w:rsid w:val="00AB0B31"/>
    <w:rsid w:val="00AB64C9"/>
    <w:rsid w:val="00AC3C6A"/>
    <w:rsid w:val="00AD5620"/>
    <w:rsid w:val="00AD569E"/>
    <w:rsid w:val="00AD656B"/>
    <w:rsid w:val="00AD7C1B"/>
    <w:rsid w:val="00AE16BA"/>
    <w:rsid w:val="00AE1EBE"/>
    <w:rsid w:val="00B03C9D"/>
    <w:rsid w:val="00B060AE"/>
    <w:rsid w:val="00B10517"/>
    <w:rsid w:val="00B10E03"/>
    <w:rsid w:val="00B14E76"/>
    <w:rsid w:val="00B161B8"/>
    <w:rsid w:val="00B2048C"/>
    <w:rsid w:val="00B310B9"/>
    <w:rsid w:val="00B35F3F"/>
    <w:rsid w:val="00B36CBB"/>
    <w:rsid w:val="00B41BBE"/>
    <w:rsid w:val="00B425E0"/>
    <w:rsid w:val="00B440AA"/>
    <w:rsid w:val="00B44B70"/>
    <w:rsid w:val="00B53C56"/>
    <w:rsid w:val="00B57DAF"/>
    <w:rsid w:val="00B77EA6"/>
    <w:rsid w:val="00B81598"/>
    <w:rsid w:val="00B841F1"/>
    <w:rsid w:val="00B944D6"/>
    <w:rsid w:val="00BB02BA"/>
    <w:rsid w:val="00BB109F"/>
    <w:rsid w:val="00BB4DF0"/>
    <w:rsid w:val="00BC289F"/>
    <w:rsid w:val="00BC2D50"/>
    <w:rsid w:val="00BC5361"/>
    <w:rsid w:val="00BC5460"/>
    <w:rsid w:val="00BC6B50"/>
    <w:rsid w:val="00BD0E25"/>
    <w:rsid w:val="00BF2F32"/>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A4AD6"/>
    <w:rsid w:val="00CB4E70"/>
    <w:rsid w:val="00CB6ECE"/>
    <w:rsid w:val="00CC09B6"/>
    <w:rsid w:val="00CC666F"/>
    <w:rsid w:val="00CD1E3F"/>
    <w:rsid w:val="00CE44F6"/>
    <w:rsid w:val="00CE49DA"/>
    <w:rsid w:val="00CE7B61"/>
    <w:rsid w:val="00D00095"/>
    <w:rsid w:val="00D05CF6"/>
    <w:rsid w:val="00D1095D"/>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E12DA"/>
    <w:rsid w:val="00DF28BC"/>
    <w:rsid w:val="00DF34B9"/>
    <w:rsid w:val="00E01053"/>
    <w:rsid w:val="00E07ACF"/>
    <w:rsid w:val="00E15FE4"/>
    <w:rsid w:val="00E331A1"/>
    <w:rsid w:val="00E33202"/>
    <w:rsid w:val="00E336A9"/>
    <w:rsid w:val="00E472B1"/>
    <w:rsid w:val="00E50624"/>
    <w:rsid w:val="00E568DF"/>
    <w:rsid w:val="00E64269"/>
    <w:rsid w:val="00E816FA"/>
    <w:rsid w:val="00E82267"/>
    <w:rsid w:val="00E853CE"/>
    <w:rsid w:val="00E867B6"/>
    <w:rsid w:val="00EA010F"/>
    <w:rsid w:val="00EC2C4E"/>
    <w:rsid w:val="00ED1B63"/>
    <w:rsid w:val="00ED3C1F"/>
    <w:rsid w:val="00ED4085"/>
    <w:rsid w:val="00ED420E"/>
    <w:rsid w:val="00ED6FBE"/>
    <w:rsid w:val="00EE2F57"/>
    <w:rsid w:val="00EF4C34"/>
    <w:rsid w:val="00EF77C6"/>
    <w:rsid w:val="00F05438"/>
    <w:rsid w:val="00F06AF9"/>
    <w:rsid w:val="00F1361C"/>
    <w:rsid w:val="00F156F0"/>
    <w:rsid w:val="00F160C7"/>
    <w:rsid w:val="00F21BAE"/>
    <w:rsid w:val="00F2408F"/>
    <w:rsid w:val="00F240E9"/>
    <w:rsid w:val="00F35329"/>
    <w:rsid w:val="00F36D8F"/>
    <w:rsid w:val="00F417B1"/>
    <w:rsid w:val="00F45853"/>
    <w:rsid w:val="00F602DF"/>
    <w:rsid w:val="00F754A1"/>
    <w:rsid w:val="00F76D6B"/>
    <w:rsid w:val="00F81FD9"/>
    <w:rsid w:val="00F841AA"/>
    <w:rsid w:val="00F84A94"/>
    <w:rsid w:val="00F87E96"/>
    <w:rsid w:val="00FA23E8"/>
    <w:rsid w:val="00FD3CC1"/>
    <w:rsid w:val="00FF1E02"/>
    <w:rsid w:val="00FF30B4"/>
    <w:rsid w:val="011C3821"/>
    <w:rsid w:val="01E4395E"/>
    <w:rsid w:val="02E10DED"/>
    <w:rsid w:val="04180F6C"/>
    <w:rsid w:val="0A2032A3"/>
    <w:rsid w:val="0B3B108A"/>
    <w:rsid w:val="0B7D6D90"/>
    <w:rsid w:val="0F4C1AE4"/>
    <w:rsid w:val="0FDB3483"/>
    <w:rsid w:val="10C055FF"/>
    <w:rsid w:val="118107EC"/>
    <w:rsid w:val="16204D16"/>
    <w:rsid w:val="16BB723D"/>
    <w:rsid w:val="16E81B75"/>
    <w:rsid w:val="18015F3F"/>
    <w:rsid w:val="1BE8440E"/>
    <w:rsid w:val="1D155CEE"/>
    <w:rsid w:val="1D773AAF"/>
    <w:rsid w:val="20F57F95"/>
    <w:rsid w:val="21934B84"/>
    <w:rsid w:val="21D95D87"/>
    <w:rsid w:val="240371BF"/>
    <w:rsid w:val="25630155"/>
    <w:rsid w:val="25DA1C57"/>
    <w:rsid w:val="26C70A62"/>
    <w:rsid w:val="274D5C37"/>
    <w:rsid w:val="27842671"/>
    <w:rsid w:val="29DE612A"/>
    <w:rsid w:val="29FD04D3"/>
    <w:rsid w:val="2ABE7A3E"/>
    <w:rsid w:val="319F7F4E"/>
    <w:rsid w:val="323C3550"/>
    <w:rsid w:val="38A47024"/>
    <w:rsid w:val="3C0C0783"/>
    <w:rsid w:val="3D3E0D3C"/>
    <w:rsid w:val="40D678A0"/>
    <w:rsid w:val="4158079D"/>
    <w:rsid w:val="447D00E1"/>
    <w:rsid w:val="44E42927"/>
    <w:rsid w:val="44E94B5D"/>
    <w:rsid w:val="456340D6"/>
    <w:rsid w:val="45F90D9B"/>
    <w:rsid w:val="47DF4E11"/>
    <w:rsid w:val="493C27E9"/>
    <w:rsid w:val="496F39ED"/>
    <w:rsid w:val="49FF41D3"/>
    <w:rsid w:val="4B777CFD"/>
    <w:rsid w:val="4BE068DB"/>
    <w:rsid w:val="4BF6002B"/>
    <w:rsid w:val="4C475748"/>
    <w:rsid w:val="4ECE2238"/>
    <w:rsid w:val="4F574C73"/>
    <w:rsid w:val="50C35389"/>
    <w:rsid w:val="55F05FAE"/>
    <w:rsid w:val="56B47CB0"/>
    <w:rsid w:val="61DA330B"/>
    <w:rsid w:val="62236536"/>
    <w:rsid w:val="626F711E"/>
    <w:rsid w:val="638766CF"/>
    <w:rsid w:val="64CA39A1"/>
    <w:rsid w:val="6562412F"/>
    <w:rsid w:val="677B65D1"/>
    <w:rsid w:val="6950133B"/>
    <w:rsid w:val="6A5C482E"/>
    <w:rsid w:val="6B332A46"/>
    <w:rsid w:val="6C4A05C8"/>
    <w:rsid w:val="70C232D6"/>
    <w:rsid w:val="72150C0F"/>
    <w:rsid w:val="72734D90"/>
    <w:rsid w:val="72FF5788"/>
    <w:rsid w:val="754040CB"/>
    <w:rsid w:val="771D59F1"/>
    <w:rsid w:val="784B47F9"/>
    <w:rsid w:val="78F80633"/>
    <w:rsid w:val="79C20163"/>
    <w:rsid w:val="7D234AC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7"/>
    <w:unhideWhenUsed/>
    <w:qFormat/>
    <w:uiPriority w:val="9"/>
    <w:pPr>
      <w:keepNext/>
      <w:keepLines/>
      <w:spacing w:before="260" w:after="260" w:line="416" w:lineRule="auto"/>
      <w:outlineLvl w:val="2"/>
    </w:pPr>
    <w:rPr>
      <w:b/>
      <w:bCs/>
      <w:sz w:val="32"/>
      <w:szCs w:val="32"/>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0"/>
    <w:qFormat/>
    <w:uiPriority w:val="99"/>
    <w:pPr>
      <w:spacing w:beforeLines="30"/>
    </w:pPr>
    <w:rPr>
      <w:rFonts w:ascii="仿宋_GB2312" w:eastAsia="仿宋_GB2312"/>
      <w:kern w:val="0"/>
      <w:sz w:val="30"/>
    </w:rPr>
  </w:style>
  <w:style w:type="paragraph" w:styleId="6">
    <w:name w:val="toc 7"/>
    <w:basedOn w:val="1"/>
    <w:next w:val="1"/>
    <w:unhideWhenUsed/>
    <w:qFormat/>
    <w:uiPriority w:val="39"/>
    <w:pPr>
      <w:ind w:left="1260"/>
      <w:jc w:val="left"/>
    </w:pPr>
    <w:rPr>
      <w:rFonts w:asciiTheme="minorHAnsi" w:hAnsiTheme="minorHAnsi" w:cstheme="minorHAnsi"/>
      <w:sz w:val="18"/>
      <w:szCs w:val="18"/>
    </w:rPr>
  </w:style>
  <w:style w:type="paragraph" w:styleId="7">
    <w:name w:val="annotation text"/>
    <w:basedOn w:val="1"/>
    <w:link w:val="39"/>
    <w:semiHidden/>
    <w:unhideWhenUsed/>
    <w:qFormat/>
    <w:uiPriority w:val="99"/>
    <w:pPr>
      <w:jc w:val="left"/>
    </w:pPr>
  </w:style>
  <w:style w:type="paragraph" w:styleId="8">
    <w:name w:val="toc 5"/>
    <w:basedOn w:val="1"/>
    <w:next w:val="1"/>
    <w:unhideWhenUsed/>
    <w:qFormat/>
    <w:uiPriority w:val="39"/>
    <w:pPr>
      <w:ind w:left="840"/>
      <w:jc w:val="left"/>
    </w:pPr>
    <w:rPr>
      <w:rFonts w:asciiTheme="minorHAnsi" w:hAnsiTheme="minorHAnsi" w:cstheme="minorHAnsi"/>
      <w:sz w:val="18"/>
      <w:szCs w:val="18"/>
    </w:rPr>
  </w:style>
  <w:style w:type="paragraph" w:styleId="9">
    <w:name w:val="toc 3"/>
    <w:basedOn w:val="1"/>
    <w:next w:val="1"/>
    <w:unhideWhenUsed/>
    <w:qFormat/>
    <w:uiPriority w:val="39"/>
    <w:pPr>
      <w:ind w:left="420"/>
      <w:jc w:val="left"/>
    </w:pPr>
    <w:rPr>
      <w:rFonts w:asciiTheme="minorHAnsi" w:hAnsiTheme="minorHAnsi" w:cstheme="minorHAnsi"/>
      <w:i/>
      <w:iCs/>
      <w:sz w:val="20"/>
      <w:szCs w:val="20"/>
    </w:rPr>
  </w:style>
  <w:style w:type="paragraph" w:styleId="10">
    <w:name w:val="toc 8"/>
    <w:basedOn w:val="1"/>
    <w:next w:val="1"/>
    <w:unhideWhenUsed/>
    <w:qFormat/>
    <w:uiPriority w:val="39"/>
    <w:pPr>
      <w:ind w:left="1470"/>
      <w:jc w:val="left"/>
    </w:pPr>
    <w:rPr>
      <w:rFonts w:asciiTheme="minorHAnsi" w:hAnsiTheme="minorHAnsi" w:cstheme="minorHAnsi"/>
      <w:sz w:val="18"/>
      <w:szCs w:val="18"/>
    </w:rPr>
  </w:style>
  <w:style w:type="paragraph" w:styleId="11">
    <w:name w:val="Balloon Text"/>
    <w:basedOn w:val="1"/>
    <w:link w:val="36"/>
    <w:semiHidden/>
    <w:unhideWhenUsed/>
    <w:qFormat/>
    <w:uiPriority w:val="99"/>
    <w:rPr>
      <w:sz w:val="18"/>
      <w:szCs w:val="18"/>
    </w:rPr>
  </w:style>
  <w:style w:type="paragraph" w:styleId="12">
    <w:name w:val="footer"/>
    <w:basedOn w:val="1"/>
    <w:link w:val="28"/>
    <w:qFormat/>
    <w:uiPriority w:val="99"/>
    <w:pPr>
      <w:tabs>
        <w:tab w:val="center" w:pos="4153"/>
        <w:tab w:val="right" w:pos="8306"/>
      </w:tabs>
      <w:snapToGrid w:val="0"/>
      <w:jc w:val="left"/>
    </w:pPr>
    <w:rPr>
      <w:rFonts w:ascii="Calibri" w:hAnsi="Calibri"/>
      <w:kern w:val="0"/>
      <w:sz w:val="18"/>
      <w:szCs w:val="18"/>
    </w:rPr>
  </w:style>
  <w:style w:type="paragraph" w:styleId="13">
    <w:name w:val="header"/>
    <w:basedOn w:val="1"/>
    <w:link w:val="26"/>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4">
    <w:name w:val="toc 1"/>
    <w:basedOn w:val="1"/>
    <w:next w:val="1"/>
    <w:unhideWhenUsed/>
    <w:qFormat/>
    <w:uiPriority w:val="39"/>
    <w:pPr>
      <w:spacing w:before="120" w:after="120"/>
      <w:jc w:val="left"/>
    </w:pPr>
    <w:rPr>
      <w:rFonts w:asciiTheme="minorHAnsi" w:hAnsiTheme="minorHAnsi" w:cstheme="minorHAnsi"/>
      <w:b/>
      <w:bCs/>
      <w:caps/>
      <w:sz w:val="20"/>
      <w:szCs w:val="20"/>
    </w:rPr>
  </w:style>
  <w:style w:type="paragraph" w:styleId="15">
    <w:name w:val="toc 4"/>
    <w:basedOn w:val="1"/>
    <w:next w:val="1"/>
    <w:unhideWhenUsed/>
    <w:qFormat/>
    <w:uiPriority w:val="39"/>
    <w:pPr>
      <w:ind w:left="630"/>
      <w:jc w:val="left"/>
    </w:pPr>
    <w:rPr>
      <w:rFonts w:asciiTheme="minorHAnsi" w:hAnsiTheme="minorHAnsi" w:cstheme="minorHAnsi"/>
      <w:sz w:val="18"/>
      <w:szCs w:val="18"/>
    </w:rPr>
  </w:style>
  <w:style w:type="paragraph" w:styleId="16">
    <w:name w:val="toc 6"/>
    <w:basedOn w:val="1"/>
    <w:next w:val="1"/>
    <w:unhideWhenUsed/>
    <w:qFormat/>
    <w:uiPriority w:val="39"/>
    <w:pPr>
      <w:ind w:left="1050"/>
      <w:jc w:val="left"/>
    </w:pPr>
    <w:rPr>
      <w:rFonts w:asciiTheme="minorHAnsi" w:hAnsiTheme="minorHAnsi" w:cstheme="minorHAnsi"/>
      <w:sz w:val="18"/>
      <w:szCs w:val="18"/>
    </w:rPr>
  </w:style>
  <w:style w:type="paragraph" w:styleId="17">
    <w:name w:val="toc 2"/>
    <w:basedOn w:val="1"/>
    <w:next w:val="1"/>
    <w:unhideWhenUsed/>
    <w:qFormat/>
    <w:uiPriority w:val="39"/>
    <w:pPr>
      <w:ind w:left="210"/>
      <w:jc w:val="left"/>
    </w:pPr>
    <w:rPr>
      <w:rFonts w:asciiTheme="minorHAnsi" w:hAnsiTheme="minorHAnsi" w:cstheme="minorHAnsi"/>
      <w:smallCaps/>
      <w:sz w:val="20"/>
      <w:szCs w:val="20"/>
    </w:rPr>
  </w:style>
  <w:style w:type="paragraph" w:styleId="18">
    <w:name w:val="toc 9"/>
    <w:basedOn w:val="1"/>
    <w:next w:val="1"/>
    <w:unhideWhenUsed/>
    <w:qFormat/>
    <w:uiPriority w:val="39"/>
    <w:pPr>
      <w:ind w:left="1680"/>
      <w:jc w:val="left"/>
    </w:pPr>
    <w:rPr>
      <w:rFonts w:asciiTheme="minorHAnsi" w:hAnsiTheme="minorHAnsi" w:cstheme="minorHAnsi"/>
      <w:sz w:val="18"/>
      <w:szCs w:val="18"/>
    </w:rPr>
  </w:style>
  <w:style w:type="paragraph" w:styleId="19">
    <w:name w:val="annotation subject"/>
    <w:basedOn w:val="7"/>
    <w:next w:val="7"/>
    <w:link w:val="40"/>
    <w:semiHidden/>
    <w:unhideWhenUsed/>
    <w:qFormat/>
    <w:uiPriority w:val="99"/>
    <w:rPr>
      <w:b/>
      <w:bCs/>
    </w:rPr>
  </w:style>
  <w:style w:type="character" w:styleId="22">
    <w:name w:val="Strong"/>
    <w:basedOn w:val="21"/>
    <w:qFormat/>
    <w:uiPriority w:val="99"/>
    <w:rPr>
      <w:b/>
    </w:rPr>
  </w:style>
  <w:style w:type="character" w:styleId="23">
    <w:name w:val="Hyperlink"/>
    <w:basedOn w:val="21"/>
    <w:unhideWhenUsed/>
    <w:qFormat/>
    <w:uiPriority w:val="99"/>
    <w:rPr>
      <w:color w:val="0000FF" w:themeColor="hyperlink"/>
      <w:u w:val="single"/>
      <w14:textFill>
        <w14:solidFill>
          <w14:schemeClr w14:val="hlink"/>
        </w14:solidFill>
      </w14:textFill>
    </w:rPr>
  </w:style>
  <w:style w:type="character" w:styleId="24">
    <w:name w:val="annotation reference"/>
    <w:basedOn w:val="21"/>
    <w:semiHidden/>
    <w:unhideWhenUsed/>
    <w:qFormat/>
    <w:uiPriority w:val="99"/>
    <w:rPr>
      <w:sz w:val="21"/>
      <w:szCs w:val="21"/>
    </w:rPr>
  </w:style>
  <w:style w:type="character" w:customStyle="1" w:styleId="25">
    <w:name w:val="Header Char"/>
    <w:basedOn w:val="21"/>
    <w:semiHidden/>
    <w:qFormat/>
    <w:uiPriority w:val="99"/>
    <w:rPr>
      <w:rFonts w:ascii="Times New Roman" w:hAnsi="Times New Roman"/>
      <w:sz w:val="18"/>
      <w:szCs w:val="18"/>
    </w:rPr>
  </w:style>
  <w:style w:type="character" w:customStyle="1" w:styleId="26">
    <w:name w:val="页眉 Char"/>
    <w:link w:val="13"/>
    <w:semiHidden/>
    <w:qFormat/>
    <w:locked/>
    <w:uiPriority w:val="99"/>
    <w:rPr>
      <w:sz w:val="18"/>
    </w:rPr>
  </w:style>
  <w:style w:type="character" w:customStyle="1" w:styleId="27">
    <w:name w:val="Footer Char"/>
    <w:basedOn w:val="21"/>
    <w:semiHidden/>
    <w:qFormat/>
    <w:uiPriority w:val="99"/>
    <w:rPr>
      <w:rFonts w:ascii="Times New Roman" w:hAnsi="Times New Roman"/>
      <w:sz w:val="18"/>
      <w:szCs w:val="18"/>
    </w:rPr>
  </w:style>
  <w:style w:type="character" w:customStyle="1" w:styleId="28">
    <w:name w:val="页脚 Char"/>
    <w:link w:val="12"/>
    <w:qFormat/>
    <w:locked/>
    <w:uiPriority w:val="99"/>
    <w:rPr>
      <w:sz w:val="18"/>
    </w:rPr>
  </w:style>
  <w:style w:type="character" w:customStyle="1" w:styleId="29">
    <w:name w:val="Body Text Char"/>
    <w:basedOn w:val="21"/>
    <w:semiHidden/>
    <w:qFormat/>
    <w:uiPriority w:val="99"/>
    <w:rPr>
      <w:rFonts w:ascii="Times New Roman" w:hAnsi="Times New Roman"/>
      <w:szCs w:val="24"/>
    </w:rPr>
  </w:style>
  <w:style w:type="character" w:customStyle="1" w:styleId="30">
    <w:name w:val="正文文本 Char"/>
    <w:link w:val="2"/>
    <w:qFormat/>
    <w:locked/>
    <w:uiPriority w:val="99"/>
    <w:rPr>
      <w:rFonts w:ascii="仿宋_GB2312" w:hAnsi="Times New Roman" w:eastAsia="仿宋_GB2312"/>
      <w:sz w:val="24"/>
    </w:rPr>
  </w:style>
  <w:style w:type="paragraph" w:customStyle="1" w:styleId="31">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2">
    <w:name w:val="List Paragraph"/>
    <w:basedOn w:val="1"/>
    <w:qFormat/>
    <w:uiPriority w:val="34"/>
    <w:pPr>
      <w:ind w:firstLine="420" w:firstLineChars="200"/>
    </w:pPr>
  </w:style>
  <w:style w:type="character" w:customStyle="1" w:styleId="33">
    <w:name w:val="标题 1 Char"/>
    <w:basedOn w:val="21"/>
    <w:link w:val="3"/>
    <w:qFormat/>
    <w:uiPriority w:val="9"/>
    <w:rPr>
      <w:rFonts w:ascii="Times New Roman" w:hAnsi="Times New Roman"/>
      <w:b/>
      <w:bCs/>
      <w:kern w:val="44"/>
      <w:sz w:val="44"/>
      <w:szCs w:val="44"/>
    </w:rPr>
  </w:style>
  <w:style w:type="character" w:customStyle="1" w:styleId="34">
    <w:name w:val="标题 2 Char"/>
    <w:basedOn w:val="21"/>
    <w:link w:val="4"/>
    <w:qFormat/>
    <w:uiPriority w:val="9"/>
    <w:rPr>
      <w:rFonts w:asciiTheme="majorHAnsi" w:hAnsiTheme="majorHAnsi" w:eastAsiaTheme="majorEastAsia" w:cstheme="majorBidi"/>
      <w:b/>
      <w:bCs/>
      <w:kern w:val="2"/>
      <w:sz w:val="32"/>
      <w:szCs w:val="32"/>
    </w:rPr>
  </w:style>
  <w:style w:type="paragraph" w:customStyle="1" w:styleId="35">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6">
    <w:name w:val="批注框文本 Char"/>
    <w:basedOn w:val="21"/>
    <w:link w:val="11"/>
    <w:semiHidden/>
    <w:qFormat/>
    <w:uiPriority w:val="99"/>
    <w:rPr>
      <w:rFonts w:ascii="Times New Roman" w:hAnsi="Times New Roman"/>
      <w:kern w:val="2"/>
      <w:sz w:val="18"/>
      <w:szCs w:val="18"/>
    </w:rPr>
  </w:style>
  <w:style w:type="character" w:customStyle="1" w:styleId="37">
    <w:name w:val="标题 3 Char"/>
    <w:basedOn w:val="21"/>
    <w:link w:val="5"/>
    <w:qFormat/>
    <w:uiPriority w:val="9"/>
    <w:rPr>
      <w:rFonts w:ascii="Times New Roman" w:hAnsi="Times New Roman"/>
      <w:b/>
      <w:bCs/>
      <w:kern w:val="2"/>
      <w:sz w:val="32"/>
      <w:szCs w:val="32"/>
    </w:rPr>
  </w:style>
  <w:style w:type="paragraph" w:customStyle="1" w:styleId="38">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9">
    <w:name w:val="批注文字 Char"/>
    <w:basedOn w:val="21"/>
    <w:link w:val="7"/>
    <w:semiHidden/>
    <w:qFormat/>
    <w:uiPriority w:val="99"/>
    <w:rPr>
      <w:rFonts w:ascii="Times New Roman" w:hAnsi="Times New Roman" w:eastAsia="宋体" w:cs="Times New Roman"/>
      <w:kern w:val="2"/>
      <w:sz w:val="21"/>
      <w:szCs w:val="24"/>
    </w:rPr>
  </w:style>
  <w:style w:type="character" w:customStyle="1" w:styleId="40">
    <w:name w:val="批注主题 Char"/>
    <w:basedOn w:val="39"/>
    <w:link w:val="19"/>
    <w:semiHidden/>
    <w:qFormat/>
    <w:uiPriority w:val="99"/>
    <w:rPr>
      <w:rFonts w:ascii="Times New Roman" w:hAnsi="Times New Roman" w:eastAsia="宋体" w:cs="Times New Roman"/>
      <w:b/>
      <w:bCs/>
      <w:kern w:val="2"/>
      <w:sz w:val="21"/>
      <w:szCs w:val="24"/>
    </w:rPr>
  </w:style>
  <w:style w:type="paragraph" w:customStyle="1" w:styleId="41">
    <w:name w:val="TOC 标题3"/>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2\&#21150;&#20844;&#23460;\&#26446;&#27915;%20&#20250;&#35745;\2022&#24180;\2021&#24180;&#20915;&#31639;&#20844;&#24320;\&#22270;&#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21150;&#20844;&#23460;\&#26446;&#27915;%20&#20250;&#35745;\2022&#24180;\2021&#24180;&#20915;&#31639;&#20844;&#24320;\&#22270;&#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21150;&#20844;&#23460;\&#26446;&#27915;%20&#20250;&#35745;\2022&#24180;\2021&#24180;&#20915;&#31639;&#20844;&#24320;\&#22270;&#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21150;&#20844;&#23460;\&#26446;&#27915;%20&#20250;&#35745;\2022&#24180;\2021&#24180;&#20915;&#31639;&#20844;&#24320;\&#22270;&#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21150;&#20844;&#23460;\&#26446;&#27915;%20&#20250;&#35745;\2022&#24180;\2021&#24180;&#20915;&#31639;&#20844;&#24320;\&#22270;&#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21150;&#20844;&#23460;\&#26446;&#27915;%20&#20250;&#35745;\2022&#24180;\2021&#24180;&#20915;&#31639;&#20844;&#24320;\&#22270;&#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2\&#21150;&#20844;&#23460;\&#26446;&#27915;%20&#20250;&#35745;\2022&#24180;\2021&#24180;&#20915;&#31639;&#20844;&#24320;\&#22270;&#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1"/>
          <c:order val="0"/>
          <c:spPr>
            <a:solidFill>
              <a:schemeClr val="accent2"/>
            </a:solidFill>
            <a:ln>
              <a:noFill/>
            </a:ln>
            <a:effectLst/>
          </c:spPr>
          <c:invertIfNegative val="0"/>
          <c:dLbls>
            <c:delete val="1"/>
          </c:dLbls>
          <c:cat>
            <c:strRef>
              <c:f>[图表.xls]Sheet1!$E$4:$F$4</c:f>
              <c:strCache>
                <c:ptCount val="2"/>
                <c:pt idx="0">
                  <c:v>2021年</c:v>
                </c:pt>
                <c:pt idx="1">
                  <c:v>2020年</c:v>
                </c:pt>
              </c:strCache>
            </c:strRef>
          </c:cat>
          <c:val>
            <c:numRef>
              <c:f>[图表.xls]Sheet1!$E$5:$F$5</c:f>
              <c:numCache>
                <c:formatCode>General</c:formatCode>
                <c:ptCount val="2"/>
                <c:pt idx="0">
                  <c:v>902.21</c:v>
                </c:pt>
                <c:pt idx="1">
                  <c:v>722.51</c:v>
                </c:pt>
              </c:numCache>
            </c:numRef>
          </c:val>
        </c:ser>
        <c:dLbls>
          <c:showLegendKey val="0"/>
          <c:showVal val="0"/>
          <c:showCatName val="0"/>
          <c:showSerName val="0"/>
          <c:showPercent val="0"/>
          <c:showBubbleSize val="0"/>
        </c:dLbls>
        <c:gapWidth val="150"/>
        <c:axId val="133136384"/>
        <c:axId val="133929216"/>
      </c:barChart>
      <c:catAx>
        <c:axId val="13313638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3929216"/>
        <c:crosses val="autoZero"/>
        <c:auto val="1"/>
        <c:lblAlgn val="ctr"/>
        <c:lblOffset val="100"/>
        <c:noMultiLvlLbl val="0"/>
      </c:catAx>
      <c:valAx>
        <c:axId val="133929216"/>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万元</a:t>
                </a:r>
              </a:p>
            </c:rich>
          </c:tx>
          <c:layout>
            <c:manualLayout>
              <c:xMode val="edge"/>
              <c:yMode val="edge"/>
              <c:x val="0.0249804839968774"/>
              <c:y val="0.251935193519352"/>
            </c:manualLayout>
          </c:layout>
          <c:overlay val="0"/>
          <c:spPr>
            <a:noFill/>
            <a:ln>
              <a:noFill/>
            </a:ln>
            <a:effectLst/>
          </c:spPr>
        </c:title>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3136384"/>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tx>
            <c:strRef>
              <c:f>[图表.xls]Sheet1!$F$27</c:f>
              <c:strCache>
                <c:ptCount val="1"/>
                <c:pt idx="0">
                  <c:v>一般公共预算财政拨款收入</c:v>
                </c:pt>
              </c:strCache>
            </c:strRef>
          </c:tx>
          <c:explosion val="0"/>
          <c:dPt>
            <c:idx val="0"/>
            <c:bubble3D val="0"/>
            <c:spPr>
              <a:solidFill>
                <a:schemeClr val="accent1"/>
              </a:solidFill>
              <a:ln w="19050">
                <a:solidFill>
                  <a:schemeClr val="lt1"/>
                </a:solidFill>
              </a:ln>
              <a:effectLst/>
            </c:spPr>
          </c:dPt>
          <c:dLbls>
            <c:dLbl>
              <c:idx val="0"/>
              <c:layout>
                <c:manualLayout>
                  <c:x val="-3.05940042476266e-7"/>
                  <c:y val="-0.15708113804147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[图表.xls]Sheet1!$F$27</c:f>
              <c:strCache>
                <c:ptCount val="1"/>
                <c:pt idx="0">
                  <c:v>一般公共预算财政拨款收入</c:v>
                </c:pt>
              </c:strCache>
            </c:strRef>
          </c:cat>
          <c:val>
            <c:numRef>
              <c:f>[图表.xls]Sheet1!$F$28</c:f>
              <c:numCache>
                <c:formatCode>General</c:formatCode>
                <c:ptCount val="1"/>
                <c:pt idx="0">
                  <c:v>886.82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291518689929104"/>
                  <c:y val="-0.17411021743802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11358030320387"/>
                  <c:y val="0.16561885645450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[图表.xls]Sheet1!$E$40:$E$41</c:f>
              <c:strCache>
                <c:ptCount val="2"/>
                <c:pt idx="0">
                  <c:v>基本支出</c:v>
                </c:pt>
                <c:pt idx="1">
                  <c:v>项目支出</c:v>
                </c:pt>
              </c:strCache>
            </c:strRef>
          </c:cat>
          <c:val>
            <c:numRef>
              <c:f>[图表.xls]Sheet1!$F$40:$F$41</c:f>
              <c:numCache>
                <c:formatCode>General</c:formatCode>
                <c:ptCount val="2"/>
                <c:pt idx="0">
                  <c:v>850.05</c:v>
                </c:pt>
                <c:pt idx="1">
                  <c:v>36.77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1"/>
          <c:order val="0"/>
          <c:spPr>
            <a:solidFill>
              <a:schemeClr val="accent2"/>
            </a:solidFill>
            <a:ln>
              <a:noFill/>
            </a:ln>
            <a:effectLst/>
          </c:spPr>
          <c:invertIfNegative val="0"/>
          <c:dLbls>
            <c:delete val="1"/>
          </c:dLbls>
          <c:cat>
            <c:strRef>
              <c:f>[图表.xls]Sheet1!$E$4:$F$4</c:f>
              <c:strCache>
                <c:ptCount val="2"/>
                <c:pt idx="0">
                  <c:v>2021年</c:v>
                </c:pt>
                <c:pt idx="1">
                  <c:v>2020年</c:v>
                </c:pt>
              </c:strCache>
            </c:strRef>
          </c:cat>
          <c:val>
            <c:numRef>
              <c:f>[图表.xls]Sheet1!$E$5:$F$5</c:f>
              <c:numCache>
                <c:formatCode>General</c:formatCode>
                <c:ptCount val="2"/>
                <c:pt idx="0">
                  <c:v>886.82</c:v>
                </c:pt>
                <c:pt idx="1">
                  <c:v>692.32</c:v>
                </c:pt>
              </c:numCache>
            </c:numRef>
          </c:val>
        </c:ser>
        <c:dLbls>
          <c:showLegendKey val="0"/>
          <c:showVal val="0"/>
          <c:showCatName val="0"/>
          <c:showSerName val="0"/>
          <c:showPercent val="0"/>
          <c:showBubbleSize val="0"/>
        </c:dLbls>
        <c:gapWidth val="150"/>
        <c:axId val="166738944"/>
        <c:axId val="166753024"/>
      </c:barChart>
      <c:catAx>
        <c:axId val="16673894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6753024"/>
        <c:crosses val="autoZero"/>
        <c:auto val="1"/>
        <c:lblAlgn val="ctr"/>
        <c:lblOffset val="100"/>
        <c:noMultiLvlLbl val="0"/>
      </c:catAx>
      <c:valAx>
        <c:axId val="166753024"/>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万元</a:t>
                </a:r>
              </a:p>
            </c:rich>
          </c:tx>
          <c:layout>
            <c:manualLayout>
              <c:xMode val="edge"/>
              <c:yMode val="edge"/>
              <c:x val="0.0249804839968774"/>
              <c:y val="0.251935193519352"/>
            </c:manualLayout>
          </c:layout>
          <c:overlay val="0"/>
          <c:spPr>
            <a:noFill/>
            <a:ln>
              <a:noFill/>
            </a:ln>
            <a:effectLst/>
          </c:spPr>
        </c:title>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6738944"/>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manualLayout>
          <c:xMode val="edge"/>
          <c:yMode val="edge"/>
          <c:x val="0.157025400088093"/>
          <c:y val="0.043630017452007"/>
        </c:manualLayout>
      </c:layout>
      <c:overlay val="0"/>
      <c:spPr>
        <a:noFill/>
        <a:ln>
          <a:noFill/>
        </a:ln>
        <a:effectLst/>
      </c:spPr>
    </c:title>
    <c:autoTitleDeleted val="0"/>
    <c:plotArea>
      <c:layout/>
      <c:barChart>
        <c:barDir val="col"/>
        <c:grouping val="clustered"/>
        <c:varyColors val="0"/>
        <c:ser>
          <c:idx val="1"/>
          <c:order val="0"/>
          <c:spPr>
            <a:solidFill>
              <a:schemeClr val="accent2"/>
            </a:solidFill>
            <a:ln>
              <a:noFill/>
            </a:ln>
            <a:effectLst/>
          </c:spPr>
          <c:invertIfNegative val="0"/>
          <c:dLbls>
            <c:delete val="1"/>
          </c:dLbls>
          <c:cat>
            <c:strRef>
              <c:f>[图表.xls]Sheet1!$E$4:$F$4</c:f>
              <c:strCache>
                <c:ptCount val="2"/>
                <c:pt idx="0">
                  <c:v>2021年</c:v>
                </c:pt>
                <c:pt idx="1">
                  <c:v>2020年</c:v>
                </c:pt>
              </c:strCache>
            </c:strRef>
          </c:cat>
          <c:val>
            <c:numRef>
              <c:f>[图表.xls]Sheet1!$E$5:$F$5</c:f>
              <c:numCache>
                <c:formatCode>General</c:formatCode>
                <c:ptCount val="2"/>
                <c:pt idx="0">
                  <c:v>886.82</c:v>
                </c:pt>
                <c:pt idx="1">
                  <c:v>692.32</c:v>
                </c:pt>
              </c:numCache>
            </c:numRef>
          </c:val>
        </c:ser>
        <c:dLbls>
          <c:showLegendKey val="0"/>
          <c:showVal val="0"/>
          <c:showCatName val="0"/>
          <c:showSerName val="0"/>
          <c:showPercent val="0"/>
          <c:showBubbleSize val="0"/>
        </c:dLbls>
        <c:gapWidth val="150"/>
        <c:axId val="136222592"/>
        <c:axId val="136224128"/>
      </c:barChart>
      <c:catAx>
        <c:axId val="13622259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6224128"/>
        <c:crosses val="autoZero"/>
        <c:auto val="1"/>
        <c:lblAlgn val="ctr"/>
        <c:lblOffset val="100"/>
        <c:noMultiLvlLbl val="0"/>
      </c:catAx>
      <c:valAx>
        <c:axId val="136224128"/>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万元</a:t>
                </a:r>
              </a:p>
            </c:rich>
          </c:tx>
          <c:layout>
            <c:manualLayout>
              <c:xMode val="edge"/>
              <c:yMode val="edge"/>
              <c:x val="0.0249804839968774"/>
              <c:y val="0.251935193519352"/>
            </c:manualLayout>
          </c:layout>
          <c:overlay val="0"/>
          <c:spPr>
            <a:noFill/>
            <a:ln>
              <a:noFill/>
            </a:ln>
            <a:effectLst/>
          </c:spPr>
        </c:title>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6222592"/>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manualLayout>
          <c:xMode val="edge"/>
          <c:yMode val="edge"/>
          <c:x val="0.179027777777778"/>
          <c:y val="0.0451388888888889"/>
        </c:manualLayout>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[图表.xls]Sheet1!$E$40:$E$44</c:f>
              <c:strCache>
                <c:ptCount val="5"/>
                <c:pt idx="0">
                  <c:v>一般公共服务支出</c:v>
                </c:pt>
                <c:pt idx="1">
                  <c:v>教育支出</c:v>
                </c:pt>
                <c:pt idx="2">
                  <c:v>社会保障和就业支出</c:v>
                </c:pt>
                <c:pt idx="3">
                  <c:v>卫生健康支出</c:v>
                </c:pt>
                <c:pt idx="4">
                  <c:v>住房保障支出</c:v>
                </c:pt>
              </c:strCache>
            </c:strRef>
          </c:cat>
          <c:val>
            <c:numRef>
              <c:f>[图表.xls]Sheet1!$F$40:$F$44</c:f>
              <c:numCache>
                <c:formatCode>General</c:formatCode>
                <c:ptCount val="5"/>
                <c:pt idx="0">
                  <c:v>607.97</c:v>
                </c:pt>
                <c:pt idx="1">
                  <c:v>12.67</c:v>
                </c:pt>
                <c:pt idx="2">
                  <c:v>145.07</c:v>
                </c:pt>
                <c:pt idx="3">
                  <c:v>49.69</c:v>
                </c:pt>
                <c:pt idx="4">
                  <c:v>71.42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a:p>
            <a:pPr defTabSz="914400">
              <a:defRPr lang="zh-CN" sz="1400" b="0" i="0" u="none" strike="noStrike" kern="1200" spc="0" baseline="0">
                <a:solidFill>
                  <a:schemeClr val="tx1">
                    <a:lumMod val="65000"/>
                    <a:lumOff val="35000"/>
                  </a:schemeClr>
                </a:solidFill>
                <a:latin typeface="+mn-lt"/>
                <a:ea typeface="+mn-ea"/>
                <a:cs typeface="+mn-cs"/>
              </a:defRPr>
            </a:pPr>
          </a:p>
        </c:rich>
      </c:tx>
      <c:layout>
        <c:manualLayout>
          <c:xMode val="edge"/>
          <c:yMode val="edge"/>
          <c:x val="0.179027777777778"/>
          <c:y val="0.0451388888888889"/>
        </c:manualLayout>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444136348033288"/>
                  <c:y val="-0.16554846379564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196789693907614"/>
                  <c:y val="0.13899346873049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[图表.xls]Sheet1!$E$40:$E$41</c:f>
              <c:strCache>
                <c:ptCount val="2"/>
                <c:pt idx="0">
                  <c:v>公务用车购置及运行维护费</c:v>
                </c:pt>
                <c:pt idx="1">
                  <c:v>公务接待费</c:v>
                </c:pt>
              </c:strCache>
            </c:strRef>
          </c:cat>
          <c:val>
            <c:numRef>
              <c:f>[图表.xls]Sheet1!$F$40:$F$41</c:f>
              <c:numCache>
                <c:formatCode>General</c:formatCode>
                <c:ptCount val="2"/>
                <c:pt idx="0">
                  <c:v>4.89</c:v>
                </c:pt>
                <c:pt idx="1">
                  <c:v>0.44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BB9D38-67EA-4C18-8A45-77B184119C5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7659</Words>
  <Characters>8284</Characters>
  <Lines>64</Lines>
  <Paragraphs>18</Paragraphs>
  <TotalTime>0</TotalTime>
  <ScaleCrop>false</ScaleCrop>
  <LinksUpToDate>false</LinksUpToDate>
  <CharactersWithSpaces>8445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2021-08-29T03:55:00Z</dcterms:created>
  <dc:creator>曹颖</dc:creator>
  <cp:lastModifiedBy>四川省成本调查监审局</cp:lastModifiedBy>
  <cp:lastPrinted>2022-11-14T02:26:25Z</cp:lastPrinted>
  <dcterms:modified xsi:type="dcterms:W3CDTF">2022-11-14T02:31:26Z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E847BAA9BA1D47A287329E39AEF35057</vt:lpwstr>
  </property>
</Properties>
</file>