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3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附件：</w:t>
      </w:r>
    </w:p>
    <w:p>
      <w:pPr>
        <w:pStyle w:val="11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3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一、项目概述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本项目为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四川省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发展和改革委员会省重点项目推进“红黑榜”相关数据第三方核验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采购。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</w:rPr>
        <w:t>二、项目需求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（一）核验项目范围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根据采购人工作安排，从2020年省重点项目中筛选20个项目，对其相关数据、信息进行核验。20个项目分两次进行核验，核验时间按照采购人工作安排。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（二）核验主要内容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对照采购人提供的项目信息，对每一个项目截止报告期的工程形象进度、年度完成投资、前期工作完成和开工情况等相关数据、信息进行核验。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（三）核验方式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现场核验。工程技术人员、财务会计人员通过现场踏勘、查阅材料、核验财务凭证等方式进行现场核验。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  <w:t>★（四）核验成果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提供核验报告，提供的核验报告应充分反映所查项目的工程形象进度、年度完成投资、前期工作完成和开工情况等内容，项目总体评价以及资料的归档情况，提出项目实施、管理中存在的问题和处理建议意见。需提供2份纸资报告，1份电子文档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★</w:t>
      </w: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</w:rPr>
        <w:t>三、</w:t>
      </w:r>
      <w:r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（一）服务期限：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vertAlign w:val="baseline"/>
          <w:lang w:val="en-US" w:eastAsia="zh-CN"/>
        </w:rPr>
        <w:t>根据采购人实际要求进行服务。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（二）服务地点：采购人指定地点。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vertAlign w:val="baseline"/>
          <w:lang w:val="en-US" w:eastAsia="zh-CN"/>
        </w:rPr>
        <w:t>（三）付款方式：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完成该包总核查项目数量的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%，并通过采购人的成果报告初验，支付合同金额的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%；完成该包所有核查项目，并通过采购人履约验收后，支付合同金额的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%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vertAlign w:val="baseli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（四）验收方法：按川财采【2015】32号文件执行。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（五）验收标准：按磋商文件要求、成供应商的响应文件及承诺、签订的合同、国家及行业相关规范标准进行。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vertAlign w:val="baseline"/>
          <w:lang w:val="en-US" w:eastAsia="zh-CN"/>
        </w:rPr>
        <w:t>（六）人员要求：项目团队人员须具有至少2名专业人员（注册会计师或注册造价工程师）。（提供人员证书与劳动合同复印件，并加盖供应商鲜章）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vertAlign w:val="baseline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vertAlign w:val="baseline"/>
          <w:lang w:val="en-US" w:eastAsia="zh-CN"/>
        </w:rPr>
        <w:t>其他未尽事宜采购人可在合同约定。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Cs w:val="0"/>
          <w:color w:val="auto"/>
          <w:sz w:val="32"/>
          <w:szCs w:val="32"/>
          <w:lang w:val="en-US" w:eastAsia="zh-CN"/>
        </w:rPr>
        <w:t>注：★条款为实质性条款，不允许有负偏离，否则作无效响应处理。</w:t>
      </w:r>
    </w:p>
    <w:p>
      <w:bookmarkStart w:id="0" w:name="_GoBack"/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-134620</wp:posOffset>
              </wp:positionV>
              <wp:extent cx="662305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6pt;height:22.75pt;width:52.15pt;mso-position-horizontal:outside;mso-position-horizontal-relative:margin;z-index:251658240;mso-width-relative:page;mso-height-relative:page;" filled="f" stroked="f" coordsize="21600,21600" o:gfxdata="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O5Hye2QAAAAoB&#10;AAAPAAAAAAAAAAEAIAAAACIAAABkcnMvZG93bnJldi54bWxQSwECFAAUAAAACACHTuJAtYqg2RoC&#10;AAATBAAADgAAAAAAAAABACAAAAAo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E1198"/>
    <w:rsid w:val="447E1198"/>
    <w:rsid w:val="70B75B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Theme="minorHAnsi" w:eastAsiaTheme="minorEastAsia" w:cstheme="minorBidi"/>
      <w:sz w:val="34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uiPriority w:val="0"/>
    <w:pPr>
      <w:ind w:firstLine="420" w:firstLineChars="100"/>
    </w:pPr>
  </w:style>
  <w:style w:type="paragraph" w:styleId="4">
    <w:name w:val="Normal Indent"/>
    <w:basedOn w:val="1"/>
    <w:uiPriority w:val="0"/>
    <w:pPr>
      <w:ind w:firstLine="420" w:firstLineChars="200"/>
    </w:pPr>
    <w:rPr>
      <w:rFonts w:ascii="Times New Roman"/>
      <w:kern w:val="2"/>
      <w:sz w:val="21"/>
      <w:szCs w:val="24"/>
    </w:rPr>
  </w:style>
  <w:style w:type="paragraph" w:styleId="5">
    <w:name w:val="annotation text"/>
    <w:basedOn w:val="1"/>
    <w:uiPriority w:val="0"/>
    <w:pPr>
      <w:jc w:val="left"/>
    </w:pPr>
    <w:rPr>
      <w:rFonts w:ascii="Times New Roman"/>
      <w:kern w:val="2"/>
      <w:sz w:val="18"/>
    </w:rPr>
  </w:style>
  <w:style w:type="paragraph" w:styleId="6">
    <w:name w:val="Body Text Indent"/>
    <w:basedOn w:val="1"/>
    <w:uiPriority w:val="0"/>
    <w:pPr>
      <w:ind w:firstLine="630"/>
    </w:pPr>
    <w:rPr>
      <w:rFonts w:ascii="Times New Roman"/>
      <w:kern w:val="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正文首行缩进两字符"/>
    <w:basedOn w:val="1"/>
    <w:uiPriority w:val="0"/>
    <w:pPr>
      <w:spacing w:line="360" w:lineRule="auto"/>
      <w:ind w:firstLine="200" w:firstLineChars="200"/>
    </w:pPr>
  </w:style>
  <w:style w:type="paragraph" w:customStyle="1" w:styleId="12">
    <w:name w:val="正文2"/>
    <w:basedOn w:val="6"/>
    <w:qFormat/>
    <w:uiPriority w:val="0"/>
    <w:pPr>
      <w:spacing w:line="480" w:lineRule="exact"/>
      <w:ind w:firstLine="480" w:firstLineChars="200"/>
    </w:pPr>
    <w:rPr>
      <w:rFonts w:hAnsi="宋体"/>
      <w:bCs/>
      <w:kern w:val="2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2020-09-22T02:51:00Z</dcterms:created>
  <dc:creator>Administrator</dc:creator>
  <cp:lastModifiedBy>Administrator</cp:lastModifiedBy>
  <dcterms:modified xsi:type="dcterms:W3CDTF">2020-09-22T02:52:43Z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