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EC" w:rsidRDefault="002F34EC" w:rsidP="002F34EC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40"/>
        </w:rPr>
        <w:t>附件</w:t>
      </w:r>
      <w:r>
        <w:rPr>
          <w:rFonts w:eastAsia="黑体"/>
          <w:color w:val="000000"/>
          <w:sz w:val="32"/>
          <w:szCs w:val="40"/>
        </w:rPr>
        <w:t xml:space="preserve">  </w:t>
      </w:r>
      <w:r>
        <w:rPr>
          <w:rFonts w:eastAsia="黑体"/>
          <w:color w:val="000000"/>
        </w:rPr>
        <w:t xml:space="preserve">                </w:t>
      </w:r>
    </w:p>
    <w:p w:rsidR="002F34EC" w:rsidRDefault="002F34EC" w:rsidP="002F34EC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2F34EC" w:rsidRDefault="002F34EC" w:rsidP="002F34EC">
      <w:pPr>
        <w:spacing w:line="52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2021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2F34EC" w:rsidTr="006B037D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32"/>
                <w:szCs w:val="48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2F34EC" w:rsidTr="006B037D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F34EC" w:rsidRDefault="002F34EC" w:rsidP="006B03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2F34EC" w:rsidTr="006B037D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2F34EC" w:rsidRDefault="002F34EC" w:rsidP="006B03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2F34EC" w:rsidTr="006B037D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8560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8860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6.56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8660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8960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6.63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8760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9060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6.71 </w:t>
            </w:r>
          </w:p>
        </w:tc>
      </w:tr>
      <w:tr w:rsidR="002F34EC" w:rsidTr="006B037D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9092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9392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7.07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9192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9492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9292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9592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7.22</w:t>
            </w:r>
          </w:p>
        </w:tc>
      </w:tr>
      <w:tr w:rsidR="002F34EC" w:rsidTr="006B037D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9623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9923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7.55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9723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10023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7.63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9823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10123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7.70</w:t>
            </w:r>
          </w:p>
        </w:tc>
      </w:tr>
      <w:tr w:rsidR="002F34EC" w:rsidTr="006B037D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7580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7880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6.67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7680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7980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6.75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7780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8080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6.84</w:t>
            </w:r>
          </w:p>
        </w:tc>
      </w:tr>
      <w:tr w:rsidR="002F34EC" w:rsidTr="006B037D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8053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8353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7.07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8153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8453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7.15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8253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8553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34EC" w:rsidRDefault="002F34EC" w:rsidP="006B037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7.24</w:t>
            </w:r>
          </w:p>
        </w:tc>
      </w:tr>
    </w:tbl>
    <w:p w:rsidR="002F34EC" w:rsidRDefault="002F34EC" w:rsidP="002F34EC">
      <w:pPr>
        <w:spacing w:line="400" w:lineRule="exact"/>
        <w:ind w:firstLineChars="500" w:firstLine="120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注：</w:t>
      </w:r>
      <w:r>
        <w:rPr>
          <w:rFonts w:ascii="Times New Roman" w:eastAsia="仿宋_GB2312" w:hAnsi="Times New Roman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.</w:t>
      </w:r>
      <w:r>
        <w:rPr>
          <w:rFonts w:ascii="Times New Roman" w:eastAsia="仿宋_GB2312" w:hAnsi="Times New Roman"/>
          <w:color w:val="000000"/>
          <w:sz w:val="24"/>
        </w:rPr>
        <w:t>表中价格包含消费税、增值税以及城建税和教育费附加。</w:t>
      </w:r>
    </w:p>
    <w:p w:rsidR="002F34EC" w:rsidRDefault="002F34EC" w:rsidP="002F34EC">
      <w:pPr>
        <w:spacing w:line="400" w:lineRule="exact"/>
        <w:ind w:firstLineChars="700" w:firstLine="16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 w:hint="eastAsia"/>
          <w:color w:val="000000"/>
          <w:sz w:val="24"/>
        </w:rPr>
        <w:t>.</w:t>
      </w:r>
      <w:r w:rsidRPr="002F34EC">
        <w:rPr>
          <w:rFonts w:ascii="Times New Roman" w:eastAsia="仿宋_GB2312" w:hAnsi="Times New Roman"/>
          <w:color w:val="000000"/>
          <w:sz w:val="24"/>
        </w:rPr>
        <w:t>表中汽油和柴油价格为符合第六阶段强制性国家标准</w:t>
      </w:r>
      <w:r w:rsidRPr="002F34EC">
        <w:rPr>
          <w:rFonts w:ascii="Times New Roman" w:eastAsia="仿宋_GB2312" w:hAnsi="Times New Roman"/>
          <w:color w:val="000000"/>
          <w:sz w:val="24"/>
        </w:rPr>
        <w:t>VIA</w:t>
      </w:r>
      <w:r w:rsidRPr="002F34EC">
        <w:rPr>
          <w:rFonts w:ascii="Times New Roman" w:eastAsia="仿宋_GB2312" w:hAnsi="Times New Roman"/>
          <w:color w:val="000000"/>
          <w:sz w:val="24"/>
        </w:rPr>
        <w:t>车用汽油和</w:t>
      </w:r>
      <w:r w:rsidRPr="002F34EC">
        <w:rPr>
          <w:rFonts w:ascii="Times New Roman" w:eastAsia="仿宋_GB2312" w:hAnsi="Times New Roman"/>
          <w:color w:val="000000"/>
          <w:sz w:val="24"/>
        </w:rPr>
        <w:t>VI</w:t>
      </w:r>
      <w:r w:rsidRPr="002F34EC"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2F34EC" w:rsidRDefault="002F34EC" w:rsidP="002F34EC">
      <w:pPr>
        <w:spacing w:line="400" w:lineRule="exact"/>
        <w:ind w:firstLineChars="700" w:firstLine="16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 w:hint="eastAsia"/>
          <w:color w:val="000000"/>
          <w:sz w:val="24"/>
        </w:rPr>
        <w:t>.</w:t>
      </w:r>
      <w:r>
        <w:rPr>
          <w:rFonts w:ascii="Times New Roman" w:eastAsia="仿宋_GB2312" w:hAnsi="Times New Roman"/>
          <w:color w:val="000000"/>
          <w:sz w:val="24"/>
        </w:rPr>
        <w:t>普通柴油（标准品）最高零售价格按照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同阶段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标准的车用柴油价格确定。</w:t>
      </w:r>
    </w:p>
    <w:p w:rsidR="002F34EC" w:rsidRDefault="002F34EC" w:rsidP="002F34EC">
      <w:pPr>
        <w:spacing w:line="400" w:lineRule="exact"/>
        <w:ind w:firstLineChars="700" w:firstLine="1680"/>
        <w:rPr>
          <w:rFonts w:ascii="Times New Roman" w:eastAsia="仿宋_GB2312" w:hAnsi="Times New Roman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4</w:t>
      </w:r>
      <w:r>
        <w:rPr>
          <w:rFonts w:ascii="Times New Roman" w:eastAsia="仿宋_GB2312" w:hAnsi="Times New Roman" w:hint="eastAsia"/>
          <w:color w:val="000000"/>
          <w:sz w:val="24"/>
        </w:rPr>
        <w:t>.</w:t>
      </w:r>
      <w:r>
        <w:rPr>
          <w:rFonts w:ascii="Times New Roman" w:eastAsia="仿宋_GB2312" w:hAnsi="Times New Roman"/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阿坝州除汶川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县、理县、茂县以</w:t>
      </w:r>
    </w:p>
    <w:p w:rsidR="00E6784F" w:rsidRPr="002F34EC" w:rsidRDefault="002F34EC" w:rsidP="002F34EC">
      <w:pPr>
        <w:spacing w:line="400" w:lineRule="exact"/>
        <w:ind w:firstLineChars="700" w:firstLine="1680"/>
      </w:pPr>
      <w:r>
        <w:rPr>
          <w:rFonts w:ascii="Times New Roman" w:eastAsia="仿宋_GB2312" w:hAnsi="Times New Roman" w:hint="eastAsia"/>
          <w:color w:val="000000"/>
          <w:sz w:val="24"/>
        </w:rPr>
        <w:t xml:space="preserve"> </w:t>
      </w:r>
      <w:r>
        <w:rPr>
          <w:rFonts w:ascii="Times New Roman" w:eastAsia="仿宋_GB2312" w:hAnsi="Times New Roman"/>
          <w:color w:val="000000"/>
          <w:sz w:val="24"/>
        </w:rPr>
        <w:t>外的其余</w:t>
      </w:r>
      <w:r>
        <w:rPr>
          <w:rFonts w:ascii="Times New Roman" w:eastAsia="仿宋_GB2312" w:hAnsi="Times New Roman"/>
          <w:color w:val="000000"/>
          <w:sz w:val="24"/>
        </w:rPr>
        <w:t>10</w:t>
      </w:r>
      <w:r>
        <w:rPr>
          <w:rFonts w:ascii="Times New Roman" w:eastAsia="仿宋_GB2312" w:hAnsi="Times New Roman"/>
          <w:color w:val="000000"/>
          <w:sz w:val="24"/>
        </w:rPr>
        <w:t>个县以及甘孜州行政区域为三价区，二三价区以外的其他市行政区域为一价区。</w:t>
      </w:r>
    </w:p>
    <w:sectPr w:rsidR="00E6784F" w:rsidRPr="002F34EC" w:rsidSect="002F3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5268BA1E"/>
    <w:lvl w:ilvl="0">
      <w:start w:val="1"/>
      <w:numFmt w:val="decimal"/>
      <w:suff w:val="space"/>
      <w:lvlText w:val="%1."/>
      <w:lvlJc w:val="left"/>
      <w:pPr>
        <w:ind w:left="993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4EC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2F34EC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705F2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2021-09-06T09:23:00Z</dcterms:created>
  <dcterms:modified xsi:type="dcterms:W3CDTF">2021-09-06T09:27:00Z</dcterms:modified>
</cp:coreProperties>
</file>