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B50F0">
      <w:pPr>
        <w:spacing w:line="580" w:lineRule="exact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bidi="ar"/>
        </w:rPr>
        <w:t>附件</w:t>
      </w:r>
    </w:p>
    <w:p w14:paraId="2A32B721">
      <w:pPr>
        <w:ind w:firstLine="2800" w:firstLineChars="700"/>
        <w:rPr>
          <w:rFonts w:hint="default" w:ascii="Times New Roman" w:hAnsi="Times New Roman" w:eastAsia="方正小标宋简体" w:cs="Times New Roman"/>
          <w:kern w:val="0"/>
          <w:sz w:val="40"/>
          <w:szCs w:val="40"/>
          <w:highlight w:val="none"/>
          <w:lang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highlight w:val="none"/>
          <w:lang w:bidi="ar"/>
        </w:rPr>
        <w:t>审批部门招标核准意见</w:t>
      </w:r>
      <w:bookmarkEnd w:id="0"/>
    </w:p>
    <w:p w14:paraId="338B827E">
      <w:pP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lang w:val="en-US" w:eastAsia="zh-CN" w:bidi="ar"/>
        </w:rPr>
      </w:pPr>
    </w:p>
    <w:p w14:paraId="67749AE9">
      <w:pPr>
        <w:jc w:val="distribute"/>
        <w:rPr>
          <w:rFonts w:hint="default" w:ascii="Times New Roman" w:hAnsi="Times New Roman" w:eastAsia="仿宋_GB2312" w:cs="Times New Roman"/>
          <w:spacing w:val="-2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-20"/>
          <w:kern w:val="0"/>
          <w:sz w:val="24"/>
          <w:szCs w:val="24"/>
          <w:highlight w:val="none"/>
          <w:lang w:val="en-US" w:eastAsia="zh-CN" w:bidi="ar"/>
        </w:rPr>
        <w:t>建设项目名称：绵阳教育园220千伏输变电工程（项目代码：2507-510000-04-01-813887）</w:t>
      </w:r>
    </w:p>
    <w:tbl>
      <w:tblPr>
        <w:tblStyle w:val="4"/>
        <w:tblW w:w="8886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726"/>
        <w:gridCol w:w="733"/>
        <w:gridCol w:w="708"/>
        <w:gridCol w:w="851"/>
        <w:gridCol w:w="709"/>
        <w:gridCol w:w="708"/>
        <w:gridCol w:w="761"/>
        <w:gridCol w:w="1065"/>
        <w:gridCol w:w="810"/>
      </w:tblGrid>
      <w:tr w14:paraId="1D106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F7AC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4BF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招标范围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5A45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招标组织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形式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183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招标方式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5A3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不采用招标方式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543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招标估算金额（万元）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803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6B125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F94A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ACC8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全部招标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6EDA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部分招标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33CE6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自行招标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59416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委托招标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2EA8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公开招标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0A6F5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邀请招标</w:t>
            </w: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4E47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8D44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3DB6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17909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A35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勘    察</w:t>
            </w:r>
          </w:p>
        </w:tc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66B7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全部招标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C6C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3C1D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61B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委托招标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031D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公开招标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EA6F1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04CA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7595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630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E7878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1A43A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F2CF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设    计</w:t>
            </w:r>
          </w:p>
        </w:tc>
        <w:tc>
          <w:tcPr>
            <w:tcW w:w="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FDDA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CFB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D29C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D81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1CF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024FE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D39EE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C5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8289A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35A38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09A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施    工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050D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全部招标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BE7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BF88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580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委托招标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CF5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公开招标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3F67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900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AEA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7605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40D6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2F6B2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44D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监    理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A761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全部招标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7F2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B956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44C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委托招标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F42B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公开招标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84DF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B182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85F4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356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2864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6783C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986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设    备</w:t>
            </w:r>
          </w:p>
        </w:tc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64F7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全部招标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09BC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EB3A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2BAF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委托招标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5C79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公开招标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84354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6940F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B52A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7203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4821B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781E2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7416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重要材料</w:t>
            </w:r>
          </w:p>
        </w:tc>
        <w:tc>
          <w:tcPr>
            <w:tcW w:w="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78C32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39C18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4B86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A5BBF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9B4B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ABFAE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5AB97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AFA08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7AA46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550B9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5" w:hRule="atLeast"/>
        </w:trPr>
        <w:tc>
          <w:tcPr>
            <w:tcW w:w="88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3395C">
            <w:pP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  <w:t>审批部门核准意见说明：</w:t>
            </w:r>
          </w:p>
          <w:p w14:paraId="6504B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textAlignment w:val="auto"/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  <w:t>1．招标范围：勘察设计、施工、监理、与工程建设有关的重要设备和材料。同一项目中可以合并进行的勘察、施工、设计、监理以及与工程建设有关的重要设备、材料等的采购，合同估算价合计达到必须招标规模标准的，必须招标。</w:t>
            </w:r>
          </w:p>
          <w:p w14:paraId="166B9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textAlignment w:val="auto"/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  <w:t>2．招标方式：公开招标。招标公告应当在指定媒介</w:t>
            </w: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  <w:lang w:val="en-US" w:eastAsia="zh-CN"/>
              </w:rPr>
              <w:t>四川省公共资源交易信息网</w:t>
            </w: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  <w:t>发布，招标人自愿的，也可同时在其他媒介发布。</w:t>
            </w:r>
          </w:p>
          <w:p w14:paraId="24917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textAlignment w:val="auto"/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  <w:t>3．招标组织形式：委托招标。招标代理机构在招标代理机构比选平台登记或选择。</w:t>
            </w:r>
          </w:p>
          <w:p w14:paraId="06A8E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textAlignment w:val="auto"/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  <w:t>4．评标标准应在招标文件中详细规定，除此之外不得另行制定任何标准和细则。评标专家的确定按《四川省评标专家和综合评标专家库管理办法》（川办发〔2021〕54号）的规定执行。</w:t>
            </w:r>
          </w:p>
          <w:p w14:paraId="0F119BD1">
            <w:pPr>
              <w:widowControl w:val="0"/>
              <w:jc w:val="both"/>
              <w:rPr>
                <w:rFonts w:hint="default" w:ascii="Times New Roman" w:hAnsi="Times New Roman" w:eastAsia="黑体" w:cs="Times New Roman"/>
                <w:kern w:val="2"/>
                <w:sz w:val="22"/>
                <w:szCs w:val="18"/>
                <w:highlight w:val="none"/>
                <w:lang w:val="en-US" w:eastAsia="zh-CN" w:bidi="ar-SA"/>
              </w:rPr>
            </w:pPr>
          </w:p>
          <w:p w14:paraId="0F6BDD28">
            <w:pPr>
              <w:pStyle w:val="3"/>
              <w:rPr>
                <w:rFonts w:hint="default" w:ascii="Times New Roman" w:hAnsi="Times New Roman" w:cs="Times New Roman"/>
                <w:highlight w:val="none"/>
              </w:rPr>
            </w:pPr>
          </w:p>
          <w:p w14:paraId="467F430A">
            <w:pP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18"/>
                <w:highlight w:val="none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18"/>
                <w:highlight w:val="none"/>
              </w:rPr>
              <w:t xml:space="preserve"> 四川省发展和改革委员会（盖章）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8"/>
                <w:highlight w:val="none"/>
              </w:rPr>
              <w:t xml:space="preserve"> </w:t>
            </w:r>
          </w:p>
          <w:p w14:paraId="7715CA34">
            <w:pPr>
              <w:ind w:left="4417" w:hanging="4417" w:hangingChars="220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8"/>
                <w:highlight w:val="none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18"/>
                <w:highlight w:val="non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18"/>
                <w:highlight w:val="none"/>
                <w:lang w:eastAsia="zh-CN"/>
              </w:rPr>
              <w:t>202</w:t>
            </w:r>
            <w:r>
              <w:rPr>
                <w:rFonts w:hint="eastAsia" w:cs="Times New Roman"/>
                <w:b/>
                <w:bCs/>
                <w:sz w:val="22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cs="Times New Roman"/>
                <w:b/>
                <w:bCs/>
                <w:sz w:val="22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18"/>
                <w:highlight w:val="none"/>
                <w:lang w:eastAsia="zh-CN"/>
              </w:rPr>
              <w:t>月</w:t>
            </w:r>
            <w:r>
              <w:rPr>
                <w:rFonts w:hint="eastAsia" w:cs="Times New Roman"/>
                <w:b/>
                <w:bCs/>
                <w:sz w:val="22"/>
                <w:szCs w:val="18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18"/>
                <w:highlight w:val="none"/>
                <w:lang w:eastAsia="zh-CN"/>
              </w:rPr>
              <w:t>日</w:t>
            </w:r>
          </w:p>
        </w:tc>
      </w:tr>
    </w:tbl>
    <w:p w14:paraId="27FB83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-方正超大字符集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354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华文仿宋" w:hAnsi="华文仿宋" w:eastAsia="华文仿宋"/>
    </w:rPr>
  </w:style>
  <w:style w:type="paragraph" w:styleId="3">
    <w:name w:val="Body Text 2"/>
    <w:qFormat/>
    <w:uiPriority w:val="0"/>
    <w:pPr>
      <w:widowControl w:val="0"/>
      <w:jc w:val="center"/>
    </w:pPr>
    <w:rPr>
      <w:rFonts w:ascii="黑体" w:hAnsi="Times New Roman" w:eastAsia="黑体" w:cs="Times New Roman"/>
      <w:b/>
      <w:bCs/>
      <w:kern w:val="2"/>
      <w:sz w:val="4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掠一袭香吻</cp:lastModifiedBy>
  <dcterms:modified xsi:type="dcterms:W3CDTF">2026-02-03T10:12:35Z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eyJoZGlkIjoiOTljNjEwN2VhMzNhYTExODEyYjdhOWY4NTY3MzgxOWMiLCJ1c2VySWQiOiI2NjQ1MDk4ODEifQ==</vt:lpwstr>
  </property>
  <property fmtid="{D5CDD505-2E9C-101B-9397-08002B2CF9AE}" pid="4" name="ICV">
    <vt:lpwstr>F58A28EA1A75434484CAC6F506AD930C_12</vt:lpwstr>
  </property>
</Properties>
</file>