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eastAsia="方正小标宋简体"/>
          <w:sz w:val="30"/>
          <w:szCs w:val="30"/>
        </w:rPr>
      </w:pPr>
      <w:bookmarkStart w:id="0" w:name="_Toc15306267"/>
    </w:p>
    <w:p>
      <w:pPr>
        <w:spacing w:line="540" w:lineRule="exact"/>
        <w:jc w:val="center"/>
        <w:outlineLvl w:val="0"/>
        <w:rPr>
          <w:rFonts w:eastAsia="方正小标宋简体"/>
          <w:sz w:val="72"/>
          <w:szCs w:val="72"/>
        </w:rPr>
      </w:pPr>
    </w:p>
    <w:p>
      <w:pPr>
        <w:spacing w:line="540" w:lineRule="exact"/>
        <w:jc w:val="center"/>
        <w:outlineLvl w:val="0"/>
        <w:rPr>
          <w:rFonts w:eastAsia="方正小标宋简体"/>
          <w:sz w:val="72"/>
          <w:szCs w:val="72"/>
        </w:rPr>
      </w:pPr>
    </w:p>
    <w:p>
      <w:pPr>
        <w:jc w:val="center"/>
        <w:outlineLvl w:val="0"/>
        <w:rPr>
          <w:rFonts w:eastAsia="方正小标宋简体"/>
          <w:sz w:val="72"/>
          <w:szCs w:val="72"/>
        </w:rPr>
      </w:pPr>
    </w:p>
    <w:p>
      <w:pPr>
        <w:adjustRightInd w:val="0"/>
        <w:snapToGrid w:val="0"/>
        <w:jc w:val="center"/>
        <w:outlineLvl w:val="0"/>
        <w:rPr>
          <w:rFonts w:eastAsia="方正小标宋简体"/>
          <w:sz w:val="72"/>
          <w:szCs w:val="72"/>
        </w:rPr>
      </w:pPr>
      <w:bookmarkStart w:id="1" w:name="_Toc15378441"/>
      <w:bookmarkStart w:id="2" w:name="_Toc23504"/>
      <w:bookmarkStart w:id="3" w:name="_Toc15396475"/>
      <w:bookmarkStart w:id="4" w:name="_Toc15396597"/>
      <w:bookmarkStart w:id="5" w:name="_Toc15377193"/>
      <w:bookmarkStart w:id="6" w:name="_Toc15377425"/>
      <w:r>
        <w:rPr>
          <w:rFonts w:eastAsia="黑体"/>
          <w:sz w:val="72"/>
          <w:szCs w:val="72"/>
        </w:rPr>
        <w:t>2020</w:t>
      </w:r>
      <w:r>
        <w:rPr>
          <w:rFonts w:eastAsia="方正小标宋简体"/>
          <w:sz w:val="72"/>
          <w:szCs w:val="72"/>
        </w:rPr>
        <w:t>年度</w:t>
      </w:r>
      <w:bookmarkEnd w:id="1"/>
      <w:bookmarkEnd w:id="2"/>
      <w:bookmarkEnd w:id="3"/>
      <w:bookmarkEnd w:id="4"/>
      <w:bookmarkEnd w:id="5"/>
      <w:bookmarkEnd w:id="6"/>
    </w:p>
    <w:p>
      <w:pPr>
        <w:adjustRightInd w:val="0"/>
        <w:snapToGrid w:val="0"/>
        <w:jc w:val="center"/>
        <w:outlineLvl w:val="0"/>
        <w:rPr>
          <w:rFonts w:eastAsia="方正小标宋简体"/>
          <w:sz w:val="72"/>
          <w:szCs w:val="72"/>
        </w:rPr>
      </w:pPr>
      <w:bookmarkStart w:id="7" w:name="_Toc15378442"/>
      <w:bookmarkStart w:id="8" w:name="_Toc15377194"/>
      <w:bookmarkStart w:id="9" w:name="_Toc15396476"/>
      <w:bookmarkStart w:id="10" w:name="_Toc15581"/>
      <w:bookmarkStart w:id="11" w:name="_Toc15396598"/>
      <w:bookmarkStart w:id="12" w:name="_Toc15377426"/>
      <w:r>
        <w:rPr>
          <w:rFonts w:eastAsia="方正小标宋简体"/>
          <w:sz w:val="72"/>
          <w:szCs w:val="72"/>
        </w:rPr>
        <w:t>四川省</w:t>
      </w:r>
      <w:bookmarkEnd w:id="0"/>
      <w:bookmarkStart w:id="13" w:name="_Toc15306268"/>
      <w:r>
        <w:rPr>
          <w:rFonts w:eastAsia="方正小标宋简体"/>
          <w:sz w:val="72"/>
          <w:szCs w:val="72"/>
        </w:rPr>
        <w:t>发展和改革委员会</w:t>
      </w:r>
      <w:r>
        <w:rPr>
          <w:rFonts w:hint="eastAsia" w:eastAsia="方正小标宋简体"/>
          <w:sz w:val="72"/>
          <w:szCs w:val="72"/>
        </w:rPr>
        <w:t>（本级）单位</w:t>
      </w:r>
      <w:r>
        <w:rPr>
          <w:rFonts w:eastAsia="方正小标宋简体"/>
          <w:sz w:val="72"/>
          <w:szCs w:val="72"/>
        </w:rPr>
        <w:t>决算</w:t>
      </w:r>
      <w:bookmarkEnd w:id="7"/>
      <w:bookmarkEnd w:id="8"/>
      <w:bookmarkEnd w:id="9"/>
      <w:bookmarkEnd w:id="10"/>
      <w:bookmarkEnd w:id="11"/>
      <w:bookmarkEnd w:id="12"/>
      <w:bookmarkEnd w:id="13"/>
    </w:p>
    <w:p>
      <w:pPr>
        <w:spacing w:line="540" w:lineRule="exact"/>
        <w:jc w:val="center"/>
        <w:rPr>
          <w:rFonts w:eastAsia="黑体"/>
          <w:sz w:val="48"/>
          <w:szCs w:val="48"/>
        </w:rPr>
      </w:pPr>
      <w:r>
        <w:rPr>
          <w:rFonts w:eastAsia="方正小标宋简体"/>
          <w:sz w:val="36"/>
          <w:szCs w:val="36"/>
        </w:rPr>
        <w:br w:type="page"/>
      </w:r>
      <w:r>
        <w:rPr>
          <w:rFonts w:eastAsia="黑体"/>
          <w:sz w:val="48"/>
          <w:szCs w:val="48"/>
        </w:rPr>
        <w:t>目录</w:t>
      </w:r>
    </w:p>
    <w:p>
      <w:pPr>
        <w:spacing w:line="540" w:lineRule="exact"/>
        <w:jc w:val="center"/>
        <w:rPr>
          <w:rFonts w:eastAsia="黑体"/>
          <w:sz w:val="28"/>
          <w:szCs w:val="28"/>
        </w:rPr>
      </w:pPr>
    </w:p>
    <w:p>
      <w:pPr>
        <w:pStyle w:val="14"/>
        <w:tabs>
          <w:tab w:val="right" w:leader="dot" w:pos="8296"/>
        </w:tabs>
        <w:spacing w:line="540" w:lineRule="exact"/>
        <w:jc w:val="center"/>
        <w:rPr>
          <w:rFonts w:eastAsia="仿宋_GB2312"/>
          <w:sz w:val="32"/>
          <w:szCs w:val="32"/>
        </w:rPr>
      </w:pPr>
      <w:r>
        <w:rPr>
          <w:rFonts w:eastAsia="仿宋_GB2312"/>
          <w:sz w:val="32"/>
          <w:szCs w:val="32"/>
        </w:rPr>
        <w:t>公开时间：2021年9月10日</w:t>
      </w:r>
    </w:p>
    <w:p>
      <w:pPr>
        <w:pStyle w:val="14"/>
        <w:tabs>
          <w:tab w:val="right" w:leader="dot" w:pos="8306"/>
        </w:tabs>
        <w:spacing w:line="540" w:lineRule="exact"/>
        <w:rPr>
          <w:bCs/>
          <w:kern w:val="44"/>
          <w:szCs w:val="44"/>
        </w:rPr>
      </w:pPr>
      <w:bookmarkStart w:id="14" w:name="_Toc15377196"/>
      <w:bookmarkStart w:id="15" w:name="_Toc15396599"/>
      <w:r>
        <w:rPr>
          <w:rFonts w:eastAsia="黑体"/>
        </w:rPr>
        <w:fldChar w:fldCharType="begin"/>
      </w:r>
      <w:r>
        <w:rPr>
          <w:rFonts w:eastAsia="黑体"/>
        </w:rPr>
        <w:instrText xml:space="preserve">TOC \o "1-3" \h \u </w:instrText>
      </w:r>
      <w:r>
        <w:rPr>
          <w:rFonts w:eastAsia="黑体"/>
        </w:rPr>
        <w:fldChar w:fldCharType="separate"/>
      </w:r>
    </w:p>
    <w:p>
      <w:pPr>
        <w:pStyle w:val="14"/>
        <w:tabs>
          <w:tab w:val="right" w:leader="dot" w:pos="8306"/>
        </w:tabs>
        <w:spacing w:line="540" w:lineRule="exact"/>
        <w:rPr>
          <w:rFonts w:eastAsia="仿宋_GB2312"/>
          <w:bCs/>
          <w:kern w:val="44"/>
          <w:sz w:val="28"/>
          <w:szCs w:val="28"/>
        </w:rPr>
      </w:pPr>
      <w:r>
        <w:fldChar w:fldCharType="begin"/>
      </w:r>
      <w:r>
        <w:instrText xml:space="preserve"> HYPERLINK \l "_Toc4711" </w:instrText>
      </w:r>
      <w:r>
        <w:fldChar w:fldCharType="separate"/>
      </w:r>
      <w:r>
        <w:rPr>
          <w:rFonts w:eastAsia="仿宋_GB2312"/>
          <w:bCs/>
          <w:kern w:val="44"/>
          <w:sz w:val="28"/>
          <w:szCs w:val="28"/>
        </w:rPr>
        <w:t>第一部分 单位</w:t>
      </w:r>
      <w:r>
        <w:rPr>
          <w:rFonts w:eastAsia="仿宋_GB2312"/>
          <w:kern w:val="44"/>
          <w:sz w:val="28"/>
          <w:szCs w:val="28"/>
        </w:rPr>
        <w:t>概况</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_Toc4711 </w:instrText>
      </w:r>
      <w:r>
        <w:rPr>
          <w:rFonts w:eastAsia="仿宋_GB2312"/>
          <w:bCs/>
          <w:kern w:val="44"/>
          <w:sz w:val="28"/>
          <w:szCs w:val="28"/>
        </w:rPr>
        <w:fldChar w:fldCharType="separate"/>
      </w:r>
      <w:r>
        <w:rPr>
          <w:rFonts w:eastAsia="仿宋_GB2312"/>
          <w:bCs/>
          <w:kern w:val="44"/>
          <w:sz w:val="28"/>
          <w:szCs w:val="28"/>
        </w:rPr>
        <w:t>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"_Toc9834" </w:instrText>
      </w:r>
      <w:r>
        <w:fldChar w:fldCharType="separate"/>
      </w:r>
      <w:r>
        <w:rPr>
          <w:rFonts w:eastAsia="仿宋_GB2312"/>
          <w:kern w:val="44"/>
          <w:sz w:val="28"/>
          <w:szCs w:val="28"/>
        </w:rPr>
        <w:t>一、职能简介</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_Toc9834 </w:instrText>
      </w:r>
      <w:r>
        <w:rPr>
          <w:rFonts w:eastAsia="仿宋_GB2312"/>
          <w:bCs/>
          <w:kern w:val="44"/>
          <w:sz w:val="28"/>
          <w:szCs w:val="28"/>
        </w:rPr>
        <w:fldChar w:fldCharType="separate"/>
      </w:r>
      <w:r>
        <w:rPr>
          <w:rFonts w:eastAsia="仿宋_GB2312"/>
          <w:bCs/>
          <w:kern w:val="44"/>
          <w:sz w:val="28"/>
          <w:szCs w:val="28"/>
        </w:rPr>
        <w:t>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"_Toc28785" </w:instrText>
      </w:r>
      <w:r>
        <w:fldChar w:fldCharType="separate"/>
      </w:r>
      <w:r>
        <w:rPr>
          <w:rFonts w:eastAsia="仿宋_GB2312"/>
          <w:bCs/>
          <w:kern w:val="44"/>
          <w:sz w:val="28"/>
          <w:szCs w:val="28"/>
        </w:rPr>
        <w:t>二、2020年重点工作完成情况</w:t>
      </w:r>
      <w:r>
        <w:rPr>
          <w:rFonts w:eastAsia="仿宋_GB2312"/>
          <w:bCs/>
          <w:kern w:val="44"/>
          <w:sz w:val="28"/>
          <w:szCs w:val="28"/>
        </w:rPr>
        <w:tab/>
      </w:r>
      <w:r>
        <w:rPr>
          <w:rFonts w:hint="eastAsia" w:eastAsia="仿宋_GB2312"/>
          <w:bCs/>
          <w:kern w:val="44"/>
          <w:sz w:val="28"/>
          <w:szCs w:val="28"/>
          <w:lang w:val="en-US" w:eastAsia="zh-CN"/>
        </w:rPr>
        <w:t>7</w:t>
      </w:r>
      <w:r>
        <w:rPr>
          <w:rFonts w:eastAsia="仿宋_GB2312"/>
          <w:bCs/>
          <w:kern w:val="44"/>
          <w:sz w:val="28"/>
          <w:szCs w:val="28"/>
        </w:rPr>
        <w:fldChar w:fldCharType="end"/>
      </w:r>
    </w:p>
    <w:p>
      <w:pPr>
        <w:pStyle w:val="17"/>
        <w:tabs>
          <w:tab w:val="right" w:leader="dot" w:pos="8306"/>
        </w:tabs>
        <w:spacing w:line="540" w:lineRule="exact"/>
        <w:rPr>
          <w:rFonts w:hint="eastAsia" w:eastAsia="仿宋_GB2312"/>
          <w:bCs/>
          <w:kern w:val="44"/>
          <w:sz w:val="28"/>
          <w:szCs w:val="28"/>
          <w:lang w:val="en-US" w:eastAsia="zh-CN"/>
        </w:rPr>
      </w:pPr>
      <w:r>
        <w:fldChar w:fldCharType="begin"/>
      </w:r>
      <w:r>
        <w:instrText xml:space="preserve"> HYPERLINK \l "_Toc28785" </w:instrText>
      </w:r>
      <w:r>
        <w:fldChar w:fldCharType="separate"/>
      </w:r>
      <w:r>
        <w:rPr>
          <w:rFonts w:hint="eastAsia"/>
          <w:lang w:eastAsia="zh-CN"/>
        </w:rPr>
        <w:t>三</w:t>
      </w:r>
      <w:r>
        <w:rPr>
          <w:rFonts w:eastAsia="仿宋_GB2312"/>
          <w:bCs/>
          <w:kern w:val="44"/>
          <w:sz w:val="28"/>
          <w:szCs w:val="28"/>
        </w:rPr>
        <w:t>、</w:t>
      </w:r>
      <w:r>
        <w:rPr>
          <w:rFonts w:hint="eastAsia" w:eastAsia="仿宋_GB2312"/>
          <w:bCs/>
          <w:kern w:val="44"/>
          <w:sz w:val="28"/>
          <w:szCs w:val="28"/>
        </w:rPr>
        <w:t>机构</w:t>
      </w:r>
      <w:r>
        <w:rPr>
          <w:rFonts w:eastAsia="仿宋_GB2312"/>
          <w:bCs/>
          <w:kern w:val="44"/>
          <w:sz w:val="28"/>
          <w:szCs w:val="28"/>
        </w:rPr>
        <w:t>设置情况</w:t>
      </w:r>
      <w:r>
        <w:rPr>
          <w:rFonts w:eastAsia="仿宋_GB2312"/>
          <w:bCs/>
          <w:kern w:val="44"/>
          <w:sz w:val="28"/>
          <w:szCs w:val="28"/>
        </w:rPr>
        <w:tab/>
      </w:r>
      <w:r>
        <w:rPr>
          <w:rFonts w:hint="eastAsia" w:eastAsia="仿宋_GB2312"/>
          <w:bCs/>
          <w:kern w:val="44"/>
          <w:sz w:val="28"/>
          <w:szCs w:val="28"/>
          <w:lang w:val="en-US" w:eastAsia="zh-CN"/>
        </w:rPr>
        <w:t>1</w:t>
      </w:r>
      <w:r>
        <w:rPr>
          <w:rFonts w:eastAsia="仿宋_GB2312"/>
          <w:bCs/>
          <w:kern w:val="44"/>
          <w:sz w:val="28"/>
          <w:szCs w:val="28"/>
        </w:rPr>
        <w:fldChar w:fldCharType="end"/>
      </w:r>
      <w:r>
        <w:rPr>
          <w:rFonts w:hint="eastAsia" w:eastAsia="仿宋_GB2312"/>
          <w:bCs/>
          <w:kern w:val="44"/>
          <w:sz w:val="28"/>
          <w:szCs w:val="28"/>
          <w:lang w:val="en-US" w:eastAsia="zh-CN"/>
        </w:rPr>
        <w:t>4</w:t>
      </w:r>
    </w:p>
    <w:p>
      <w:pPr>
        <w:pStyle w:val="14"/>
        <w:tabs>
          <w:tab w:val="right" w:leader="dot" w:pos="8306"/>
        </w:tabs>
        <w:spacing w:line="540" w:lineRule="exact"/>
        <w:rPr>
          <w:rFonts w:eastAsia="仿宋_GB2312"/>
          <w:bCs/>
          <w:kern w:val="44"/>
          <w:sz w:val="28"/>
          <w:szCs w:val="28"/>
        </w:rPr>
      </w:pPr>
      <w:r>
        <w:fldChar w:fldCharType="begin"/>
      </w:r>
      <w:r>
        <w:instrText xml:space="preserve"> HYPERLINK \l "_Toc28300" </w:instrText>
      </w:r>
      <w:r>
        <w:fldChar w:fldCharType="separate"/>
      </w:r>
      <w:r>
        <w:rPr>
          <w:rFonts w:eastAsia="仿宋_GB2312"/>
          <w:bCs/>
          <w:kern w:val="44"/>
          <w:sz w:val="28"/>
          <w:szCs w:val="28"/>
        </w:rPr>
        <w:t>第二部分 2020年度部门决算情况说明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_Toc28300 </w:instrText>
      </w:r>
      <w:r>
        <w:rPr>
          <w:rFonts w:eastAsia="仿宋_GB2312"/>
          <w:bCs/>
          <w:kern w:val="44"/>
          <w:sz w:val="28"/>
          <w:szCs w:val="28"/>
        </w:rPr>
        <w:fldChar w:fldCharType="separate"/>
      </w:r>
      <w:r>
        <w:rPr>
          <w:rFonts w:eastAsia="仿宋_GB2312"/>
          <w:bCs/>
          <w:kern w:val="44"/>
          <w:sz w:val="28"/>
          <w:szCs w:val="28"/>
        </w:rPr>
        <w:t>15</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"_Toc31616" </w:instrText>
      </w:r>
      <w:r>
        <w:fldChar w:fldCharType="separate"/>
      </w:r>
      <w:r>
        <w:rPr>
          <w:rFonts w:eastAsia="仿宋_GB2312"/>
          <w:bCs/>
          <w:kern w:val="44"/>
          <w:sz w:val="28"/>
          <w:szCs w:val="28"/>
        </w:rPr>
        <w:t>一</w:t>
      </w:r>
      <w:r>
        <w:rPr>
          <w:rFonts w:eastAsia="仿宋_GB2312"/>
          <w:bCs/>
          <w:sz w:val="28"/>
          <w:szCs w:val="28"/>
        </w:rPr>
        <w:t xml:space="preserve">、 </w:t>
      </w:r>
      <w:r>
        <w:rPr>
          <w:rFonts w:eastAsia="仿宋_GB2312"/>
          <w:bCs/>
          <w:kern w:val="44"/>
          <w:sz w:val="28"/>
          <w:szCs w:val="28"/>
        </w:rPr>
        <w:t>收入支出决算总体情况说明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_Toc31616 </w:instrText>
      </w:r>
      <w:r>
        <w:rPr>
          <w:rFonts w:eastAsia="仿宋_GB2312"/>
          <w:bCs/>
          <w:kern w:val="44"/>
          <w:sz w:val="28"/>
          <w:szCs w:val="28"/>
        </w:rPr>
        <w:fldChar w:fldCharType="separate"/>
      </w:r>
      <w:r>
        <w:rPr>
          <w:rFonts w:eastAsia="仿宋_GB2312"/>
          <w:bCs/>
          <w:kern w:val="44"/>
          <w:sz w:val="28"/>
          <w:szCs w:val="28"/>
        </w:rPr>
        <w:t>15</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"_Toc25615" </w:instrText>
      </w:r>
      <w:r>
        <w:fldChar w:fldCharType="separate"/>
      </w:r>
      <w:r>
        <w:rPr>
          <w:rFonts w:eastAsia="仿宋_GB2312"/>
          <w:bCs/>
          <w:kern w:val="44"/>
          <w:sz w:val="28"/>
          <w:szCs w:val="28"/>
        </w:rPr>
        <w:t>二</w:t>
      </w:r>
      <w:r>
        <w:rPr>
          <w:rFonts w:eastAsia="仿宋_GB2312"/>
          <w:bCs/>
          <w:sz w:val="28"/>
          <w:szCs w:val="28"/>
        </w:rPr>
        <w:t xml:space="preserve">、 </w:t>
      </w:r>
      <w:r>
        <w:rPr>
          <w:rFonts w:eastAsia="仿宋_GB2312"/>
          <w:bCs/>
          <w:kern w:val="44"/>
          <w:sz w:val="28"/>
          <w:szCs w:val="28"/>
        </w:rPr>
        <w:t>收入决算情况说明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_Toc25615 </w:instrText>
      </w:r>
      <w:r>
        <w:rPr>
          <w:rFonts w:eastAsia="仿宋_GB2312"/>
          <w:bCs/>
          <w:kern w:val="44"/>
          <w:sz w:val="28"/>
          <w:szCs w:val="28"/>
        </w:rPr>
        <w:fldChar w:fldCharType="separate"/>
      </w:r>
      <w:r>
        <w:rPr>
          <w:rFonts w:eastAsia="仿宋_GB2312"/>
          <w:bCs/>
          <w:kern w:val="44"/>
          <w:sz w:val="28"/>
          <w:szCs w:val="28"/>
        </w:rPr>
        <w:t>15</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"_Toc19247" </w:instrText>
      </w:r>
      <w:r>
        <w:fldChar w:fldCharType="separate"/>
      </w:r>
      <w:r>
        <w:rPr>
          <w:rFonts w:eastAsia="仿宋_GB2312"/>
          <w:bCs/>
          <w:kern w:val="44"/>
          <w:sz w:val="28"/>
          <w:szCs w:val="28"/>
        </w:rPr>
        <w:t>三</w:t>
      </w:r>
      <w:r>
        <w:rPr>
          <w:rFonts w:eastAsia="仿宋_GB2312"/>
          <w:bCs/>
          <w:sz w:val="28"/>
          <w:szCs w:val="28"/>
        </w:rPr>
        <w:t xml:space="preserve">、 </w:t>
      </w:r>
      <w:r>
        <w:rPr>
          <w:rFonts w:eastAsia="仿宋_GB2312"/>
          <w:bCs/>
          <w:kern w:val="44"/>
          <w:sz w:val="28"/>
          <w:szCs w:val="28"/>
        </w:rPr>
        <w:t>支出决算情况说明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_Toc19247 </w:instrText>
      </w:r>
      <w:r>
        <w:rPr>
          <w:rFonts w:eastAsia="仿宋_GB2312"/>
          <w:bCs/>
          <w:kern w:val="44"/>
          <w:sz w:val="28"/>
          <w:szCs w:val="28"/>
        </w:rPr>
        <w:fldChar w:fldCharType="separate"/>
      </w:r>
      <w:r>
        <w:rPr>
          <w:rFonts w:eastAsia="仿宋_GB2312"/>
          <w:bCs/>
          <w:kern w:val="44"/>
          <w:sz w:val="28"/>
          <w:szCs w:val="28"/>
        </w:rPr>
        <w:t>15</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"_Toc3430" </w:instrText>
      </w:r>
      <w:r>
        <w:fldChar w:fldCharType="separate"/>
      </w:r>
      <w:r>
        <w:rPr>
          <w:rFonts w:eastAsia="仿宋_GB2312"/>
          <w:bCs/>
          <w:kern w:val="44"/>
          <w:sz w:val="28"/>
          <w:szCs w:val="28"/>
        </w:rPr>
        <w:t>四、财政拨款收入支出决算总体情况说明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_Toc3430 </w:instrText>
      </w:r>
      <w:r>
        <w:rPr>
          <w:rFonts w:eastAsia="仿宋_GB2312"/>
          <w:bCs/>
          <w:kern w:val="44"/>
          <w:sz w:val="28"/>
          <w:szCs w:val="28"/>
        </w:rPr>
        <w:fldChar w:fldCharType="separate"/>
      </w:r>
      <w:r>
        <w:rPr>
          <w:rFonts w:eastAsia="仿宋_GB2312"/>
          <w:bCs/>
          <w:kern w:val="44"/>
          <w:sz w:val="28"/>
          <w:szCs w:val="28"/>
        </w:rPr>
        <w:t>16</w:t>
      </w:r>
      <w:r>
        <w:rPr>
          <w:rFonts w:eastAsia="仿宋_GB2312"/>
          <w:bCs/>
          <w:kern w:val="44"/>
          <w:sz w:val="28"/>
          <w:szCs w:val="28"/>
        </w:rPr>
        <w:fldChar w:fldCharType="end"/>
      </w:r>
      <w:r>
        <w:rPr>
          <w:rFonts w:eastAsia="仿宋_GB2312"/>
          <w:bCs/>
          <w:kern w:val="44"/>
          <w:sz w:val="28"/>
          <w:szCs w:val="28"/>
        </w:rPr>
        <w:fldChar w:fldCharType="end"/>
      </w:r>
      <w:bookmarkStart w:id="115" w:name="_GoBack"/>
      <w:bookmarkEnd w:id="115"/>
    </w:p>
    <w:p>
      <w:pPr>
        <w:pStyle w:val="17"/>
        <w:tabs>
          <w:tab w:val="right" w:leader="dot" w:pos="8306"/>
        </w:tabs>
        <w:spacing w:line="540" w:lineRule="exact"/>
        <w:rPr>
          <w:rFonts w:eastAsia="仿宋_GB2312"/>
          <w:bCs/>
          <w:kern w:val="44"/>
          <w:sz w:val="28"/>
          <w:szCs w:val="28"/>
        </w:rPr>
      </w:pPr>
      <w:r>
        <w:fldChar w:fldCharType="begin"/>
      </w:r>
      <w:r>
        <w:instrText xml:space="preserve"> HYPERLINK \l "_Toc16009" </w:instrText>
      </w:r>
      <w:r>
        <w:fldChar w:fldCharType="separate"/>
      </w:r>
      <w:r>
        <w:rPr>
          <w:rFonts w:eastAsia="仿宋_GB2312"/>
          <w:bCs/>
          <w:kern w:val="44"/>
          <w:sz w:val="28"/>
          <w:szCs w:val="28"/>
        </w:rPr>
        <w:t>五、一般公共预算财政拨款支出决算情况说明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_Toc16009 </w:instrText>
      </w:r>
      <w:r>
        <w:rPr>
          <w:rFonts w:eastAsia="仿宋_GB2312"/>
          <w:bCs/>
          <w:kern w:val="44"/>
          <w:sz w:val="28"/>
          <w:szCs w:val="28"/>
        </w:rPr>
        <w:fldChar w:fldCharType="separate"/>
      </w:r>
      <w:r>
        <w:rPr>
          <w:rFonts w:eastAsia="仿宋_GB2312"/>
          <w:bCs/>
          <w:kern w:val="44"/>
          <w:sz w:val="28"/>
          <w:szCs w:val="28"/>
        </w:rPr>
        <w:t>16</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"_Toc13985" </w:instrText>
      </w:r>
      <w:r>
        <w:fldChar w:fldCharType="separate"/>
      </w:r>
      <w:r>
        <w:rPr>
          <w:rFonts w:eastAsia="仿宋_GB2312"/>
          <w:bCs/>
          <w:kern w:val="44"/>
          <w:sz w:val="28"/>
          <w:szCs w:val="28"/>
        </w:rPr>
        <w:t>六、一般公共预算财政拨款基本支出决算情况说明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_Toc13985 </w:instrText>
      </w:r>
      <w:r>
        <w:rPr>
          <w:rFonts w:eastAsia="仿宋_GB2312"/>
          <w:bCs/>
          <w:kern w:val="44"/>
          <w:sz w:val="28"/>
          <w:szCs w:val="28"/>
        </w:rPr>
        <w:fldChar w:fldCharType="separate"/>
      </w:r>
      <w:r>
        <w:rPr>
          <w:rFonts w:eastAsia="仿宋_GB2312"/>
          <w:bCs/>
          <w:kern w:val="44"/>
          <w:sz w:val="28"/>
          <w:szCs w:val="28"/>
        </w:rPr>
        <w:t>20</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"_Toc16072" </w:instrText>
      </w:r>
      <w:r>
        <w:fldChar w:fldCharType="separate"/>
      </w:r>
      <w:r>
        <w:rPr>
          <w:rFonts w:eastAsia="仿宋_GB2312"/>
          <w:bCs/>
          <w:kern w:val="44"/>
          <w:sz w:val="28"/>
          <w:szCs w:val="28"/>
        </w:rPr>
        <w:t>七、“三公”经费财政拨款支出决算情况说明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_Toc16072 </w:instrText>
      </w:r>
      <w:r>
        <w:rPr>
          <w:rFonts w:eastAsia="仿宋_GB2312"/>
          <w:bCs/>
          <w:kern w:val="44"/>
          <w:sz w:val="28"/>
          <w:szCs w:val="28"/>
        </w:rPr>
        <w:fldChar w:fldCharType="separate"/>
      </w:r>
      <w:r>
        <w:rPr>
          <w:rFonts w:eastAsia="仿宋_GB2312"/>
          <w:bCs/>
          <w:kern w:val="44"/>
          <w:sz w:val="28"/>
          <w:szCs w:val="28"/>
        </w:rPr>
        <w:t>20</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"_Toc14292" </w:instrText>
      </w:r>
      <w:r>
        <w:fldChar w:fldCharType="separate"/>
      </w:r>
      <w:r>
        <w:rPr>
          <w:rFonts w:eastAsia="仿宋_GB2312"/>
          <w:bCs/>
          <w:kern w:val="44"/>
          <w:sz w:val="28"/>
          <w:szCs w:val="28"/>
        </w:rPr>
        <w:t>八、政府性基金预算支出决算情况说明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_Toc14292 </w:instrText>
      </w:r>
      <w:r>
        <w:rPr>
          <w:rFonts w:eastAsia="仿宋_GB2312"/>
          <w:bCs/>
          <w:kern w:val="44"/>
          <w:sz w:val="28"/>
          <w:szCs w:val="28"/>
        </w:rPr>
        <w:fldChar w:fldCharType="separate"/>
      </w:r>
      <w:r>
        <w:rPr>
          <w:rFonts w:eastAsia="仿宋_GB2312"/>
          <w:bCs/>
          <w:kern w:val="44"/>
          <w:sz w:val="28"/>
          <w:szCs w:val="28"/>
        </w:rPr>
        <w:t>22</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"_Toc3502" </w:instrText>
      </w:r>
      <w:r>
        <w:fldChar w:fldCharType="separate"/>
      </w:r>
      <w:r>
        <w:rPr>
          <w:rFonts w:eastAsia="仿宋_GB2312"/>
          <w:bCs/>
          <w:kern w:val="44"/>
          <w:sz w:val="28"/>
          <w:szCs w:val="28"/>
        </w:rPr>
        <w:t>九</w:t>
      </w:r>
      <w:r>
        <w:rPr>
          <w:rFonts w:eastAsia="仿宋_GB2312"/>
          <w:bCs/>
          <w:sz w:val="28"/>
          <w:szCs w:val="28"/>
        </w:rPr>
        <w:t xml:space="preserve">、 </w:t>
      </w:r>
      <w:r>
        <w:rPr>
          <w:rFonts w:eastAsia="仿宋_GB2312"/>
          <w:bCs/>
          <w:kern w:val="44"/>
          <w:sz w:val="28"/>
          <w:szCs w:val="28"/>
        </w:rPr>
        <w:t>国有资本经营预算支出决算情况说明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_Toc3502 </w:instrText>
      </w:r>
      <w:r>
        <w:rPr>
          <w:rFonts w:eastAsia="仿宋_GB2312"/>
          <w:bCs/>
          <w:kern w:val="44"/>
          <w:sz w:val="28"/>
          <w:szCs w:val="28"/>
        </w:rPr>
        <w:fldChar w:fldCharType="separate"/>
      </w:r>
      <w:r>
        <w:rPr>
          <w:rFonts w:eastAsia="仿宋_GB2312"/>
          <w:bCs/>
          <w:kern w:val="44"/>
          <w:sz w:val="28"/>
          <w:szCs w:val="28"/>
        </w:rPr>
        <w:t>22</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"_Toc6879" </w:instrText>
      </w:r>
      <w:r>
        <w:fldChar w:fldCharType="separate"/>
      </w:r>
      <w:r>
        <w:rPr>
          <w:rFonts w:eastAsia="仿宋_GB2312"/>
          <w:bCs/>
          <w:kern w:val="44"/>
          <w:sz w:val="28"/>
          <w:szCs w:val="28"/>
        </w:rPr>
        <w:t>十</w:t>
      </w:r>
      <w:r>
        <w:rPr>
          <w:rFonts w:eastAsia="仿宋_GB2312"/>
          <w:bCs/>
          <w:sz w:val="28"/>
          <w:szCs w:val="28"/>
        </w:rPr>
        <w:t xml:space="preserve">、 </w:t>
      </w:r>
      <w:r>
        <w:rPr>
          <w:rFonts w:eastAsia="仿宋_GB2312"/>
          <w:bCs/>
          <w:kern w:val="44"/>
          <w:sz w:val="28"/>
          <w:szCs w:val="28"/>
        </w:rPr>
        <w:t>其他重要事项的情况说明</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_Toc6879 </w:instrText>
      </w:r>
      <w:r>
        <w:rPr>
          <w:rFonts w:eastAsia="仿宋_GB2312"/>
          <w:bCs/>
          <w:kern w:val="44"/>
          <w:sz w:val="28"/>
          <w:szCs w:val="28"/>
        </w:rPr>
        <w:fldChar w:fldCharType="separate"/>
      </w:r>
      <w:r>
        <w:rPr>
          <w:rFonts w:eastAsia="仿宋_GB2312"/>
          <w:bCs/>
          <w:kern w:val="44"/>
          <w:sz w:val="28"/>
          <w:szCs w:val="28"/>
        </w:rPr>
        <w:t>22</w:t>
      </w:r>
      <w:r>
        <w:rPr>
          <w:rFonts w:eastAsia="仿宋_GB2312"/>
          <w:bCs/>
          <w:kern w:val="44"/>
          <w:sz w:val="28"/>
          <w:szCs w:val="28"/>
        </w:rPr>
        <w:fldChar w:fldCharType="end"/>
      </w:r>
      <w:r>
        <w:rPr>
          <w:rFonts w:eastAsia="仿宋_GB2312"/>
          <w:bCs/>
          <w:kern w:val="44"/>
          <w:sz w:val="28"/>
          <w:szCs w:val="28"/>
        </w:rPr>
        <w:fldChar w:fldCharType="end"/>
      </w:r>
    </w:p>
    <w:p>
      <w:pPr>
        <w:pStyle w:val="14"/>
        <w:tabs>
          <w:tab w:val="right" w:leader="dot" w:pos="8306"/>
        </w:tabs>
        <w:spacing w:line="540" w:lineRule="exact"/>
        <w:rPr>
          <w:rFonts w:eastAsia="仿宋_GB2312"/>
          <w:bCs/>
          <w:kern w:val="44"/>
          <w:sz w:val="28"/>
          <w:szCs w:val="28"/>
        </w:rPr>
      </w:pPr>
      <w:r>
        <w:fldChar w:fldCharType="begin"/>
      </w:r>
      <w:r>
        <w:instrText xml:space="preserve"> HYPERLINK \l "_Toc8317" </w:instrText>
      </w:r>
      <w:r>
        <w:fldChar w:fldCharType="separate"/>
      </w:r>
      <w:r>
        <w:rPr>
          <w:rFonts w:eastAsia="仿宋_GB2312"/>
          <w:bCs/>
          <w:kern w:val="44"/>
          <w:sz w:val="28"/>
          <w:szCs w:val="28"/>
        </w:rPr>
        <w:t>第三部分 名词解释</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_Toc8317 </w:instrText>
      </w:r>
      <w:r>
        <w:rPr>
          <w:rFonts w:eastAsia="仿宋_GB2312"/>
          <w:bCs/>
          <w:kern w:val="44"/>
          <w:sz w:val="28"/>
          <w:szCs w:val="28"/>
        </w:rPr>
        <w:fldChar w:fldCharType="separate"/>
      </w:r>
      <w:r>
        <w:rPr>
          <w:rFonts w:eastAsia="仿宋_GB2312"/>
          <w:bCs/>
          <w:kern w:val="44"/>
          <w:sz w:val="28"/>
          <w:szCs w:val="28"/>
        </w:rPr>
        <w:t>30</w:t>
      </w:r>
      <w:r>
        <w:rPr>
          <w:rFonts w:eastAsia="仿宋_GB2312"/>
          <w:bCs/>
          <w:kern w:val="44"/>
          <w:sz w:val="28"/>
          <w:szCs w:val="28"/>
        </w:rPr>
        <w:fldChar w:fldCharType="end"/>
      </w:r>
      <w:r>
        <w:rPr>
          <w:rFonts w:eastAsia="仿宋_GB2312"/>
          <w:bCs/>
          <w:kern w:val="44"/>
          <w:sz w:val="28"/>
          <w:szCs w:val="28"/>
        </w:rPr>
        <w:fldChar w:fldCharType="end"/>
      </w:r>
    </w:p>
    <w:p>
      <w:pPr>
        <w:pStyle w:val="14"/>
        <w:tabs>
          <w:tab w:val="right" w:leader="dot" w:pos="8306"/>
        </w:tabs>
        <w:spacing w:line="540" w:lineRule="exact"/>
        <w:rPr>
          <w:rFonts w:eastAsia="仿宋_GB2312"/>
          <w:bCs/>
          <w:kern w:val="44"/>
          <w:sz w:val="28"/>
          <w:szCs w:val="28"/>
        </w:rPr>
      </w:pPr>
      <w:r>
        <w:fldChar w:fldCharType="begin"/>
      </w:r>
      <w:r>
        <w:instrText xml:space="preserve"> HYPERLINK \l "_Toc32131" </w:instrText>
      </w:r>
      <w:r>
        <w:fldChar w:fldCharType="separate"/>
      </w:r>
      <w:r>
        <w:rPr>
          <w:rFonts w:eastAsia="仿宋_GB2312"/>
          <w:bCs/>
          <w:kern w:val="44"/>
          <w:sz w:val="28"/>
          <w:szCs w:val="28"/>
        </w:rPr>
        <w:t>第四部分 附件</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_Toc32131 </w:instrText>
      </w:r>
      <w:r>
        <w:rPr>
          <w:rFonts w:eastAsia="仿宋_GB2312"/>
          <w:bCs/>
          <w:kern w:val="44"/>
          <w:sz w:val="28"/>
          <w:szCs w:val="28"/>
        </w:rPr>
        <w:fldChar w:fldCharType="separate"/>
      </w:r>
      <w:r>
        <w:rPr>
          <w:rFonts w:eastAsia="仿宋_GB2312"/>
          <w:bCs/>
          <w:kern w:val="44"/>
          <w:sz w:val="28"/>
          <w:szCs w:val="28"/>
        </w:rPr>
        <w:t>37</w:t>
      </w:r>
      <w:r>
        <w:rPr>
          <w:rFonts w:eastAsia="仿宋_GB2312"/>
          <w:bCs/>
          <w:kern w:val="44"/>
          <w:sz w:val="28"/>
          <w:szCs w:val="28"/>
        </w:rPr>
        <w:fldChar w:fldCharType="end"/>
      </w:r>
      <w:r>
        <w:rPr>
          <w:rFonts w:eastAsia="仿宋_GB2312"/>
          <w:bCs/>
          <w:kern w:val="44"/>
          <w:sz w:val="28"/>
          <w:szCs w:val="28"/>
        </w:rPr>
        <w:fldChar w:fldCharType="end"/>
      </w:r>
    </w:p>
    <w:p>
      <w:pPr>
        <w:pStyle w:val="14"/>
        <w:tabs>
          <w:tab w:val="right" w:leader="dot" w:pos="8306"/>
        </w:tabs>
        <w:spacing w:line="540" w:lineRule="exact"/>
        <w:rPr>
          <w:rFonts w:eastAsia="仿宋_GB2312"/>
          <w:bCs/>
          <w:kern w:val="44"/>
          <w:sz w:val="28"/>
          <w:szCs w:val="28"/>
        </w:rPr>
      </w:pPr>
      <w:r>
        <w:fldChar w:fldCharType="begin"/>
      </w:r>
      <w:r>
        <w:instrText xml:space="preserve"> HYPERLINK \l "_Toc3580" </w:instrText>
      </w:r>
      <w:r>
        <w:fldChar w:fldCharType="separate"/>
      </w:r>
      <w:r>
        <w:rPr>
          <w:rFonts w:eastAsia="仿宋_GB2312"/>
          <w:bCs/>
          <w:kern w:val="44"/>
          <w:sz w:val="28"/>
          <w:szCs w:val="28"/>
        </w:rPr>
        <w:t>第五部分 附表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_Toc3580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"_Toc32353" </w:instrText>
      </w:r>
      <w:r>
        <w:fldChar w:fldCharType="separate"/>
      </w:r>
      <w:r>
        <w:rPr>
          <w:rFonts w:eastAsia="仿宋_GB2312"/>
          <w:bCs/>
          <w:kern w:val="44"/>
          <w:sz w:val="28"/>
          <w:szCs w:val="28"/>
        </w:rPr>
        <w:t>一、收</w:t>
      </w:r>
      <w:r>
        <w:rPr>
          <w:rFonts w:eastAsia="仿宋_GB2312"/>
          <w:kern w:val="44"/>
          <w:sz w:val="28"/>
          <w:szCs w:val="28"/>
        </w:rPr>
        <w:t>入支出决算总表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_Toc32353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"_Toc15993" </w:instrText>
      </w:r>
      <w:r>
        <w:fldChar w:fldCharType="separate"/>
      </w:r>
      <w:r>
        <w:rPr>
          <w:rFonts w:eastAsia="仿宋_GB2312"/>
          <w:bCs/>
          <w:kern w:val="44"/>
          <w:sz w:val="28"/>
          <w:szCs w:val="28"/>
        </w:rPr>
        <w:t>二、收</w:t>
      </w:r>
      <w:r>
        <w:rPr>
          <w:rFonts w:eastAsia="仿宋_GB2312"/>
          <w:kern w:val="44"/>
          <w:sz w:val="28"/>
          <w:szCs w:val="28"/>
        </w:rPr>
        <w:t>入决算表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_Toc15993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"_Toc9806" </w:instrText>
      </w:r>
      <w:r>
        <w:fldChar w:fldCharType="separate"/>
      </w:r>
      <w:r>
        <w:rPr>
          <w:rFonts w:eastAsia="仿宋_GB2312"/>
          <w:kern w:val="44"/>
          <w:sz w:val="28"/>
          <w:szCs w:val="28"/>
        </w:rPr>
        <w:t>三、</w:t>
      </w:r>
      <w:r>
        <w:rPr>
          <w:rFonts w:eastAsia="仿宋_GB2312"/>
          <w:bCs/>
          <w:kern w:val="44"/>
          <w:sz w:val="28"/>
          <w:szCs w:val="28"/>
        </w:rPr>
        <w:t>支</w:t>
      </w:r>
      <w:r>
        <w:rPr>
          <w:rFonts w:eastAsia="仿宋_GB2312"/>
          <w:kern w:val="44"/>
          <w:sz w:val="28"/>
          <w:szCs w:val="28"/>
        </w:rPr>
        <w:t>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_Toc9806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"_Toc8870" </w:instrText>
      </w:r>
      <w:r>
        <w:fldChar w:fldCharType="separate"/>
      </w:r>
      <w:r>
        <w:rPr>
          <w:rFonts w:eastAsia="仿宋_GB2312"/>
          <w:kern w:val="44"/>
          <w:sz w:val="28"/>
          <w:szCs w:val="28"/>
        </w:rPr>
        <w:t>四、</w:t>
      </w:r>
      <w:r>
        <w:rPr>
          <w:rFonts w:eastAsia="仿宋_GB2312"/>
          <w:bCs/>
          <w:kern w:val="44"/>
          <w:sz w:val="28"/>
          <w:szCs w:val="28"/>
        </w:rPr>
        <w:t>财</w:t>
      </w:r>
      <w:r>
        <w:rPr>
          <w:rFonts w:eastAsia="仿宋_GB2312"/>
          <w:kern w:val="44"/>
          <w:sz w:val="28"/>
          <w:szCs w:val="28"/>
        </w:rPr>
        <w:t>政拨款收入支出决算总表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_Toc8870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"_Toc19847" </w:instrText>
      </w:r>
      <w:r>
        <w:fldChar w:fldCharType="separate"/>
      </w:r>
      <w:r>
        <w:rPr>
          <w:rFonts w:eastAsia="仿宋_GB2312"/>
          <w:kern w:val="44"/>
          <w:sz w:val="28"/>
          <w:szCs w:val="28"/>
        </w:rPr>
        <w:t>五、</w:t>
      </w:r>
      <w:r>
        <w:rPr>
          <w:rFonts w:eastAsia="仿宋_GB2312"/>
          <w:bCs/>
          <w:kern w:val="44"/>
          <w:sz w:val="28"/>
          <w:szCs w:val="28"/>
        </w:rPr>
        <w:t>财</w:t>
      </w:r>
      <w:r>
        <w:rPr>
          <w:rFonts w:eastAsia="仿宋_GB2312"/>
          <w:kern w:val="44"/>
          <w:sz w:val="28"/>
          <w:szCs w:val="28"/>
        </w:rPr>
        <w:t>政拨款支出决算明细表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_Toc19847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"_Toc31453" </w:instrText>
      </w:r>
      <w:r>
        <w:fldChar w:fldCharType="separate"/>
      </w:r>
      <w:r>
        <w:rPr>
          <w:rFonts w:eastAsia="仿宋_GB2312"/>
          <w:kern w:val="44"/>
          <w:sz w:val="28"/>
          <w:szCs w:val="28"/>
        </w:rPr>
        <w:t>六、</w:t>
      </w:r>
      <w:r>
        <w:rPr>
          <w:rFonts w:eastAsia="仿宋_GB2312"/>
          <w:bCs/>
          <w:kern w:val="44"/>
          <w:sz w:val="28"/>
          <w:szCs w:val="28"/>
        </w:rPr>
        <w:t>一</w:t>
      </w:r>
      <w:r>
        <w:rPr>
          <w:rFonts w:eastAsia="仿宋_GB2312"/>
          <w:kern w:val="44"/>
          <w:sz w:val="28"/>
          <w:szCs w:val="28"/>
        </w:rPr>
        <w:t>般公共预算财政拨款支出决算表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_Toc31453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"_Toc32735" </w:instrText>
      </w:r>
      <w:r>
        <w:fldChar w:fldCharType="separate"/>
      </w:r>
      <w:r>
        <w:rPr>
          <w:rFonts w:eastAsia="仿宋_GB2312"/>
          <w:kern w:val="44"/>
          <w:sz w:val="28"/>
          <w:szCs w:val="28"/>
        </w:rPr>
        <w:t>七、</w:t>
      </w:r>
      <w:r>
        <w:rPr>
          <w:rFonts w:eastAsia="仿宋_GB2312"/>
          <w:bCs/>
          <w:kern w:val="44"/>
          <w:sz w:val="28"/>
          <w:szCs w:val="28"/>
        </w:rPr>
        <w:t>一</w:t>
      </w:r>
      <w:r>
        <w:rPr>
          <w:rFonts w:eastAsia="仿宋_GB2312"/>
          <w:kern w:val="44"/>
          <w:sz w:val="28"/>
          <w:szCs w:val="28"/>
        </w:rPr>
        <w:t>般公共预算财政拨款支出决算明细表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_Toc32735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"_Toc17659" </w:instrText>
      </w:r>
      <w:r>
        <w:fldChar w:fldCharType="separate"/>
      </w:r>
      <w:r>
        <w:rPr>
          <w:rFonts w:eastAsia="仿宋_GB2312"/>
          <w:kern w:val="44"/>
          <w:sz w:val="28"/>
          <w:szCs w:val="28"/>
        </w:rPr>
        <w:t>八、</w:t>
      </w:r>
      <w:r>
        <w:rPr>
          <w:rFonts w:eastAsia="仿宋_GB2312"/>
          <w:bCs/>
          <w:kern w:val="44"/>
          <w:sz w:val="28"/>
          <w:szCs w:val="28"/>
        </w:rPr>
        <w:t>一</w:t>
      </w:r>
      <w:r>
        <w:rPr>
          <w:rFonts w:eastAsia="仿宋_GB2312"/>
          <w:kern w:val="44"/>
          <w:sz w:val="28"/>
          <w:szCs w:val="28"/>
        </w:rPr>
        <w:t>般公共预算财政拨款基本支出决算表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_Toc17659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"_Toc18355" </w:instrText>
      </w:r>
      <w:r>
        <w:fldChar w:fldCharType="separate"/>
      </w:r>
      <w:r>
        <w:rPr>
          <w:rFonts w:eastAsia="仿宋_GB2312"/>
          <w:kern w:val="44"/>
          <w:sz w:val="28"/>
          <w:szCs w:val="28"/>
        </w:rPr>
        <w:t>九、</w:t>
      </w:r>
      <w:r>
        <w:rPr>
          <w:rFonts w:eastAsia="仿宋_GB2312"/>
          <w:bCs/>
          <w:kern w:val="44"/>
          <w:sz w:val="28"/>
          <w:szCs w:val="28"/>
        </w:rPr>
        <w:t>一</w:t>
      </w:r>
      <w:r>
        <w:rPr>
          <w:rFonts w:eastAsia="仿宋_GB2312"/>
          <w:kern w:val="44"/>
          <w:sz w:val="28"/>
          <w:szCs w:val="28"/>
        </w:rPr>
        <w:t>般公共预算财政拨款项目支出决算表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_Toc18355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"_Toc7698" </w:instrText>
      </w:r>
      <w:r>
        <w:fldChar w:fldCharType="separate"/>
      </w:r>
      <w:r>
        <w:rPr>
          <w:rFonts w:eastAsia="仿宋_GB2312"/>
          <w:kern w:val="44"/>
          <w:sz w:val="28"/>
          <w:szCs w:val="28"/>
        </w:rPr>
        <w:t>十、</w:t>
      </w:r>
      <w:r>
        <w:rPr>
          <w:rFonts w:eastAsia="仿宋_GB2312"/>
          <w:bCs/>
          <w:kern w:val="44"/>
          <w:sz w:val="28"/>
          <w:szCs w:val="28"/>
        </w:rPr>
        <w:t>一</w:t>
      </w:r>
      <w:r>
        <w:rPr>
          <w:rFonts w:eastAsia="仿宋_GB2312"/>
          <w:kern w:val="44"/>
          <w:sz w:val="28"/>
          <w:szCs w:val="28"/>
        </w:rPr>
        <w:t>般公共预算财政拨款“三公”经费支出决算表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_Toc7698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"_Toc16717" </w:instrText>
      </w:r>
      <w:r>
        <w:fldChar w:fldCharType="separate"/>
      </w:r>
      <w:r>
        <w:rPr>
          <w:rFonts w:eastAsia="仿宋_GB2312"/>
          <w:kern w:val="44"/>
          <w:sz w:val="28"/>
          <w:szCs w:val="28"/>
        </w:rPr>
        <w:t>十一、</w:t>
      </w:r>
      <w:r>
        <w:rPr>
          <w:rFonts w:eastAsia="仿宋_GB2312"/>
          <w:bCs/>
          <w:kern w:val="44"/>
          <w:sz w:val="28"/>
          <w:szCs w:val="28"/>
        </w:rPr>
        <w:t>政</w:t>
      </w:r>
      <w:r>
        <w:rPr>
          <w:rFonts w:eastAsia="仿宋_GB2312"/>
          <w:kern w:val="44"/>
          <w:sz w:val="28"/>
          <w:szCs w:val="28"/>
        </w:rPr>
        <w:t>府性基金预算财政拨款收入支出决算表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_Toc16717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"_Toc24258" </w:instrText>
      </w:r>
      <w:r>
        <w:fldChar w:fldCharType="separate"/>
      </w:r>
      <w:r>
        <w:rPr>
          <w:rFonts w:eastAsia="仿宋_GB2312"/>
          <w:kern w:val="44"/>
          <w:sz w:val="28"/>
          <w:szCs w:val="28"/>
        </w:rPr>
        <w:t>十二、</w:t>
      </w:r>
      <w:r>
        <w:rPr>
          <w:rFonts w:eastAsia="仿宋_GB2312"/>
          <w:bCs/>
          <w:kern w:val="44"/>
          <w:sz w:val="28"/>
          <w:szCs w:val="28"/>
        </w:rPr>
        <w:t>政</w:t>
      </w:r>
      <w:r>
        <w:rPr>
          <w:rFonts w:eastAsia="仿宋_GB2312"/>
          <w:kern w:val="44"/>
          <w:sz w:val="28"/>
          <w:szCs w:val="28"/>
        </w:rPr>
        <w:t>府性基金预算财政拨款“三公”经费支出决算表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_Toc24258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rFonts w:eastAsia="仿宋_GB2312"/>
          <w:bCs/>
          <w:kern w:val="44"/>
          <w:sz w:val="28"/>
          <w:szCs w:val="28"/>
        </w:rPr>
      </w:pPr>
      <w:r>
        <w:fldChar w:fldCharType="begin"/>
      </w:r>
      <w:r>
        <w:instrText xml:space="preserve"> HYPERLINK \l "_Toc16995" </w:instrText>
      </w:r>
      <w:r>
        <w:fldChar w:fldCharType="separate"/>
      </w:r>
      <w:r>
        <w:rPr>
          <w:rFonts w:eastAsia="仿宋_GB2312"/>
          <w:kern w:val="44"/>
          <w:sz w:val="28"/>
          <w:szCs w:val="28"/>
        </w:rPr>
        <w:t>十三、</w:t>
      </w:r>
      <w:r>
        <w:rPr>
          <w:rFonts w:eastAsia="仿宋_GB2312"/>
          <w:bCs/>
          <w:kern w:val="44"/>
          <w:sz w:val="28"/>
          <w:szCs w:val="28"/>
        </w:rPr>
        <w:t>国</w:t>
      </w:r>
      <w:r>
        <w:rPr>
          <w:rFonts w:eastAsia="仿宋_GB2312"/>
          <w:kern w:val="44"/>
          <w:sz w:val="28"/>
          <w:szCs w:val="28"/>
        </w:rPr>
        <w:t>有资本经营预算财政拨款收入支出决算表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_Toc16995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17"/>
        <w:tabs>
          <w:tab w:val="right" w:leader="dot" w:pos="8306"/>
        </w:tabs>
        <w:spacing w:line="540" w:lineRule="exact"/>
        <w:rPr>
          <w:bCs/>
          <w:kern w:val="44"/>
          <w:szCs w:val="44"/>
        </w:rPr>
      </w:pPr>
      <w:r>
        <w:fldChar w:fldCharType="begin"/>
      </w:r>
      <w:r>
        <w:instrText xml:space="preserve"> HYPERLINK \l "_Toc12083" </w:instrText>
      </w:r>
      <w:r>
        <w:fldChar w:fldCharType="separate"/>
      </w:r>
      <w:r>
        <w:rPr>
          <w:rFonts w:eastAsia="仿宋_GB2312"/>
          <w:kern w:val="44"/>
          <w:sz w:val="28"/>
          <w:szCs w:val="28"/>
        </w:rPr>
        <w:t>十四、国有资本经营预算财政拨款支出决算表</w:t>
      </w:r>
      <w:r>
        <w:rPr>
          <w:rFonts w:eastAsia="仿宋_GB2312"/>
          <w:bCs/>
          <w:kern w:val="44"/>
          <w:sz w:val="28"/>
          <w:szCs w:val="28"/>
        </w:rPr>
        <w:tab/>
      </w:r>
      <w:r>
        <w:rPr>
          <w:rFonts w:eastAsia="仿宋_GB2312"/>
          <w:bCs/>
          <w:kern w:val="44"/>
          <w:sz w:val="28"/>
          <w:szCs w:val="28"/>
        </w:rPr>
        <w:fldChar w:fldCharType="begin"/>
      </w:r>
      <w:r>
        <w:rPr>
          <w:rFonts w:eastAsia="仿宋_GB2312"/>
          <w:bCs/>
          <w:kern w:val="44"/>
          <w:sz w:val="28"/>
          <w:szCs w:val="28"/>
        </w:rPr>
        <w:instrText xml:space="preserve"> PAGEREF _Toc12083 </w:instrText>
      </w:r>
      <w:r>
        <w:rPr>
          <w:rFonts w:eastAsia="仿宋_GB2312"/>
          <w:bCs/>
          <w:kern w:val="44"/>
          <w:sz w:val="28"/>
          <w:szCs w:val="28"/>
        </w:rPr>
        <w:fldChar w:fldCharType="separate"/>
      </w:r>
      <w:r>
        <w:rPr>
          <w:rFonts w:eastAsia="仿宋_GB2312"/>
          <w:bCs/>
          <w:kern w:val="44"/>
          <w:sz w:val="28"/>
          <w:szCs w:val="28"/>
        </w:rPr>
        <w:t>54</w:t>
      </w:r>
      <w:r>
        <w:rPr>
          <w:rFonts w:eastAsia="仿宋_GB2312"/>
          <w:bCs/>
          <w:kern w:val="44"/>
          <w:sz w:val="28"/>
          <w:szCs w:val="28"/>
        </w:rPr>
        <w:fldChar w:fldCharType="end"/>
      </w:r>
      <w:r>
        <w:rPr>
          <w:rFonts w:eastAsia="仿宋_GB2312"/>
          <w:bCs/>
          <w:kern w:val="44"/>
          <w:sz w:val="28"/>
          <w:szCs w:val="28"/>
        </w:rPr>
        <w:fldChar w:fldCharType="end"/>
      </w:r>
    </w:p>
    <w:p>
      <w:pPr>
        <w:pStyle w:val="3"/>
        <w:keepNext w:val="0"/>
        <w:keepLines w:val="0"/>
        <w:spacing w:before="0" w:after="0" w:line="540" w:lineRule="exact"/>
        <w:jc w:val="center"/>
        <w:rPr>
          <w:rFonts w:eastAsia="黑体"/>
          <w:b w:val="0"/>
        </w:rPr>
      </w:pPr>
      <w:r>
        <w:rPr>
          <w:rFonts w:eastAsia="黑体"/>
        </w:rPr>
        <w:fldChar w:fldCharType="end"/>
      </w: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pStyle w:val="3"/>
        <w:keepNext w:val="0"/>
        <w:keepLines w:val="0"/>
        <w:spacing w:before="0" w:after="0" w:line="540" w:lineRule="exact"/>
        <w:jc w:val="center"/>
        <w:rPr>
          <w:rFonts w:eastAsia="黑体"/>
          <w:b w:val="0"/>
        </w:rPr>
      </w:pPr>
    </w:p>
    <w:p>
      <w:pPr>
        <w:spacing w:line="540" w:lineRule="exact"/>
        <w:rPr>
          <w:rFonts w:eastAsia="黑体"/>
        </w:rPr>
      </w:pPr>
    </w:p>
    <w:p>
      <w:pPr>
        <w:pStyle w:val="2"/>
        <w:spacing w:line="540" w:lineRule="exact"/>
        <w:ind w:left="840" w:hanging="420"/>
      </w:pPr>
    </w:p>
    <w:p>
      <w:pPr>
        <w:pStyle w:val="3"/>
        <w:keepNext w:val="0"/>
        <w:keepLines w:val="0"/>
        <w:spacing w:before="0" w:after="0" w:line="540" w:lineRule="exact"/>
        <w:jc w:val="center"/>
        <w:rPr>
          <w:rFonts w:eastAsia="黑体"/>
          <w:b w:val="0"/>
        </w:rPr>
      </w:pPr>
      <w:bookmarkStart w:id="16" w:name="_Toc4711"/>
    </w:p>
    <w:p>
      <w:pPr>
        <w:pStyle w:val="3"/>
        <w:keepNext w:val="0"/>
        <w:keepLines w:val="0"/>
        <w:spacing w:before="0" w:after="0" w:line="540" w:lineRule="exact"/>
        <w:jc w:val="center"/>
        <w:rPr>
          <w:rStyle w:val="33"/>
          <w:rFonts w:eastAsia="黑体"/>
          <w:b/>
          <w:bCs w:val="0"/>
        </w:rPr>
      </w:pPr>
      <w:r>
        <w:rPr>
          <w:rFonts w:eastAsia="黑体"/>
          <w:b w:val="0"/>
        </w:rPr>
        <w:t>第一部分 单位</w:t>
      </w:r>
      <w:r>
        <w:rPr>
          <w:rStyle w:val="33"/>
          <w:rFonts w:eastAsia="黑体"/>
          <w:b w:val="0"/>
          <w:bCs w:val="0"/>
        </w:rPr>
        <w:t>概况</w:t>
      </w:r>
      <w:bookmarkEnd w:id="14"/>
      <w:bookmarkEnd w:id="15"/>
      <w:bookmarkEnd w:id="16"/>
    </w:p>
    <w:p>
      <w:pPr>
        <w:spacing w:line="540" w:lineRule="exact"/>
        <w:jc w:val="left"/>
        <w:rPr>
          <w:rFonts w:eastAsia="黑体"/>
          <w:sz w:val="32"/>
          <w:szCs w:val="32"/>
        </w:rPr>
      </w:pPr>
    </w:p>
    <w:p>
      <w:pPr>
        <w:pStyle w:val="4"/>
        <w:keepNext w:val="0"/>
        <w:keepLines w:val="0"/>
        <w:spacing w:before="0" w:after="0" w:line="540" w:lineRule="exact"/>
        <w:ind w:firstLine="640" w:firstLineChars="200"/>
        <w:rPr>
          <w:rStyle w:val="34"/>
          <w:rFonts w:ascii="Times New Roman" w:hAnsi="Times New Roman" w:eastAsia="黑体" w:cs="Times New Roman"/>
          <w:b w:val="0"/>
          <w:bCs w:val="0"/>
        </w:rPr>
      </w:pPr>
      <w:bookmarkStart w:id="17" w:name="_Toc9834"/>
      <w:bookmarkStart w:id="18" w:name="_Toc15377197"/>
      <w:bookmarkStart w:id="19" w:name="_Toc15396600"/>
      <w:r>
        <w:rPr>
          <w:rStyle w:val="34"/>
          <w:rFonts w:ascii="Times New Roman" w:hAnsi="Times New Roman" w:eastAsia="黑体" w:cs="Times New Roman"/>
          <w:b w:val="0"/>
          <w:bCs w:val="0"/>
        </w:rPr>
        <w:t>一、职能简介</w:t>
      </w:r>
      <w:bookmarkEnd w:id="17"/>
    </w:p>
    <w:p>
      <w:pPr>
        <w:snapToGrid w:val="0"/>
        <w:spacing w:line="54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贯彻实施国家有关国民经济和社会发展、经济体制改革的方针、政策和法律、法规。拟订全省有关国民经济和社会发展、经济体制改革的地方性法规、规章草案，负责本系统、本部门依法行政工作，落实行政执法责任制。</w:t>
      </w:r>
    </w:p>
    <w:p>
      <w:pPr>
        <w:snapToGrid w:val="0"/>
        <w:spacing w:line="54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负责拟订并组织实施全省国民经济和社会发展战略、中长期规划和年度计划，统筹协调全省经济社会发展，研究分析宏观经济形势，提出全省经济社会发展、经济结构优化、价格总水平调控目标和政策建议。受省政府委托向省人大提交国民经济和社会发展计划报告。</w:t>
      </w:r>
    </w:p>
    <w:p>
      <w:pPr>
        <w:snapToGrid w:val="0"/>
        <w:spacing w:line="54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负责监测宏观经济和社会发展态势，承担预测预警和信息引导的责任，研究宏观调控重大问题并提出政策建议，搞好总量平衡，综合协调经济社会发展中的重大问题。负责省级以上开发区的指导、协调和宏观管理。</w:t>
      </w:r>
    </w:p>
    <w:p>
      <w:pPr>
        <w:snapToGrid w:val="0"/>
        <w:spacing w:line="54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负责汇总分析全省财政、金融等方面情况，参与制订财政、金融、土地政策，综合分析政策执行效果，负责全省全口径外债管理有关工作，提出多渠道融资的政策建议，综合协调财政、金融、价格和产业政策等经济杠杆，保证全省国民经济计划和发展规划的实施。</w:t>
      </w:r>
    </w:p>
    <w:p>
      <w:pPr>
        <w:snapToGrid w:val="0"/>
        <w:spacing w:line="54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承担指导推进和综合协调全省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snapToGrid w:val="0"/>
        <w:spacing w:line="54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贯彻实施国家和省价格法律、法规和方针、政策，编制和执行价格调整改革规划，提出年度价格总水平调控目标及价格调控措施并组织实施，管理国家、省列名管理的商品和服务价格，承担行政事业性收费管理工作，负责全省价格成本调查监审、价格监测、价格认证等工作。</w:t>
      </w:r>
    </w:p>
    <w:p>
      <w:pPr>
        <w:snapToGrid w:val="0"/>
        <w:spacing w:line="540" w:lineRule="exact"/>
        <w:ind w:firstLine="640" w:firstLineChars="200"/>
        <w:rPr>
          <w:rFonts w:eastAsia="仿宋_GB2312"/>
          <w:sz w:val="32"/>
          <w:szCs w:val="32"/>
        </w:rPr>
      </w:pPr>
      <w:r>
        <w:rPr>
          <w:rFonts w:hint="eastAsia" w:eastAsia="仿宋_GB2312"/>
          <w:sz w:val="32"/>
          <w:szCs w:val="32"/>
        </w:rPr>
        <w:t>（七）</w:t>
      </w:r>
      <w:r>
        <w:rPr>
          <w:rFonts w:eastAsia="仿宋_GB2312"/>
          <w:sz w:val="32"/>
          <w:szCs w:val="32"/>
        </w:rPr>
        <w:t>负责全省投资宏观管理和协调推进重大项目建设。拟订全社会固定资产投资总规模和投资结构的调控目标、政策及措施，安排省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w:t>
      </w:r>
    </w:p>
    <w:p>
      <w:pPr>
        <w:snapToGrid w:val="0"/>
        <w:spacing w:line="540" w:lineRule="exact"/>
        <w:ind w:firstLine="640" w:firstLineChars="200"/>
        <w:rPr>
          <w:rFonts w:eastAsia="仿宋_GB2312"/>
          <w:sz w:val="32"/>
          <w:szCs w:val="32"/>
        </w:rPr>
      </w:pPr>
      <w:r>
        <w:rPr>
          <w:rFonts w:hint="eastAsia" w:eastAsia="仿宋_GB2312"/>
          <w:sz w:val="32"/>
          <w:szCs w:val="32"/>
        </w:rPr>
        <w:t>（八）</w:t>
      </w:r>
      <w:r>
        <w:rPr>
          <w:rFonts w:eastAsia="仿宋_GB2312"/>
          <w:sz w:val="32"/>
          <w:szCs w:val="32"/>
        </w:rPr>
        <w:t>推进经济结构战略性调整。组织拟订全省综合性产业政策，负责协调第一、二、三产业发展的重大问题，衔接平衡相关发展规划和重大政策，拟订重大产业发展规划，引导全省重大生产力合理布局，协调推进全省重大技术装备推广应用和重大产业基地建设，会同有关部门拟订服务业、现代物流业发展战略、规划和重大政策。组织拟订高技术产业发展、产业技术进步的战略、规划和重大政策，指导全省自主创新体系建设发展。</w:t>
      </w:r>
    </w:p>
    <w:p>
      <w:pPr>
        <w:snapToGrid w:val="0"/>
        <w:spacing w:line="540" w:lineRule="exact"/>
        <w:ind w:firstLine="640" w:firstLineChars="200"/>
        <w:rPr>
          <w:rFonts w:eastAsia="仿宋_GB2312"/>
          <w:sz w:val="32"/>
          <w:szCs w:val="32"/>
        </w:rPr>
      </w:pPr>
      <w:r>
        <w:rPr>
          <w:rFonts w:hint="eastAsia" w:eastAsia="仿宋_GB2312"/>
          <w:sz w:val="32"/>
          <w:szCs w:val="32"/>
        </w:rPr>
        <w:t>（九）</w:t>
      </w:r>
      <w:r>
        <w:rPr>
          <w:rFonts w:eastAsia="仿宋_GB2312"/>
          <w:sz w:val="32"/>
          <w:szCs w:val="32"/>
        </w:rPr>
        <w:t>促进城乡区域协调发展。组织拟订区域协调发展战略、规划和重大政策，研究提出城镇化发展战略，负责地区经济协作的统筹协调。</w:t>
      </w:r>
    </w:p>
    <w:p>
      <w:pPr>
        <w:snapToGrid w:val="0"/>
        <w:spacing w:line="540" w:lineRule="exact"/>
        <w:ind w:firstLine="640" w:firstLineChars="200"/>
        <w:rPr>
          <w:rFonts w:eastAsia="仿宋_GB2312"/>
          <w:sz w:val="32"/>
          <w:szCs w:val="32"/>
        </w:rPr>
      </w:pPr>
      <w:r>
        <w:rPr>
          <w:rFonts w:hint="eastAsia" w:eastAsia="仿宋_GB2312"/>
          <w:sz w:val="32"/>
          <w:szCs w:val="32"/>
        </w:rPr>
        <w:t>（十）</w:t>
      </w:r>
      <w:r>
        <w:rPr>
          <w:rFonts w:eastAsia="仿宋_GB2312"/>
          <w:sz w:val="32"/>
          <w:szCs w:val="32"/>
        </w:rPr>
        <w:t>负责重要商品总量平衡和宏观调控。研究分析省内外市场和对外贸易运行情况，会同有关部门管理重要物资的省级储备工作。</w:t>
      </w:r>
    </w:p>
    <w:p>
      <w:pPr>
        <w:snapToGrid w:val="0"/>
        <w:spacing w:line="540" w:lineRule="exact"/>
        <w:ind w:firstLine="640" w:firstLineChars="200"/>
        <w:rPr>
          <w:rFonts w:eastAsia="仿宋_GB2312"/>
          <w:sz w:val="32"/>
          <w:szCs w:val="32"/>
        </w:rPr>
      </w:pPr>
      <w:r>
        <w:rPr>
          <w:rFonts w:hint="eastAsia" w:eastAsia="仿宋_GB2312"/>
          <w:sz w:val="32"/>
          <w:szCs w:val="32"/>
        </w:rPr>
        <w:t>（十一）</w:t>
      </w:r>
      <w:r>
        <w:rPr>
          <w:rFonts w:eastAsia="仿宋_GB2312"/>
          <w:sz w:val="32"/>
          <w:szCs w:val="32"/>
        </w:rPr>
        <w:t>负责全省社会发展与国民经济发展的政策衔接，组织拟订社会发展战略、总体规划和年度计划，研究提出促进就业、调整收入分配、完善社会保障与经济协调发展的政策建议，协调社会事业发展中的重大问题及政策。</w:t>
      </w:r>
    </w:p>
    <w:p>
      <w:pPr>
        <w:snapToGrid w:val="0"/>
        <w:spacing w:line="540" w:lineRule="exact"/>
        <w:ind w:firstLine="640" w:firstLineChars="200"/>
        <w:rPr>
          <w:rFonts w:eastAsia="仿宋_GB2312"/>
          <w:sz w:val="32"/>
          <w:szCs w:val="32"/>
        </w:rPr>
      </w:pPr>
      <w:r>
        <w:rPr>
          <w:rFonts w:hint="eastAsia" w:eastAsia="仿宋_GB2312"/>
          <w:sz w:val="32"/>
          <w:szCs w:val="32"/>
        </w:rPr>
        <w:t>（十二）</w:t>
      </w:r>
      <w:r>
        <w:rPr>
          <w:rFonts w:eastAsia="仿宋_GB2312"/>
          <w:sz w:val="32"/>
          <w:szCs w:val="32"/>
        </w:rPr>
        <w:t>推进可持续发展，负责全省节能的综合协调工作，组织拟订并协调实施全省发展循环经济、能源资源节约和综合利用规划及政策措施，参与编制生态建设规划，协调生态建设、能源资源节约和综合利用的重大问题，综合协调环保产业和清洁生产促进有关工作。</w:t>
      </w:r>
    </w:p>
    <w:p>
      <w:pPr>
        <w:snapToGrid w:val="0"/>
        <w:spacing w:line="540" w:lineRule="exact"/>
        <w:ind w:firstLine="640" w:firstLineChars="200"/>
        <w:rPr>
          <w:rFonts w:eastAsia="仿宋_GB2312"/>
          <w:sz w:val="32"/>
          <w:szCs w:val="32"/>
        </w:rPr>
      </w:pPr>
      <w:r>
        <w:rPr>
          <w:rFonts w:hint="eastAsia" w:eastAsia="仿宋_GB2312"/>
          <w:sz w:val="32"/>
          <w:szCs w:val="32"/>
        </w:rPr>
        <w:t>（十三）</w:t>
      </w:r>
      <w:r>
        <w:rPr>
          <w:rFonts w:eastAsia="仿宋_GB2312"/>
          <w:sz w:val="32"/>
          <w:szCs w:val="32"/>
        </w:rPr>
        <w:t>会同有关部门拟订民族地区、革命老区、贫困地区经济发展规划，会同有关部门制定加快民族地区、革命老区、贫困地区经济发展的重大政策，协调推进重大项目建设。</w:t>
      </w:r>
    </w:p>
    <w:p>
      <w:pPr>
        <w:snapToGrid w:val="0"/>
        <w:spacing w:line="540" w:lineRule="exact"/>
        <w:ind w:firstLine="640" w:firstLineChars="200"/>
        <w:rPr>
          <w:rFonts w:eastAsia="仿宋_GB2312"/>
          <w:sz w:val="32"/>
          <w:szCs w:val="32"/>
        </w:rPr>
      </w:pPr>
      <w:r>
        <w:rPr>
          <w:rFonts w:hint="eastAsia" w:eastAsia="仿宋_GB2312"/>
          <w:sz w:val="32"/>
          <w:szCs w:val="32"/>
        </w:rPr>
        <w:t>（十四）</w:t>
      </w:r>
      <w:r>
        <w:rPr>
          <w:rFonts w:eastAsia="仿宋_GB2312"/>
          <w:sz w:val="32"/>
          <w:szCs w:val="32"/>
        </w:rPr>
        <w:t>指导、协调并综合管理全省招标投标工作。</w:t>
      </w:r>
    </w:p>
    <w:p>
      <w:pPr>
        <w:snapToGrid w:val="0"/>
        <w:spacing w:line="540" w:lineRule="exact"/>
        <w:ind w:firstLine="640" w:firstLineChars="200"/>
        <w:rPr>
          <w:rFonts w:eastAsia="仿宋_GB2312"/>
          <w:sz w:val="32"/>
          <w:szCs w:val="32"/>
        </w:rPr>
      </w:pPr>
      <w:r>
        <w:rPr>
          <w:rFonts w:hint="eastAsia" w:eastAsia="仿宋_GB2312"/>
          <w:sz w:val="32"/>
          <w:szCs w:val="32"/>
        </w:rPr>
        <w:t>（十五）</w:t>
      </w:r>
      <w:r>
        <w:rPr>
          <w:rFonts w:eastAsia="仿宋_GB2312"/>
          <w:sz w:val="32"/>
          <w:szCs w:val="32"/>
        </w:rPr>
        <w:t>负责组织协调和处理全省铁路、机场建设项目前期工作、征地拆迁、建设过程中涉及的重大问题，做好全省铁路、机场建设规划及年度计划编制的相关工作。</w:t>
      </w:r>
    </w:p>
    <w:p>
      <w:pPr>
        <w:snapToGrid w:val="0"/>
        <w:spacing w:line="540" w:lineRule="exact"/>
        <w:ind w:firstLine="640" w:firstLineChars="200"/>
        <w:rPr>
          <w:rFonts w:eastAsia="仿宋_GB2312"/>
          <w:sz w:val="32"/>
          <w:szCs w:val="32"/>
        </w:rPr>
      </w:pPr>
      <w:r>
        <w:rPr>
          <w:rFonts w:hint="eastAsia" w:eastAsia="仿宋_GB2312"/>
          <w:sz w:val="32"/>
          <w:szCs w:val="32"/>
        </w:rPr>
        <w:t>（十六）</w:t>
      </w:r>
      <w:r>
        <w:rPr>
          <w:rFonts w:eastAsia="仿宋_GB2312"/>
          <w:sz w:val="32"/>
          <w:szCs w:val="32"/>
        </w:rPr>
        <w:t>承担省实施西部大开发领导小组（省攀西地区资源开发领导小组）、省重点项目领导小组等具体工作。</w:t>
      </w:r>
    </w:p>
    <w:p>
      <w:pPr>
        <w:snapToGrid w:val="0"/>
        <w:spacing w:line="540" w:lineRule="exact"/>
        <w:ind w:firstLine="640" w:firstLineChars="200"/>
        <w:rPr>
          <w:rFonts w:eastAsia="仿宋_GB2312"/>
          <w:sz w:val="32"/>
          <w:szCs w:val="32"/>
        </w:rPr>
      </w:pPr>
      <w:r>
        <w:rPr>
          <w:rFonts w:hint="eastAsia" w:eastAsia="仿宋_GB2312"/>
          <w:sz w:val="32"/>
          <w:szCs w:val="32"/>
        </w:rPr>
        <w:t>（十七）</w:t>
      </w:r>
      <w:r>
        <w:rPr>
          <w:rFonts w:eastAsia="仿宋_GB2312"/>
          <w:sz w:val="32"/>
          <w:szCs w:val="32"/>
        </w:rPr>
        <w:t>承担省政府公布的有关行政审批事项。</w:t>
      </w:r>
    </w:p>
    <w:p>
      <w:pPr>
        <w:snapToGrid w:val="0"/>
        <w:spacing w:line="540" w:lineRule="exact"/>
        <w:ind w:firstLine="640" w:firstLineChars="200"/>
        <w:rPr>
          <w:rFonts w:eastAsia="仿宋_GB2312"/>
          <w:sz w:val="32"/>
          <w:szCs w:val="32"/>
        </w:rPr>
      </w:pPr>
      <w:r>
        <w:rPr>
          <w:rFonts w:hint="eastAsia" w:eastAsia="仿宋_GB2312"/>
          <w:sz w:val="32"/>
          <w:szCs w:val="32"/>
        </w:rPr>
        <w:t>（十八）</w:t>
      </w:r>
      <w:r>
        <w:rPr>
          <w:rFonts w:eastAsia="仿宋_GB2312"/>
          <w:sz w:val="32"/>
          <w:szCs w:val="32"/>
        </w:rPr>
        <w:t>承办省政府交办的其他事项。</w:t>
      </w:r>
    </w:p>
    <w:p>
      <w:pPr>
        <w:pStyle w:val="4"/>
        <w:keepNext w:val="0"/>
        <w:keepLines w:val="0"/>
        <w:spacing w:before="0" w:after="0" w:line="540" w:lineRule="exact"/>
        <w:ind w:firstLine="640"/>
        <w:rPr>
          <w:rFonts w:ascii="Times New Roman" w:hAnsi="Times New Roman" w:eastAsia="黑体" w:cs="Times New Roman"/>
          <w:b w:val="0"/>
        </w:rPr>
      </w:pPr>
      <w:bookmarkStart w:id="20" w:name="_Toc28785"/>
      <w:r>
        <w:rPr>
          <w:rFonts w:ascii="Times New Roman" w:hAnsi="Times New Roman" w:eastAsia="黑体" w:cs="Times New Roman"/>
          <w:b w:val="0"/>
        </w:rPr>
        <w:t>二、2020年重点工作</w:t>
      </w:r>
      <w:bookmarkEnd w:id="18"/>
      <w:bookmarkEnd w:id="19"/>
      <w:r>
        <w:rPr>
          <w:rFonts w:ascii="Times New Roman" w:hAnsi="Times New Roman" w:eastAsia="黑体" w:cs="Times New Roman"/>
          <w:b w:val="0"/>
        </w:rPr>
        <w:t>完成情况</w:t>
      </w:r>
      <w:bookmarkEnd w:id="20"/>
      <w:bookmarkStart w:id="21" w:name="_Toc5852"/>
    </w:p>
    <w:p>
      <w:pPr>
        <w:pStyle w:val="4"/>
        <w:keepNext w:val="0"/>
        <w:keepLines w:val="0"/>
        <w:spacing w:before="0" w:after="0" w:line="540" w:lineRule="exact"/>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一是积极应对疫情挑战，统筹推进经济社会发展。全力投入疫情防控阻击战，牵头做好生活物资保障工作，有效保证重要民生商品、防疫物资供应充足、价格稳定，完成732.77万只口罩国家调运任务。帮助企业纾困解难，及时出台缓解中小企业困难“13条”措施，落实中省补贴政策减免企业用电用气成本51亿元。抢前抓早推动复工复产，及时出台重点项目复工开工“7条”措施，安排专项补助推动省重点项目3月底全面复工开工、6月总体追回疫情影响进度。着力补齐防控能力短板，制定疾病防控救治能力提升三年行动方案和健全公共卫生应急物资保障体系实施方案，推动省公共卫生综合临床中心开工建设。</w:t>
      </w:r>
      <w:bookmarkEnd w:id="21"/>
    </w:p>
    <w:p>
      <w:pPr>
        <w:tabs>
          <w:tab w:val="left" w:pos="8789"/>
        </w:tabs>
        <w:spacing w:line="540" w:lineRule="exact"/>
        <w:ind w:right="-149" w:rightChars="-71" w:firstLine="640" w:firstLineChars="200"/>
        <w:rPr>
          <w:rFonts w:eastAsia="仿宋_GB2312"/>
          <w:sz w:val="32"/>
          <w:szCs w:val="32"/>
        </w:rPr>
      </w:pPr>
      <w:r>
        <w:rPr>
          <w:rFonts w:eastAsia="仿宋_GB2312"/>
          <w:sz w:val="32"/>
          <w:szCs w:val="32"/>
        </w:rPr>
        <w:t>二是加强运行监测调度，促进经济稳定增长。健全经济运行监测机制，建立经济运行联系点直报制度，按月开展苗头性倾向性潜在性问题研究，动态跟进全省“六稳”“六保”工作情况。谋划推动高质量发展，牵头制定我省高质量发展实施意见，建立推动高质量发展工作协调机制，完善综合绩效评价办法和指标体系。强化政策调控和运行调度，按季度筹备召开省委财经委会议，及时研判经济形势和疫情变化，分析经济运行面临突出问题，制定进一步做好经济工作努力实现全年经济社会发展目标的意见。落实“农业多贡献、工业挑大梁、投资唱主角、消费促升级”要求，认真筹备全省经济运行调度会议，推动全省经济由一季度下降3%，转为二季度增长3.8%、三季度增长5.7%，四季度有望恢复疫情前水平，预计全年增长3.7%左右。</w:t>
      </w:r>
    </w:p>
    <w:p>
      <w:pPr>
        <w:pStyle w:val="19"/>
        <w:tabs>
          <w:tab w:val="left" w:pos="8789"/>
        </w:tabs>
        <w:spacing w:line="540" w:lineRule="exact"/>
        <w:ind w:right="-255"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三是抢抓战略机遇，推动成渝地区双城经济圈建设开局起势。认真落实省委“1+4+7”总体部署，发挥推动成渝双城经济圈建设联合办公室作用，牵头制定建设具有全国影响力的重要经济中心、科技创新中心、高品质生活宜居地3个实施意见和加强交通基础设施建设专项规划。积极对接国家规划纲要编制，组织18个市和29个部门研究提出300余项重大事项争取国家支持。选派精干力量全力配合、积极参与国家规划纲要编制。深入实施“一干多支”发展战略，落实省委、省政府下好成德眉资同城化“先手棋”的要求，制定推动成德眉资同城化发展指导意见和支持成都建设践行新发展理念的公园城市示范区的意见，编制成都都市圈发展规划，推动轨道交通资阳线开工建设。研究制定设立省级新区的指导意见和支持政策，推动设立宜宾三江新区、成都东部新区、南充临江新区、绵阳科技城新区。印发五大片区2020年重点任务清单，筹备召开各片区联席会议。推动川渝合作走深走实，互派人员成立联合办公室和7个专项工作组，筹备川渝党政联席会议、常务副省市长协调会议各2次，召开6次联合办公室主任调度会议。共同研究制定深化四川重庆合作推动成渝地区双城经济圈建设工作方案、贯彻落实《成渝地区双城经济圈建设规划纲要》联合实施方案等9个政策文件，联合上报争取国家支持的重大事项39项，34项获采纳。推进川渝高竹新区等9个毗邻地区合作平台建设。梳理共同实施重大项目31个，已开工28个、累计完成投资354亿元。推进新型城镇化和城乡融合发展，编制我省新型城镇化发展规划，扎实推动县城城镇化补短板强弱项工作，建立健全城乡融合发展体制机制，推动成都西部片区城乡融合发展试验区建设。研究提出强县强区强镇培育方案和“一对一”支持政策，推动夯实县域经济底部基础。</w:t>
      </w:r>
    </w:p>
    <w:p>
      <w:pPr>
        <w:pStyle w:val="19"/>
        <w:tabs>
          <w:tab w:val="left" w:pos="8789"/>
        </w:tabs>
        <w:spacing w:line="540" w:lineRule="exact"/>
        <w:ind w:right="-255"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四是强化项目支撑，发挥投资关键作用。推动“投资唱主角”，围绕“两新一重”扎实抓好项目推进工作。筹备全省抓项目促投资现场会，持续推进基础设施等重点领域补短板三年行动，组织一、四季度全省重大项目集中开工，创新建立省重点项目推进和投资运行“红黑榜”通报机制，配合做好省领导牵头省级重点推进项目工作。坚持做好投资运行周报告、月调度、季考核工作，3月全省投资增速由负转正，9月全部市（州）投资实现正增长。狠抓重大项目突破，川藏铁路雅安至林芝段、成达万高铁、国家民航科技创新示范区开工建设，天府国际机场主体工程完工，乌东德水电站首批机组投产发电。</w:t>
      </w:r>
    </w:p>
    <w:p>
      <w:pPr>
        <w:pStyle w:val="19"/>
        <w:tabs>
          <w:tab w:val="left" w:pos="8789"/>
        </w:tabs>
        <w:spacing w:line="540" w:lineRule="exact"/>
        <w:ind w:right="-255"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五是加快创新驱动发展，推动产业转型升级。</w:t>
      </w:r>
      <w:r>
        <w:rPr>
          <w:rFonts w:hint="default" w:ascii="Times New Roman" w:hAnsi="Times New Roman" w:eastAsia="仿宋_GB2312"/>
          <w:sz w:val="32"/>
          <w:szCs w:val="32"/>
        </w:rPr>
        <w:t xml:space="preserve">夯实科技创新中心建设基础，配合国家制定科技创新中心建设方案，成功争取国家布局建设综合性科学中心，集中启动第一批支撑项目、布局一批前沿交叉学科研究平台。打造数字经济发展高地，制定《国家数字经济创新发展试验区（四川）建设工作方案》，推动形成18项经验成果，纵深推进国家“上云用数赋智”行动，积极谋划举办“天府数字经济论坛”。加快新型基础设施建设，成功争取全国一体化大数据中心国家枢纽节点在川布局，制定实施加快推进新型基础设施建设行动方案，出台跨行业信息通信基础设施合作建设指导意见。建立新型基础设施建设项目专有库，入库项目765个。推进产业基础高级化、产业链现代化，组建四川省精准医学产业创新中心，推动区块链、白酒省级产业创新中心创建工作。开展我省重点产业链对外依存度研究。抢抓川藏铁路建设机遇制定推动装备制造业与建筑材料业加快发展方案。形成我省消费品、装备制造、电子信息和数字经济产业发展战略研究报告。  </w:t>
      </w:r>
    </w:p>
    <w:p>
      <w:pPr>
        <w:tabs>
          <w:tab w:val="left" w:pos="312"/>
          <w:tab w:val="left" w:pos="9072"/>
        </w:tabs>
        <w:spacing w:line="540" w:lineRule="exact"/>
        <w:ind w:right="-149" w:rightChars="-71" w:firstLine="640" w:firstLineChars="200"/>
        <w:rPr>
          <w:rFonts w:eastAsia="仿宋_GB2312"/>
          <w:sz w:val="32"/>
          <w:szCs w:val="32"/>
        </w:rPr>
      </w:pPr>
      <w:r>
        <w:rPr>
          <w:rFonts w:eastAsia="仿宋_GB2312"/>
          <w:sz w:val="32"/>
          <w:szCs w:val="32"/>
        </w:rPr>
        <w:t>六是深化改革开放，增强发展动力活力。着力推进重点领域和关键环节改革取得新进展，全面完成牵头的52项省委改革台账任务，研究制定完善社会主义市场经济体制、要素市场化配置体制机制、推进服务业改革开放发展等政策文件。电力体制改革成效明显，预计今年平均到户电价降至0.51元/千瓦时，比去年再降0.03元/千瓦时。深入开展全面创新改革试验，制定印发实施方案和重点事项清单，新增4条经验纳入国务院第三批创新举措，我省累计20条经验在全国推广。扎实推动“两项改革”后半篇文章牵头工作，形成乡镇干部周转房保障、农村电网升级改造专项工作方案。持续优化营商环境，起草《四川省优化营商环境条例》草案，开展营商环境指标提升专项行动，组织实施营商环境评价。深化投资项目审批“最多跑一次”改革，加快社会信用体系建设。认真贯彻落实“四向拓展、全域开放”战略，研究制定推进高水平对外开放加快建设内陆开放战略高地的意见，落实稳外资要求，出台应对疫情进一步做好利用外资工作“9条举措”。加快建设西部陆海新通道等开放大通道，推进成都“一带一路”国际多式联运综合试验区建设，推动成都入选全国首批中欧班列集结中心示范工程建设城市，中欧班列（成都）开行2440列、增长57.3%。积极争取加入泛珠三角区域高铁经济带合作，推进川桂国际产能合作产业园建设。</w:t>
      </w:r>
    </w:p>
    <w:p>
      <w:pPr>
        <w:tabs>
          <w:tab w:val="left" w:pos="312"/>
          <w:tab w:val="left" w:pos="9072"/>
        </w:tabs>
        <w:spacing w:line="540" w:lineRule="exact"/>
        <w:ind w:right="-149" w:rightChars="-71" w:firstLine="640" w:firstLineChars="200"/>
        <w:rPr>
          <w:rFonts w:eastAsia="仿宋_GB2312"/>
          <w:sz w:val="32"/>
          <w:szCs w:val="32"/>
        </w:rPr>
      </w:pPr>
      <w:r>
        <w:rPr>
          <w:rFonts w:eastAsia="仿宋_GB2312"/>
          <w:sz w:val="32"/>
          <w:szCs w:val="32"/>
        </w:rPr>
        <w:t>七是补齐民生短板，完成脱贫攻坚硬任务。坚决打赢易地扶贫搬迁攻坚战，组建4个工作专班实地督战凉山易地扶贫搬迁项目建设，攻坚克难推动全省37.93万户、136.05万人搬迁任务全部完成。扎实推进东西部扶贫协作和对口支援，落实浙江、广东两省财政帮扶资金35.7亿元，实施项目999个，吸引481家企业到贫困地区投资兴业助贫。承办川浙、川粤党政代表团交流互访活动，精心组织国家考核迎检工作。扩大公共服务有效供给，实施教育现代化推进、全民健康保障、文化旅游提升、社会服务兜底、公共体育普及“五大工程”，争取中央预算内资金支持816个社会事业项目建设，加快推进世界大学生运动会省属场馆、省妇幼保健院天府院区等重点项目建设。多措并举保基本民生，切实加强重要民生商品价格监测与市场调控，保持物价总体稳定。落实社会救助和保障标准与物价上涨挂钩联动机制，累计发放价格临时补贴38.69亿元，惠及困难群众约5380万人。落实援企稳岗政策，切实帮助重点群体就业。出台做好重特大自然灾害灾后恢复重建工作的实施意见，统筹安排中省资金3.35亿元支持暴雨洪涝灾害应急恢复和灾后重建，基本完成“8·8”九寨沟地震灾区灾后恢复重建三年任务。</w:t>
      </w:r>
    </w:p>
    <w:p>
      <w:pPr>
        <w:pStyle w:val="42"/>
        <w:tabs>
          <w:tab w:val="left" w:pos="8931"/>
        </w:tabs>
        <w:spacing w:line="540" w:lineRule="exact"/>
        <w:ind w:right="-149" w:rightChars="-71" w:firstLine="640" w:firstLineChars="200"/>
        <w:rPr>
          <w:szCs w:val="32"/>
        </w:rPr>
      </w:pPr>
      <w:r>
        <w:rPr>
          <w:szCs w:val="32"/>
        </w:rPr>
        <w:t>八是坚持生态优先，加快推进绿色发展。持续抓好生态环境突出问题整改，中央环保督察反馈问题我委牵头事项全部整改完成，2018、2019两年长江经济带生态环境警示片披露的39个问题完成整改35个。着力推进黄河流域生态保护，积极争取若尔盖国家公园建设、高原牧区减畜补助等事项纳入国家规划。牵头开展森林草原防灭火基础设施建设专项整治，科学编制实施方案，安排下达省预算内资金2.08亿元。推动能源资源节约集约利用，制定出台构建现代环境治理体系、加强塑料污染治理、建立绿色生产和消费法规政策体系等意见，推进绿色产业示范基地、资源循环利用基地建设。大力推进节能减排，提前完成“十三五”能耗强度目标。实施电能替代行动，全年实现替代电量130亿千瓦时。</w:t>
      </w:r>
    </w:p>
    <w:p>
      <w:pPr>
        <w:pStyle w:val="19"/>
        <w:tabs>
          <w:tab w:val="left" w:pos="9072"/>
          <w:tab w:val="clear" w:pos="9160"/>
        </w:tabs>
        <w:spacing w:line="540" w:lineRule="exact"/>
        <w:ind w:right="-255" w:firstLine="640" w:firstLineChars="200"/>
        <w:jc w:val="both"/>
        <w:rPr>
          <w:rFonts w:hint="default" w:ascii="Times New Roman" w:hAnsi="Times New Roman" w:eastAsia="仿宋_GB2312"/>
          <w:kern w:val="2"/>
          <w:sz w:val="32"/>
          <w:szCs w:val="32"/>
        </w:rPr>
      </w:pPr>
      <w:r>
        <w:rPr>
          <w:rFonts w:hint="default" w:ascii="Times New Roman" w:hAnsi="Times New Roman" w:eastAsia="仿宋_GB2312"/>
          <w:kern w:val="2"/>
          <w:sz w:val="32"/>
          <w:szCs w:val="32"/>
        </w:rPr>
        <w:t>九是统筹发展和安全，切实加强能源粮食安全保障。推进“三江”水电基地建设，全省电力装机突破1亿千瓦，水电装机突破8000万千瓦。加强粮食和重要商品收储能力建设，全面完成粮食安全省长责任制重点任务，出台加强地方粮食储备安全管理的实施意见，新增地方粮食储备规模90万吨、食用植物油储备规模12.1万吨、应急成品粮油储备规模13.5万吨。开展全省应急成品粮油、食用油储备库存检查和粮食库存大清查问题整改。</w:t>
      </w:r>
    </w:p>
    <w:p>
      <w:pPr>
        <w:tabs>
          <w:tab w:val="left" w:pos="9072"/>
        </w:tabs>
        <w:spacing w:line="540" w:lineRule="exact"/>
        <w:ind w:right="-149" w:rightChars="-71" w:firstLine="640" w:firstLineChars="200"/>
        <w:rPr>
          <w:rFonts w:eastAsia="仿宋_GB2312"/>
          <w:sz w:val="32"/>
          <w:szCs w:val="32"/>
        </w:rPr>
      </w:pPr>
      <w:r>
        <w:rPr>
          <w:rFonts w:eastAsia="仿宋_GB2312"/>
          <w:sz w:val="32"/>
          <w:szCs w:val="32"/>
        </w:rPr>
        <w:t xml:space="preserve">十是广泛凝聚共识，精心组织编制“十四五”规划。开展25个“十四五”前期重大课题研究，完成我省“十三五”规划《纲要》实施情况总结，形成我省“十四五”规划《基本思路》。以中央规划建议和《成渝地区双城经济圈建设规划纲要》为指引，对标对表省委规划建议，把省委十一届三次全会以来的认识成果、实践成果和制度成果一以贯之坚持下去，形成“十四五”规划《纲要草案》送审稿。坚持开门编规划，充分吸收群众智慧、专家意见、基层经验。加强向国家汇报衔接，研究上报21个重大工程项目，争取纳入国家“十四五”规划。建立健全“1+1+6+47”省级规划体系，协同省级部门同步编制空间规划、区域规划、专项规划。加强对市（州）规划编制工作的指导，形成“一盘棋”。 </w:t>
      </w:r>
    </w:p>
    <w:p>
      <w:pPr>
        <w:pStyle w:val="40"/>
        <w:tabs>
          <w:tab w:val="left" w:pos="9072"/>
        </w:tabs>
        <w:spacing w:line="540" w:lineRule="exact"/>
        <w:ind w:right="-149" w:rightChars="-71" w:firstLine="640" w:firstLineChars="200"/>
        <w:outlineLvl w:val="1"/>
        <w:rPr>
          <w:szCs w:val="32"/>
        </w:rPr>
      </w:pPr>
      <w:bookmarkStart w:id="22" w:name="_Toc8034"/>
      <w:r>
        <w:rPr>
          <w:szCs w:val="32"/>
        </w:rPr>
        <w:t>十一是强化政治引领，全面加强党的建设。着力加强思想政治建设，坚持党组会议第一议题及时学习习近平总书记最新重要讲话精神的制度，扎实开展党的十九届五中全会和省委十一届七次、八次全会精神学习贯彻，将政治考量贯穿到经济形势分析研判、发展战略规划设计、经济政策预研储备、重大工程谋划布局各方面全过程，以实际行动做到“两个维护”。落实意识形态工作责任制，出台做好意识形态工作举措“14条”，进一步筑牢思想防线。着力加强组织建设，积极创建“四好一强”领导班子，发挥党组领导核心作用，确保政治标准、政治要求贯穿发展改革工作全过程各领域。深化运用“四双”工作机制，推动党建和业务“两手抓”“两促进”，持续开展“五好党支部”创建工作，推进支部建设标准化规范化。着力加强队伍建设，创办“四川发改学习论坛”，优化调整内设机构和直属单位设置，选派46名干部到国家机关和基层挂职，着力打造专业化高素质干部队伍。着力加强作风建设，党组带头落实中央八项规定精神和省委省政府十项规定及其实施细则，深入整治形式主义、官僚主义，坚决抵制“四风”反弹回潮。完善党组和机关工作规则、议事决策规程和财务管理等14项工作制度，出台党组全面从严治党主体责任清单。持续推动精文简会，大力弘扬厉行节约，全员参与减少餐饮浪费行动。着力加强党风廉政建设，持续正风肃纪，认真落实党风廉政建设主体责任，开展工程招投标领域突出问题系统治理，全面清查发展改革部门自设权力情况，有效防止违规插手干预招投标问题；梳理形成机关“1+6”廉政风险防控台账，制定防控措施并推动落实，组织开展“守纪律、讲规矩”警示教育月活动，营造风清气正、积极向上的干事创业氛围。主动配合省委常规巡视工作，积极抓好巡视整改。建立健全党组与驻委纪检监察组沟通协调机制，推动主体责任和监督责任形成合力。</w:t>
      </w:r>
      <w:bookmarkEnd w:id="22"/>
    </w:p>
    <w:p>
      <w:pPr>
        <w:pStyle w:val="4"/>
        <w:spacing w:before="0" w:after="0" w:line="560" w:lineRule="exact"/>
        <w:ind w:firstLine="640" w:firstLineChars="200"/>
        <w:rPr>
          <w:rFonts w:ascii="Times New Roman" w:hAnsi="Times New Roman" w:eastAsia="黑体" w:cs="Times New Roman"/>
          <w:b w:val="0"/>
        </w:rPr>
      </w:pPr>
      <w:r>
        <w:rPr>
          <w:rFonts w:hint="eastAsia" w:ascii="Times New Roman" w:hAnsi="黑体" w:eastAsia="黑体" w:cs="Times New Roman"/>
          <w:b w:val="0"/>
        </w:rPr>
        <w:t>三</w:t>
      </w:r>
      <w:r>
        <w:rPr>
          <w:rFonts w:ascii="Times New Roman" w:hAnsi="黑体" w:eastAsia="黑体" w:cs="Times New Roman"/>
          <w:b w:val="0"/>
        </w:rPr>
        <w:t>、</w:t>
      </w:r>
      <w:r>
        <w:rPr>
          <w:rFonts w:hint="eastAsia" w:ascii="Times New Roman" w:hAnsi="Times New Roman" w:eastAsia="黑体" w:cs="Times New Roman"/>
          <w:b w:val="0"/>
        </w:rPr>
        <w:t>机构</w:t>
      </w:r>
      <w:r>
        <w:rPr>
          <w:rFonts w:ascii="Times New Roman" w:hAnsi="Times New Roman" w:eastAsia="黑体" w:cs="Times New Roman"/>
          <w:b w:val="0"/>
        </w:rPr>
        <w:t>设置情况</w:t>
      </w:r>
    </w:p>
    <w:p>
      <w:pPr>
        <w:keepLines/>
        <w:snapToGrid w:val="0"/>
        <w:spacing w:line="560" w:lineRule="exact"/>
        <w:ind w:firstLine="640" w:firstLineChars="200"/>
        <w:rPr>
          <w:rFonts w:eastAsia="仿宋_GB2312"/>
          <w:sz w:val="32"/>
          <w:szCs w:val="32"/>
        </w:rPr>
      </w:pPr>
      <w:r>
        <w:rPr>
          <w:rFonts w:eastAsia="仿宋_GB2312"/>
          <w:sz w:val="32"/>
          <w:szCs w:val="32"/>
        </w:rPr>
        <w:t>四川省发展和改革委员会</w:t>
      </w:r>
      <w:r>
        <w:rPr>
          <w:rFonts w:hint="eastAsia" w:eastAsia="仿宋_GB2312"/>
          <w:sz w:val="32"/>
          <w:szCs w:val="32"/>
        </w:rPr>
        <w:t>（本级）</w:t>
      </w:r>
      <w:r>
        <w:rPr>
          <w:rFonts w:hint="eastAsia" w:eastAsia="仿宋_GB2312"/>
          <w:sz w:val="32"/>
          <w:szCs w:val="32"/>
          <w:lang w:eastAsia="zh-CN"/>
        </w:rPr>
        <w:t>及四川省能源局</w:t>
      </w:r>
      <w:r>
        <w:rPr>
          <w:rFonts w:hint="eastAsia" w:eastAsia="仿宋_GB2312"/>
          <w:sz w:val="32"/>
          <w:szCs w:val="32"/>
        </w:rPr>
        <w:t>由33个内设处室组成，分别是：办公室、发展战略与规划处、城镇化发展处、国民经济综合处、经济体制综合改革处、固定资产投资处、利用外资和境外投资处、开发区与总部经济处、地区经济处（推动成渝地区双城经济圈建设统筹处）、县域经济发展处、农村经济处、基础设施发展处（长江经济带发展处）、产业发展处、数字经济发展处、创新与高技术发展处（全面创新改革综合处）、资源节约和环境保护处、社会发展处、就业收入分配与消费处、经济贸易处、财政金融与信用建设处（省社会信用体系建设省级联席会议办公室综合处）、价格处、省铁路和机场建设办公室</w:t>
      </w:r>
      <w:r>
        <w:rPr>
          <w:rFonts w:hint="eastAsia" w:eastAsia="仿宋_GB2312"/>
          <w:sz w:val="32"/>
          <w:szCs w:val="32"/>
          <w:lang w:eastAsia="zh-CN"/>
        </w:rPr>
        <w:t>、</w:t>
      </w:r>
      <w:r>
        <w:rPr>
          <w:rFonts w:hint="eastAsia" w:eastAsia="仿宋_GB2312"/>
          <w:sz w:val="32"/>
          <w:szCs w:val="32"/>
        </w:rPr>
        <w:t>重点项目管理与督导处（省重点项目领导小组办公室）、民族地区经济处、行政审批处、人事处、离退休人员工作处、机关党委</w:t>
      </w:r>
      <w:r>
        <w:rPr>
          <w:rFonts w:hint="eastAsia" w:eastAsia="仿宋_GB2312"/>
          <w:sz w:val="32"/>
          <w:szCs w:val="32"/>
          <w:lang w:eastAsia="zh-CN"/>
        </w:rPr>
        <w:t>、</w:t>
      </w:r>
      <w:r>
        <w:rPr>
          <w:rFonts w:hint="eastAsia" w:eastAsia="仿宋_GB2312"/>
          <w:sz w:val="32"/>
          <w:szCs w:val="32"/>
        </w:rPr>
        <w:t>省能源局综合处（行政审批处）、省能源局电力处、省能源局煤炭处、省能源局石油天然气处、省能源局新能源和可再生能源处</w:t>
      </w:r>
      <w:r>
        <w:rPr>
          <w:rFonts w:eastAsia="仿宋_GB2312"/>
          <w:sz w:val="32"/>
          <w:szCs w:val="32"/>
        </w:rPr>
        <w:t>。</w:t>
      </w:r>
    </w:p>
    <w:p>
      <w:pPr>
        <w:spacing w:line="540" w:lineRule="exact"/>
      </w:pPr>
    </w:p>
    <w:p>
      <w:pPr>
        <w:spacing w:line="540" w:lineRule="exact"/>
        <w:jc w:val="left"/>
        <w:rPr>
          <w:rFonts w:eastAsia="仿宋"/>
          <w:kern w:val="0"/>
          <w:sz w:val="32"/>
          <w:szCs w:val="32"/>
        </w:rPr>
      </w:pPr>
      <w:r>
        <w:rPr>
          <w:rFonts w:eastAsia="仿宋"/>
          <w:sz w:val="32"/>
          <w:szCs w:val="32"/>
        </w:rPr>
        <w:br w:type="page"/>
      </w:r>
    </w:p>
    <w:p>
      <w:pPr>
        <w:pStyle w:val="3"/>
        <w:keepNext w:val="0"/>
        <w:keepLines w:val="0"/>
        <w:spacing w:before="0" w:after="0" w:line="540" w:lineRule="exact"/>
        <w:ind w:right="440"/>
        <w:jc w:val="center"/>
        <w:rPr>
          <w:rFonts w:eastAsia="黑体"/>
          <w:b w:val="0"/>
        </w:rPr>
      </w:pPr>
      <w:bookmarkStart w:id="23" w:name="_Toc28300"/>
      <w:bookmarkStart w:id="24" w:name="_Toc15377204"/>
      <w:bookmarkStart w:id="25" w:name="_Toc15396602"/>
    </w:p>
    <w:p>
      <w:pPr>
        <w:pStyle w:val="3"/>
        <w:keepNext w:val="0"/>
        <w:keepLines w:val="0"/>
        <w:spacing w:before="0" w:after="0" w:line="540" w:lineRule="exact"/>
        <w:ind w:right="440"/>
        <w:jc w:val="center"/>
        <w:rPr>
          <w:rStyle w:val="33"/>
          <w:rFonts w:eastAsia="黑体"/>
          <w:b w:val="0"/>
          <w:bCs/>
        </w:rPr>
      </w:pPr>
      <w:r>
        <w:rPr>
          <w:rFonts w:eastAsia="黑体"/>
          <w:b w:val="0"/>
        </w:rPr>
        <w:t>第二部分 2020年度</w:t>
      </w:r>
      <w:r>
        <w:rPr>
          <w:rStyle w:val="33"/>
          <w:rFonts w:eastAsia="黑体"/>
          <w:b w:val="0"/>
          <w:bCs/>
        </w:rPr>
        <w:t>部门决算情况说明</w:t>
      </w:r>
      <w:bookmarkEnd w:id="23"/>
      <w:bookmarkEnd w:id="24"/>
      <w:bookmarkEnd w:id="25"/>
    </w:p>
    <w:p>
      <w:pPr>
        <w:spacing w:line="540" w:lineRule="exact"/>
      </w:pPr>
    </w:p>
    <w:p>
      <w:pPr>
        <w:pStyle w:val="32"/>
        <w:numPr>
          <w:ilvl w:val="0"/>
          <w:numId w:val="1"/>
        </w:numPr>
        <w:spacing w:line="540" w:lineRule="exact"/>
        <w:ind w:firstLineChars="0"/>
        <w:outlineLvl w:val="1"/>
        <w:rPr>
          <w:rStyle w:val="34"/>
          <w:rFonts w:ascii="Times New Roman" w:hAnsi="Times New Roman" w:eastAsia="黑体" w:cs="Times New Roman"/>
          <w:b w:val="0"/>
        </w:rPr>
      </w:pPr>
      <w:bookmarkStart w:id="26" w:name="_Toc15377205"/>
      <w:bookmarkStart w:id="27" w:name="_Toc15396603"/>
      <w:bookmarkStart w:id="28" w:name="_Toc31616"/>
      <w:r>
        <w:rPr>
          <w:rFonts w:eastAsia="黑体"/>
          <w:sz w:val="32"/>
          <w:szCs w:val="32"/>
        </w:rPr>
        <w:t>收</w:t>
      </w:r>
      <w:r>
        <w:rPr>
          <w:rStyle w:val="34"/>
          <w:rFonts w:ascii="Times New Roman" w:hAnsi="Times New Roman" w:eastAsia="黑体" w:cs="Times New Roman"/>
          <w:b w:val="0"/>
        </w:rPr>
        <w:t>入支出决算总体情况说明</w:t>
      </w:r>
      <w:bookmarkEnd w:id="26"/>
      <w:bookmarkEnd w:id="27"/>
      <w:bookmarkEnd w:id="28"/>
    </w:p>
    <w:p>
      <w:pPr>
        <w:spacing w:line="540" w:lineRule="exact"/>
        <w:ind w:firstLine="640" w:firstLineChars="200"/>
        <w:rPr>
          <w:rFonts w:eastAsia="仿宋"/>
          <w:sz w:val="32"/>
          <w:szCs w:val="32"/>
        </w:rPr>
      </w:pPr>
      <w:r>
        <w:rPr>
          <w:rFonts w:eastAsia="仿宋"/>
          <w:sz w:val="32"/>
          <w:szCs w:val="32"/>
        </w:rPr>
        <w:t>2020年度收、支总计13744.47万元。与2019年相比，收、支总计各增加1434.34万元，增长11.65%。主要变动原因是安可</w:t>
      </w:r>
      <w:r>
        <w:rPr>
          <w:rFonts w:hint="eastAsia" w:eastAsia="仿宋"/>
          <w:sz w:val="32"/>
          <w:szCs w:val="32"/>
        </w:rPr>
        <w:t>工程</w:t>
      </w:r>
      <w:r>
        <w:rPr>
          <w:rFonts w:eastAsia="仿宋"/>
          <w:sz w:val="32"/>
          <w:szCs w:val="32"/>
        </w:rPr>
        <w:t>、机关用房维修等专项项目的增加。</w:t>
      </w:r>
    </w:p>
    <w:p>
      <w:pPr>
        <w:pStyle w:val="32"/>
        <w:numPr>
          <w:ilvl w:val="0"/>
          <w:numId w:val="1"/>
        </w:numPr>
        <w:spacing w:line="540" w:lineRule="exact"/>
        <w:ind w:firstLineChars="0"/>
        <w:outlineLvl w:val="1"/>
        <w:rPr>
          <w:rStyle w:val="34"/>
          <w:rFonts w:ascii="Times New Roman" w:hAnsi="Times New Roman" w:eastAsia="黑体" w:cs="Times New Roman"/>
          <w:b w:val="0"/>
        </w:rPr>
      </w:pPr>
      <w:bookmarkStart w:id="29" w:name="_Toc25615"/>
      <w:bookmarkStart w:id="30" w:name="_Toc15396604"/>
      <w:bookmarkStart w:id="31" w:name="_Toc15377206"/>
      <w:r>
        <w:rPr>
          <w:rFonts w:eastAsia="黑体"/>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210820</wp:posOffset>
            </wp:positionV>
            <wp:extent cx="5274310" cy="2055495"/>
            <wp:effectExtent l="19050" t="0" r="21590" b="19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eastAsia="黑体"/>
          <w:sz w:val="32"/>
          <w:szCs w:val="32"/>
        </w:rPr>
        <w:t>收</w:t>
      </w:r>
      <w:r>
        <w:rPr>
          <w:rStyle w:val="34"/>
          <w:rFonts w:ascii="Times New Roman" w:hAnsi="Times New Roman" w:eastAsia="黑体" w:cs="Times New Roman"/>
          <w:b w:val="0"/>
        </w:rPr>
        <w:t>入决算情况说明</w:t>
      </w:r>
      <w:bookmarkEnd w:id="29"/>
      <w:bookmarkEnd w:id="30"/>
      <w:bookmarkEnd w:id="31"/>
    </w:p>
    <w:p>
      <w:pPr>
        <w:spacing w:line="540" w:lineRule="exact"/>
        <w:ind w:firstLine="640" w:firstLineChars="200"/>
        <w:outlineLvl w:val="1"/>
        <w:rPr>
          <w:rFonts w:eastAsia="仿宋"/>
          <w:sz w:val="32"/>
          <w:szCs w:val="32"/>
        </w:rPr>
      </w:pPr>
      <w:bookmarkStart w:id="32" w:name="_Toc29328"/>
      <w:r>
        <w:rPr>
          <w:rFonts w:eastAsia="仿宋"/>
          <w:sz w:val="32"/>
          <w:szCs w:val="32"/>
        </w:rPr>
        <w:drawing>
          <wp:anchor distT="0" distB="0" distL="114300" distR="114300" simplePos="0" relativeHeight="251660288" behindDoc="1" locked="0" layoutInCell="1" allowOverlap="1">
            <wp:simplePos x="0" y="0"/>
            <wp:positionH relativeFrom="column">
              <wp:posOffset>447675</wp:posOffset>
            </wp:positionH>
            <wp:positionV relativeFrom="paragraph">
              <wp:posOffset>809625</wp:posOffset>
            </wp:positionV>
            <wp:extent cx="4572000" cy="2743200"/>
            <wp:effectExtent l="19050" t="0" r="1905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仿宋"/>
          <w:sz w:val="32"/>
          <w:szCs w:val="32"/>
        </w:rPr>
        <w:t>2020年本年收入合计13744.47万元，其中：一般公共预算财政拨款收入13744.47万元，占100%。</w:t>
      </w:r>
      <w:bookmarkEnd w:id="32"/>
    </w:p>
    <w:p>
      <w:pPr>
        <w:pStyle w:val="32"/>
        <w:numPr>
          <w:ilvl w:val="0"/>
          <w:numId w:val="1"/>
        </w:numPr>
        <w:spacing w:line="540" w:lineRule="exact"/>
        <w:ind w:firstLineChars="0"/>
        <w:outlineLvl w:val="1"/>
        <w:rPr>
          <w:rStyle w:val="34"/>
          <w:rFonts w:ascii="Times New Roman" w:hAnsi="Times New Roman" w:eastAsia="黑体" w:cs="Times New Roman"/>
          <w:b w:val="0"/>
        </w:rPr>
      </w:pPr>
      <w:bookmarkStart w:id="33" w:name="_Toc19247"/>
      <w:bookmarkStart w:id="34" w:name="_Toc15396605"/>
      <w:bookmarkStart w:id="35" w:name="_Toc15377207"/>
      <w:r>
        <w:rPr>
          <w:rFonts w:eastAsia="黑体"/>
          <w:sz w:val="32"/>
          <w:szCs w:val="32"/>
        </w:rPr>
        <w:t>支</w:t>
      </w:r>
      <w:r>
        <w:rPr>
          <w:rStyle w:val="34"/>
          <w:rFonts w:ascii="Times New Roman" w:hAnsi="Times New Roman" w:eastAsia="黑体" w:cs="Times New Roman"/>
          <w:b w:val="0"/>
        </w:rPr>
        <w:t>出决算情况说明</w:t>
      </w:r>
      <w:bookmarkEnd w:id="33"/>
      <w:bookmarkEnd w:id="34"/>
      <w:bookmarkEnd w:id="35"/>
    </w:p>
    <w:p>
      <w:pPr>
        <w:spacing w:line="540" w:lineRule="exact"/>
        <w:ind w:firstLine="640" w:firstLineChars="200"/>
        <w:outlineLvl w:val="1"/>
        <w:rPr>
          <w:rFonts w:eastAsia="仿宋"/>
          <w:sz w:val="32"/>
          <w:szCs w:val="32"/>
        </w:rPr>
      </w:pPr>
      <w:bookmarkStart w:id="36" w:name="_Toc24284"/>
      <w:r>
        <w:rPr>
          <w:rFonts w:eastAsia="仿宋"/>
          <w:sz w:val="32"/>
          <w:szCs w:val="32"/>
        </w:rPr>
        <w:drawing>
          <wp:anchor distT="0" distB="0" distL="114300" distR="114300" simplePos="0" relativeHeight="251661312" behindDoc="0" locked="0" layoutInCell="1" allowOverlap="1">
            <wp:simplePos x="0" y="0"/>
            <wp:positionH relativeFrom="column">
              <wp:posOffset>400050</wp:posOffset>
            </wp:positionH>
            <wp:positionV relativeFrom="paragraph">
              <wp:posOffset>809625</wp:posOffset>
            </wp:positionV>
            <wp:extent cx="4572000" cy="2743200"/>
            <wp:effectExtent l="19050" t="0" r="1905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
          <w:sz w:val="32"/>
          <w:szCs w:val="32"/>
        </w:rPr>
        <w:t>2020年本年支出合计13744.47万元，其中：基本支出9576.78万元，占69.68%；项目支出4167.70万元，占30.32%。</w:t>
      </w:r>
      <w:bookmarkEnd w:id="36"/>
    </w:p>
    <w:p>
      <w:pPr>
        <w:spacing w:line="540" w:lineRule="exact"/>
        <w:ind w:firstLine="640" w:firstLineChars="200"/>
        <w:rPr>
          <w:rFonts w:eastAsia="仿宋_GB2312"/>
          <w:sz w:val="32"/>
          <w:szCs w:val="32"/>
        </w:rPr>
      </w:pPr>
    </w:p>
    <w:p>
      <w:pPr>
        <w:spacing w:line="540" w:lineRule="exact"/>
        <w:ind w:firstLine="640" w:firstLineChars="200"/>
        <w:outlineLvl w:val="1"/>
        <w:rPr>
          <w:rStyle w:val="34"/>
          <w:rFonts w:ascii="Times New Roman" w:hAnsi="Times New Roman" w:eastAsia="黑体" w:cs="Times New Roman"/>
          <w:b w:val="0"/>
        </w:rPr>
      </w:pPr>
      <w:bookmarkStart w:id="37" w:name="_Toc3430"/>
      <w:bookmarkStart w:id="38" w:name="_Toc15377208"/>
      <w:bookmarkStart w:id="39" w:name="_Toc15396606"/>
      <w:r>
        <w:rPr>
          <w:rFonts w:eastAsia="黑体"/>
          <w:sz w:val="32"/>
          <w:szCs w:val="32"/>
        </w:rPr>
        <w:t>四、财</w:t>
      </w:r>
      <w:r>
        <w:rPr>
          <w:rStyle w:val="34"/>
          <w:rFonts w:ascii="Times New Roman" w:hAnsi="Times New Roman" w:eastAsia="黑体" w:cs="Times New Roman"/>
          <w:b w:val="0"/>
        </w:rPr>
        <w:t>政拨款收入支出决算总体情况说明</w:t>
      </w:r>
      <w:bookmarkEnd w:id="37"/>
      <w:bookmarkEnd w:id="38"/>
      <w:bookmarkEnd w:id="39"/>
    </w:p>
    <w:p>
      <w:pPr>
        <w:spacing w:line="540" w:lineRule="exact"/>
        <w:ind w:firstLine="640"/>
        <w:rPr>
          <w:rFonts w:eastAsia="仿宋"/>
          <w:sz w:val="32"/>
          <w:szCs w:val="32"/>
        </w:rPr>
      </w:pPr>
      <w:r>
        <w:rPr>
          <w:rFonts w:eastAsia="仿宋"/>
          <w:sz w:val="32"/>
          <w:szCs w:val="32"/>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1314450</wp:posOffset>
            </wp:positionV>
            <wp:extent cx="5274310" cy="2055495"/>
            <wp:effectExtent l="19050" t="0" r="21590" b="190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2020年财政拨款收、支总计13744.47万元。与2019年相比，财政拨款收、支总计各增加1434.34万元，增长11.65%。主要变动原因是安可、机关用房维修等专项项目的增加。</w:t>
      </w:r>
    </w:p>
    <w:p>
      <w:pPr>
        <w:spacing w:line="540" w:lineRule="exact"/>
        <w:ind w:firstLine="640" w:firstLineChars="200"/>
        <w:outlineLvl w:val="1"/>
        <w:rPr>
          <w:rStyle w:val="34"/>
          <w:rFonts w:ascii="Times New Roman" w:hAnsi="Times New Roman" w:eastAsia="黑体" w:cs="Times New Roman"/>
          <w:b w:val="0"/>
        </w:rPr>
      </w:pPr>
      <w:bookmarkStart w:id="40" w:name="_Toc15377209"/>
      <w:bookmarkStart w:id="41" w:name="_Toc16009"/>
      <w:bookmarkStart w:id="42" w:name="_Toc15396607"/>
      <w:r>
        <w:rPr>
          <w:rFonts w:eastAsia="黑体"/>
          <w:sz w:val="32"/>
          <w:szCs w:val="32"/>
        </w:rPr>
        <w:t>五、</w:t>
      </w:r>
      <w:r>
        <w:rPr>
          <w:rFonts w:eastAsia="黑体"/>
          <w:b/>
          <w:sz w:val="32"/>
          <w:szCs w:val="32"/>
        </w:rPr>
        <w:t>一</w:t>
      </w:r>
      <w:r>
        <w:rPr>
          <w:rStyle w:val="34"/>
          <w:rFonts w:ascii="Times New Roman" w:hAnsi="Times New Roman" w:eastAsia="黑体" w:cs="Times New Roman"/>
          <w:b w:val="0"/>
        </w:rPr>
        <w:t>般公共预算财政拨款支出决算情况说明</w:t>
      </w:r>
      <w:bookmarkEnd w:id="40"/>
      <w:bookmarkEnd w:id="41"/>
      <w:bookmarkEnd w:id="42"/>
    </w:p>
    <w:p>
      <w:pPr>
        <w:spacing w:line="540" w:lineRule="exact"/>
        <w:ind w:firstLine="643" w:firstLineChars="200"/>
        <w:outlineLvl w:val="2"/>
        <w:rPr>
          <w:rFonts w:eastAsia="楷体_GB2312"/>
          <w:b/>
          <w:sz w:val="32"/>
          <w:szCs w:val="32"/>
        </w:rPr>
      </w:pPr>
      <w:bookmarkStart w:id="43" w:name="_Toc15377210"/>
      <w:bookmarkStart w:id="44" w:name="_Toc18572"/>
      <w:r>
        <w:rPr>
          <w:rFonts w:eastAsia="楷体_GB2312"/>
          <w:b/>
          <w:sz w:val="32"/>
          <w:szCs w:val="32"/>
        </w:rPr>
        <w:t>（一）一般公共预算财政拨款支出决算总体情况</w:t>
      </w:r>
      <w:bookmarkEnd w:id="43"/>
      <w:bookmarkEnd w:id="44"/>
    </w:p>
    <w:p>
      <w:pPr>
        <w:spacing w:line="540" w:lineRule="exact"/>
        <w:ind w:firstLine="640" w:firstLineChars="200"/>
        <w:rPr>
          <w:rFonts w:eastAsia="仿宋"/>
          <w:sz w:val="32"/>
          <w:szCs w:val="32"/>
        </w:rPr>
      </w:pPr>
      <w:r>
        <w:rPr>
          <w:rFonts w:eastAsia="仿宋"/>
          <w:sz w:val="32"/>
          <w:szCs w:val="32"/>
        </w:rPr>
        <w:drawing>
          <wp:anchor distT="0" distB="0" distL="114300" distR="114300" simplePos="0" relativeHeight="251663360" behindDoc="0" locked="0" layoutInCell="1" allowOverlap="1">
            <wp:simplePos x="0" y="0"/>
            <wp:positionH relativeFrom="column">
              <wp:posOffset>400050</wp:posOffset>
            </wp:positionH>
            <wp:positionV relativeFrom="paragraph">
              <wp:posOffset>1562100</wp:posOffset>
            </wp:positionV>
            <wp:extent cx="5274310" cy="2055495"/>
            <wp:effectExtent l="19050" t="0" r="21590" b="1905"/>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2020年一般公共预算财政拨款支出13744.47万元，占本年支出合计的100%。与2019年相比，一般公共预算财政拨款增加1434.34万元，增长11.65%。主要变动原因是安可、机关用房维修等专项项目的增加。</w:t>
      </w:r>
    </w:p>
    <w:p>
      <w:pPr>
        <w:spacing w:line="540" w:lineRule="exact"/>
        <w:ind w:firstLine="643" w:firstLineChars="200"/>
        <w:outlineLvl w:val="2"/>
        <w:rPr>
          <w:rFonts w:eastAsia="楷体_GB2312"/>
          <w:b/>
          <w:sz w:val="32"/>
          <w:szCs w:val="32"/>
        </w:rPr>
      </w:pPr>
      <w:bookmarkStart w:id="45" w:name="_Toc5933"/>
      <w:bookmarkStart w:id="46" w:name="_Toc15377211"/>
      <w:r>
        <w:rPr>
          <w:rFonts w:eastAsia="楷体_GB2312"/>
          <w:b/>
          <w:sz w:val="32"/>
          <w:szCs w:val="32"/>
        </w:rPr>
        <w:t>（二）一般公共预算财政拨款支出决算结构情况</w:t>
      </w:r>
      <w:bookmarkEnd w:id="45"/>
      <w:bookmarkEnd w:id="46"/>
    </w:p>
    <w:p>
      <w:pPr>
        <w:spacing w:line="540" w:lineRule="exact"/>
        <w:ind w:firstLine="640"/>
        <w:rPr>
          <w:rFonts w:eastAsia="仿宋"/>
          <w:sz w:val="32"/>
          <w:szCs w:val="32"/>
        </w:rPr>
      </w:pPr>
      <w:r>
        <w:rPr>
          <w:rFonts w:eastAsia="仿宋"/>
          <w:sz w:val="32"/>
          <w:szCs w:val="32"/>
        </w:rPr>
        <w:drawing>
          <wp:anchor distT="0" distB="0" distL="114300" distR="114300" simplePos="0" relativeHeight="251664384" behindDoc="0" locked="0" layoutInCell="1" allowOverlap="1">
            <wp:simplePos x="0" y="0"/>
            <wp:positionH relativeFrom="column">
              <wp:posOffset>276225</wp:posOffset>
            </wp:positionH>
            <wp:positionV relativeFrom="paragraph">
              <wp:posOffset>2552700</wp:posOffset>
            </wp:positionV>
            <wp:extent cx="4572000" cy="2628900"/>
            <wp:effectExtent l="19050" t="0" r="19050" b="0"/>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sz w:val="32"/>
          <w:szCs w:val="32"/>
        </w:rPr>
        <w:t>2020年一般公共预算财政拨款支出13744.47万元，主要用于以下方面:一般公共服务（类）支出10672.15万元，占77.65%；教育支出（类）54.35万元，占0.4%；社会保障和就业（类）支出1698.06万元，占12.35%；卫生健康支出455.81万元，占3.32%；住房保障支出748.11万元，占5.44%；灾害防治及应急管理支出16万元，占0.12%；其他支出100万元，占0.73%；。</w:t>
      </w:r>
    </w:p>
    <w:p>
      <w:pPr>
        <w:spacing w:line="540" w:lineRule="exact"/>
        <w:ind w:firstLine="643" w:firstLineChars="200"/>
        <w:outlineLvl w:val="2"/>
        <w:rPr>
          <w:rFonts w:eastAsia="楷体_GB2312"/>
          <w:b/>
          <w:sz w:val="32"/>
          <w:szCs w:val="32"/>
        </w:rPr>
      </w:pPr>
      <w:bookmarkStart w:id="47" w:name="_Toc22139"/>
      <w:bookmarkStart w:id="48" w:name="_Toc15377212"/>
      <w:r>
        <w:rPr>
          <w:rFonts w:eastAsia="楷体_GB2312"/>
          <w:b/>
          <w:sz w:val="32"/>
          <w:szCs w:val="32"/>
        </w:rPr>
        <w:t>（三）一般公共预算财政拨款支出决算具体情况</w:t>
      </w:r>
      <w:bookmarkEnd w:id="47"/>
      <w:bookmarkEnd w:id="48"/>
    </w:p>
    <w:p>
      <w:pPr>
        <w:spacing w:line="540" w:lineRule="exact"/>
        <w:ind w:firstLine="643" w:firstLineChars="200"/>
        <w:outlineLvl w:val="2"/>
        <w:rPr>
          <w:rFonts w:eastAsia="仿宋"/>
          <w:sz w:val="32"/>
          <w:szCs w:val="32"/>
        </w:rPr>
      </w:pPr>
      <w:bookmarkStart w:id="49" w:name="_Toc881"/>
      <w:bookmarkStart w:id="50" w:name="_Toc15377444"/>
      <w:bookmarkStart w:id="51" w:name="_Toc15378460"/>
      <w:bookmarkStart w:id="52" w:name="_Toc15377213"/>
      <w:r>
        <w:rPr>
          <w:rFonts w:eastAsia="仿宋"/>
          <w:b/>
          <w:sz w:val="32"/>
          <w:szCs w:val="32"/>
        </w:rPr>
        <w:t>2020年一般公共预算支出决算数为13744.47</w:t>
      </w:r>
      <w:r>
        <w:rPr>
          <w:rFonts w:eastAsia="仿宋"/>
          <w:sz w:val="32"/>
          <w:szCs w:val="32"/>
        </w:rPr>
        <w:t>，</w:t>
      </w:r>
      <w:r>
        <w:rPr>
          <w:rStyle w:val="23"/>
          <w:rFonts w:eastAsia="仿宋"/>
          <w:bCs/>
          <w:sz w:val="32"/>
          <w:szCs w:val="32"/>
        </w:rPr>
        <w:t>完成预算100%。其中：</w:t>
      </w:r>
      <w:bookmarkEnd w:id="49"/>
      <w:bookmarkEnd w:id="50"/>
      <w:bookmarkEnd w:id="51"/>
      <w:bookmarkEnd w:id="52"/>
    </w:p>
    <w:p>
      <w:pPr>
        <w:spacing w:line="540" w:lineRule="exact"/>
        <w:ind w:firstLine="643" w:firstLineChars="200"/>
        <w:rPr>
          <w:rStyle w:val="23"/>
          <w:rFonts w:eastAsia="仿宋"/>
          <w:b w:val="0"/>
          <w:bCs/>
          <w:sz w:val="32"/>
          <w:szCs w:val="32"/>
        </w:rPr>
      </w:pPr>
      <w:r>
        <w:rPr>
          <w:rStyle w:val="23"/>
          <w:rFonts w:eastAsia="仿宋"/>
          <w:bCs/>
          <w:sz w:val="32"/>
          <w:szCs w:val="32"/>
        </w:rPr>
        <w:t>1.一般公共服务（类）发展与改革事务（款）行政运行（项）:</w:t>
      </w:r>
      <w:r>
        <w:rPr>
          <w:rStyle w:val="23"/>
          <w:rFonts w:eastAsia="仿宋"/>
          <w:b w:val="0"/>
          <w:bCs/>
          <w:sz w:val="32"/>
          <w:szCs w:val="32"/>
        </w:rPr>
        <w:t>支出决算为5240.94万元，完成预算100%，决算数等于预算数。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2.一般公共服务（类）发展与改革事务（款）一般行政管理事务（项）:</w:t>
      </w:r>
      <w:r>
        <w:rPr>
          <w:rStyle w:val="23"/>
          <w:rFonts w:eastAsia="仿宋"/>
          <w:b w:val="0"/>
          <w:bCs/>
          <w:sz w:val="32"/>
          <w:szCs w:val="32"/>
        </w:rPr>
        <w:t>支出决算为2537.44万元，完成预算100%，决算数等于预算数。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3.一般公共服务（类）发展与改革事务（款）战略规划与实施（项）:</w:t>
      </w:r>
      <w:r>
        <w:rPr>
          <w:rStyle w:val="23"/>
          <w:rFonts w:eastAsia="仿宋"/>
          <w:b w:val="0"/>
          <w:bCs/>
          <w:sz w:val="32"/>
          <w:szCs w:val="32"/>
        </w:rPr>
        <w:t>支出决算为184.9万元，完成预算100%，决算数等于预算数。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4.一般公共服务（类）发展与改革事务（款）其他发展与改革事务支出（项）:</w:t>
      </w:r>
      <w:r>
        <w:rPr>
          <w:rStyle w:val="23"/>
          <w:rFonts w:eastAsia="仿宋"/>
          <w:b w:val="0"/>
          <w:bCs/>
          <w:sz w:val="32"/>
          <w:szCs w:val="32"/>
        </w:rPr>
        <w:t>支出决算为2294.96万元，完成预算100%，决算数等于预算数。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5.一般公共服务（类）组织事务（款）一般行政管理事务（项）:</w:t>
      </w:r>
      <w:r>
        <w:rPr>
          <w:rStyle w:val="23"/>
          <w:rFonts w:eastAsia="仿宋"/>
          <w:b w:val="0"/>
          <w:bCs/>
          <w:sz w:val="32"/>
          <w:szCs w:val="32"/>
        </w:rPr>
        <w:t>支出决算为3.5万元，完成预算100%，决算数等于预算数。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6.一般公共服务（类）其他一般公共服务支出（款）其他一般公共服务支出（项）:</w:t>
      </w:r>
      <w:r>
        <w:rPr>
          <w:rStyle w:val="23"/>
          <w:rFonts w:eastAsia="仿宋"/>
          <w:b w:val="0"/>
          <w:bCs/>
          <w:sz w:val="32"/>
          <w:szCs w:val="32"/>
        </w:rPr>
        <w:t>支出决算为410.42万元，完成预算100%，决算数等于预算数。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7.教育支出（类）进修及培训（款）培训支出（项）:</w:t>
      </w:r>
      <w:r>
        <w:rPr>
          <w:rStyle w:val="23"/>
          <w:rFonts w:eastAsia="仿宋"/>
          <w:b w:val="0"/>
          <w:bCs/>
          <w:sz w:val="32"/>
          <w:szCs w:val="32"/>
        </w:rPr>
        <w:t>支出决算为54.34万元，完成预算100%，决算数等于预算数。</w:t>
      </w:r>
    </w:p>
    <w:p>
      <w:pPr>
        <w:spacing w:line="540" w:lineRule="exact"/>
        <w:ind w:firstLine="643" w:firstLineChars="200"/>
        <w:rPr>
          <w:rStyle w:val="23"/>
          <w:rFonts w:eastAsia="仿宋"/>
          <w:b w:val="0"/>
          <w:bCs/>
          <w:sz w:val="32"/>
          <w:szCs w:val="32"/>
        </w:rPr>
      </w:pPr>
      <w:r>
        <w:rPr>
          <w:rStyle w:val="23"/>
          <w:rFonts w:eastAsia="仿宋"/>
          <w:bCs/>
          <w:sz w:val="32"/>
          <w:szCs w:val="32"/>
        </w:rPr>
        <w:t>8.社会保障和就业（类）行政事业单位养老支出（款）行政单位离退休（项）:</w:t>
      </w:r>
      <w:r>
        <w:rPr>
          <w:rStyle w:val="23"/>
          <w:rFonts w:eastAsia="仿宋"/>
          <w:b w:val="0"/>
          <w:bCs/>
          <w:sz w:val="32"/>
          <w:szCs w:val="32"/>
        </w:rPr>
        <w:t>支出决算为1051.74万元，完成预算100%，决算数等于预算数。</w:t>
      </w:r>
    </w:p>
    <w:p>
      <w:pPr>
        <w:spacing w:line="540" w:lineRule="exact"/>
        <w:ind w:firstLine="643" w:firstLineChars="200"/>
        <w:rPr>
          <w:rStyle w:val="23"/>
          <w:rFonts w:eastAsia="仿宋"/>
          <w:b w:val="0"/>
          <w:bCs/>
          <w:sz w:val="32"/>
          <w:szCs w:val="32"/>
        </w:rPr>
      </w:pPr>
      <w:r>
        <w:rPr>
          <w:rStyle w:val="23"/>
          <w:rFonts w:eastAsia="仿宋"/>
          <w:bCs/>
          <w:sz w:val="32"/>
          <w:szCs w:val="32"/>
        </w:rPr>
        <w:t>9.社会保障和就业（类）行政事业单位养老支出（款）机关事业单位基本养老保险缴费支出（项）:</w:t>
      </w:r>
      <w:r>
        <w:rPr>
          <w:rStyle w:val="23"/>
          <w:rFonts w:eastAsia="仿宋"/>
          <w:b w:val="0"/>
          <w:bCs/>
          <w:sz w:val="32"/>
          <w:szCs w:val="32"/>
        </w:rPr>
        <w:t>支出决算为455.39万元，完成预算100%，决算数等于预算数。</w:t>
      </w:r>
    </w:p>
    <w:p>
      <w:pPr>
        <w:spacing w:line="540" w:lineRule="exact"/>
        <w:ind w:firstLine="643" w:firstLineChars="200"/>
        <w:rPr>
          <w:rStyle w:val="23"/>
          <w:rFonts w:eastAsia="仿宋"/>
          <w:b w:val="0"/>
          <w:bCs/>
          <w:sz w:val="32"/>
          <w:szCs w:val="32"/>
        </w:rPr>
      </w:pPr>
      <w:r>
        <w:rPr>
          <w:rStyle w:val="23"/>
          <w:rFonts w:eastAsia="仿宋"/>
          <w:bCs/>
          <w:sz w:val="32"/>
          <w:szCs w:val="32"/>
        </w:rPr>
        <w:t>10.社会保障和就业（类）行政事业单位养老支出（款）机关事业单位职业年金缴费支出（项）:</w:t>
      </w:r>
      <w:r>
        <w:rPr>
          <w:rStyle w:val="23"/>
          <w:rFonts w:eastAsia="仿宋"/>
          <w:b w:val="0"/>
          <w:bCs/>
          <w:sz w:val="32"/>
          <w:szCs w:val="32"/>
        </w:rPr>
        <w:t>支出决算为41.45万元，完成预算100%，决算数等于预算数。</w:t>
      </w:r>
    </w:p>
    <w:p>
      <w:pPr>
        <w:spacing w:line="540" w:lineRule="exact"/>
        <w:ind w:firstLine="643" w:firstLineChars="200"/>
        <w:rPr>
          <w:rFonts w:eastAsia="仿宋"/>
          <w:bCs/>
          <w:sz w:val="32"/>
          <w:szCs w:val="32"/>
        </w:rPr>
      </w:pPr>
      <w:r>
        <w:rPr>
          <w:rStyle w:val="23"/>
          <w:rFonts w:eastAsia="仿宋"/>
          <w:bCs/>
          <w:sz w:val="32"/>
          <w:szCs w:val="32"/>
        </w:rPr>
        <w:t>11.社会保障和就业（类）抚恤（款）死亡抚恤（项）:</w:t>
      </w:r>
      <w:r>
        <w:rPr>
          <w:rStyle w:val="23"/>
          <w:rFonts w:eastAsia="仿宋"/>
          <w:b w:val="0"/>
          <w:bCs/>
          <w:sz w:val="32"/>
          <w:szCs w:val="32"/>
        </w:rPr>
        <w:t>支出决算为149.48万元，完成预算100%，决算数等于预算数。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12.</w:t>
      </w:r>
      <w:r>
        <w:rPr>
          <w:rFonts w:eastAsia="仿宋"/>
          <w:b/>
          <w:bCs/>
          <w:sz w:val="32"/>
          <w:szCs w:val="32"/>
        </w:rPr>
        <w:t>卫生健康</w:t>
      </w:r>
      <w:r>
        <w:rPr>
          <w:rStyle w:val="23"/>
          <w:rFonts w:eastAsia="仿宋"/>
          <w:bCs/>
          <w:sz w:val="32"/>
          <w:szCs w:val="32"/>
        </w:rPr>
        <w:t>（类）行政事业单位医疗（款）行政单位医疗（项）:</w:t>
      </w:r>
      <w:r>
        <w:rPr>
          <w:rStyle w:val="23"/>
          <w:rFonts w:eastAsia="仿宋"/>
          <w:b w:val="0"/>
          <w:bCs/>
          <w:sz w:val="32"/>
          <w:szCs w:val="32"/>
        </w:rPr>
        <w:t>支出决算为16.34万元，完成预算100%，决算数等于预算数。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13.</w:t>
      </w:r>
      <w:r>
        <w:rPr>
          <w:rFonts w:eastAsia="仿宋"/>
          <w:b/>
          <w:bCs/>
          <w:sz w:val="32"/>
          <w:szCs w:val="32"/>
        </w:rPr>
        <w:t>卫生健康</w:t>
      </w:r>
      <w:r>
        <w:rPr>
          <w:rStyle w:val="23"/>
          <w:rFonts w:eastAsia="仿宋"/>
          <w:bCs/>
          <w:sz w:val="32"/>
          <w:szCs w:val="32"/>
        </w:rPr>
        <w:t>（类）行政事业单位医疗（款）事业单位医疗（项）:</w:t>
      </w:r>
      <w:r>
        <w:rPr>
          <w:rStyle w:val="23"/>
          <w:rFonts w:eastAsia="仿宋"/>
          <w:b w:val="0"/>
          <w:bCs/>
          <w:sz w:val="32"/>
          <w:szCs w:val="32"/>
        </w:rPr>
        <w:t>支出决算为338.27万元，完成预算100%，决算数等于预算数。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14.</w:t>
      </w:r>
      <w:r>
        <w:rPr>
          <w:rFonts w:eastAsia="仿宋"/>
          <w:b/>
          <w:bCs/>
          <w:sz w:val="32"/>
          <w:szCs w:val="32"/>
        </w:rPr>
        <w:t>卫生健康</w:t>
      </w:r>
      <w:r>
        <w:rPr>
          <w:rStyle w:val="23"/>
          <w:rFonts w:eastAsia="仿宋"/>
          <w:bCs/>
          <w:sz w:val="32"/>
          <w:szCs w:val="32"/>
        </w:rPr>
        <w:t>（类）行政事业单位医疗（款）公务员医疗补助（项）:</w:t>
      </w:r>
      <w:r>
        <w:rPr>
          <w:rStyle w:val="23"/>
          <w:rFonts w:eastAsia="仿宋"/>
          <w:b w:val="0"/>
          <w:bCs/>
          <w:sz w:val="32"/>
          <w:szCs w:val="32"/>
        </w:rPr>
        <w:t>支出决算为101.2万元，完成预算100%，决算数等于预算数。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15.</w:t>
      </w:r>
      <w:r>
        <w:rPr>
          <w:rFonts w:eastAsia="仿宋"/>
          <w:b/>
          <w:bCs/>
          <w:sz w:val="32"/>
          <w:szCs w:val="32"/>
        </w:rPr>
        <w:t>住房保障支出</w:t>
      </w:r>
      <w:r>
        <w:rPr>
          <w:rStyle w:val="23"/>
          <w:rFonts w:eastAsia="仿宋"/>
          <w:bCs/>
          <w:sz w:val="32"/>
          <w:szCs w:val="32"/>
        </w:rPr>
        <w:t>（类）住房改革支出（款）住房公积金（项）:</w:t>
      </w:r>
      <w:r>
        <w:rPr>
          <w:rStyle w:val="23"/>
          <w:rFonts w:eastAsia="仿宋"/>
          <w:b w:val="0"/>
          <w:bCs/>
          <w:sz w:val="32"/>
          <w:szCs w:val="32"/>
        </w:rPr>
        <w:t>支出决算为472.82万元，完成预算100%，决算数等于预算数。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16.</w:t>
      </w:r>
      <w:r>
        <w:rPr>
          <w:rFonts w:eastAsia="仿宋"/>
          <w:b/>
          <w:bCs/>
          <w:sz w:val="32"/>
          <w:szCs w:val="32"/>
        </w:rPr>
        <w:t>住房保障支出</w:t>
      </w:r>
      <w:r>
        <w:rPr>
          <w:rStyle w:val="23"/>
          <w:rFonts w:eastAsia="仿宋"/>
          <w:bCs/>
          <w:sz w:val="32"/>
          <w:szCs w:val="32"/>
        </w:rPr>
        <w:t>（类）住房改革支出（款）购房补贴（项）:</w:t>
      </w:r>
      <w:r>
        <w:rPr>
          <w:rStyle w:val="23"/>
          <w:rFonts w:eastAsia="仿宋"/>
          <w:b w:val="0"/>
          <w:bCs/>
          <w:sz w:val="32"/>
          <w:szCs w:val="32"/>
        </w:rPr>
        <w:t>支出决算为275.29万元，完成预算100%，决算数等于预算数。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17.</w:t>
      </w:r>
      <w:r>
        <w:rPr>
          <w:rFonts w:eastAsia="仿宋"/>
          <w:b/>
          <w:bCs/>
          <w:sz w:val="32"/>
          <w:szCs w:val="32"/>
        </w:rPr>
        <w:t>灾害防治及应急管理支出</w:t>
      </w:r>
      <w:r>
        <w:rPr>
          <w:rStyle w:val="23"/>
          <w:rFonts w:eastAsia="仿宋"/>
          <w:bCs/>
          <w:sz w:val="32"/>
          <w:szCs w:val="32"/>
        </w:rPr>
        <w:t>（类）应急管理事务（款）其他应急管理支出（项）:</w:t>
      </w:r>
      <w:r>
        <w:rPr>
          <w:rStyle w:val="23"/>
          <w:rFonts w:eastAsia="仿宋"/>
          <w:b w:val="0"/>
          <w:bCs/>
          <w:sz w:val="32"/>
          <w:szCs w:val="32"/>
        </w:rPr>
        <w:t>支出决算为16万元，完成预算100%，决算数等于预算数。</w:t>
      </w:r>
    </w:p>
    <w:p>
      <w:pPr>
        <w:spacing w:line="540" w:lineRule="exact"/>
        <w:ind w:firstLine="643" w:firstLineChars="200"/>
        <w:rPr>
          <w:rFonts w:eastAsia="仿宋"/>
          <w:b/>
          <w:sz w:val="32"/>
          <w:szCs w:val="32"/>
        </w:rPr>
      </w:pPr>
      <w:r>
        <w:rPr>
          <w:rStyle w:val="23"/>
          <w:rFonts w:eastAsia="仿宋"/>
          <w:bCs/>
          <w:sz w:val="32"/>
          <w:szCs w:val="32"/>
        </w:rPr>
        <w:t>18.</w:t>
      </w:r>
      <w:r>
        <w:rPr>
          <w:rFonts w:eastAsia="仿宋"/>
          <w:b/>
          <w:bCs/>
          <w:sz w:val="32"/>
          <w:szCs w:val="32"/>
        </w:rPr>
        <w:t>其他支出</w:t>
      </w:r>
      <w:r>
        <w:rPr>
          <w:rStyle w:val="23"/>
          <w:rFonts w:eastAsia="仿宋"/>
          <w:bCs/>
          <w:sz w:val="32"/>
          <w:szCs w:val="32"/>
        </w:rPr>
        <w:t>（类）其他支出（款）其他支出（项）:</w:t>
      </w:r>
      <w:r>
        <w:rPr>
          <w:rStyle w:val="23"/>
          <w:rFonts w:eastAsia="仿宋"/>
          <w:b w:val="0"/>
          <w:bCs/>
          <w:sz w:val="32"/>
          <w:szCs w:val="32"/>
        </w:rPr>
        <w:t>支出决算为16万元，完成预算100%，决算数等于预算数。</w:t>
      </w:r>
    </w:p>
    <w:p>
      <w:pPr>
        <w:tabs>
          <w:tab w:val="right" w:pos="8306"/>
        </w:tabs>
        <w:spacing w:line="540" w:lineRule="exact"/>
        <w:ind w:firstLine="640"/>
        <w:outlineLvl w:val="1"/>
        <w:rPr>
          <w:rStyle w:val="34"/>
          <w:rFonts w:ascii="Times New Roman" w:hAnsi="Times New Roman" w:cs="Times New Roman"/>
        </w:rPr>
      </w:pPr>
      <w:bookmarkStart w:id="53" w:name="_Toc15396608"/>
      <w:bookmarkStart w:id="54" w:name="_Toc13985"/>
      <w:bookmarkStart w:id="55" w:name="_Toc15377214"/>
      <w:r>
        <w:rPr>
          <w:rFonts w:eastAsia="黑体"/>
          <w:sz w:val="32"/>
          <w:szCs w:val="32"/>
        </w:rPr>
        <w:t>六</w:t>
      </w:r>
      <w:r>
        <w:rPr>
          <w:rFonts w:eastAsia="黑体"/>
          <w:b/>
          <w:sz w:val="32"/>
          <w:szCs w:val="32"/>
        </w:rPr>
        <w:t>、一</w:t>
      </w:r>
      <w:r>
        <w:rPr>
          <w:rStyle w:val="34"/>
          <w:rFonts w:ascii="Times New Roman" w:hAnsi="Times New Roman" w:eastAsia="黑体" w:cs="Times New Roman"/>
          <w:b w:val="0"/>
        </w:rPr>
        <w:t>般公共预算财政拨款基本支出决算情况说明</w:t>
      </w:r>
      <w:bookmarkEnd w:id="53"/>
      <w:bookmarkEnd w:id="54"/>
      <w:bookmarkEnd w:id="55"/>
      <w:r>
        <w:rPr>
          <w:rStyle w:val="34"/>
          <w:rFonts w:ascii="Times New Roman" w:hAnsi="Times New Roman" w:eastAsia="黑体" w:cs="Times New Roman"/>
          <w:b w:val="0"/>
        </w:rPr>
        <w:tab/>
      </w:r>
    </w:p>
    <w:p>
      <w:pPr>
        <w:spacing w:line="540" w:lineRule="exact"/>
        <w:ind w:firstLine="645"/>
        <w:rPr>
          <w:rFonts w:eastAsia="仿宋"/>
          <w:sz w:val="32"/>
          <w:szCs w:val="32"/>
        </w:rPr>
      </w:pPr>
      <w:r>
        <w:rPr>
          <w:rFonts w:eastAsia="仿宋"/>
          <w:sz w:val="32"/>
          <w:szCs w:val="32"/>
        </w:rPr>
        <w:t>2020年一般公共预算财政拨款基本支出9576.78万元，其中：</w:t>
      </w:r>
    </w:p>
    <w:p>
      <w:pPr>
        <w:spacing w:line="540" w:lineRule="exact"/>
        <w:ind w:firstLine="645"/>
        <w:rPr>
          <w:rFonts w:hint="eastAsia" w:eastAsia="仿宋"/>
          <w:sz w:val="32"/>
          <w:szCs w:val="32"/>
          <w:lang w:eastAsia="zh-CN"/>
        </w:rPr>
      </w:pPr>
      <w:r>
        <w:rPr>
          <w:rFonts w:eastAsia="仿宋"/>
          <w:sz w:val="32"/>
          <w:szCs w:val="32"/>
        </w:rPr>
        <w:t>人员经费6914.45万元，主要包括：基本工资、津贴补贴、奖金、机关事业单位基本养老保险缴费、职业年金缴费、其他社会保障缴费、其他工资福利支出、离休费、抚恤金、奖励金、住房公积金、其他对个人和家庭的补助支出等。</w:t>
      </w:r>
    </w:p>
    <w:p>
      <w:pPr>
        <w:spacing w:line="540" w:lineRule="exact"/>
        <w:ind w:firstLine="645"/>
        <w:rPr>
          <w:rFonts w:eastAsia="仿宋"/>
          <w:sz w:val="32"/>
          <w:szCs w:val="32"/>
        </w:rPr>
      </w:pPr>
      <w:r>
        <w:rPr>
          <w:rFonts w:eastAsia="仿宋"/>
          <w:sz w:val="32"/>
          <w:szCs w:val="32"/>
        </w:rPr>
        <w:t>　　公用经费2662.33万元，主要包括：办公费、水费、电费、取暖费、物业管理费、差旅费、维修（护）费、会议费、培训费、公务接待费、劳务费、委托业务费、工会经费、福利费、公务用车运行维护费、其他交通费、其他商品和服务支出、办公设备购置。</w:t>
      </w:r>
    </w:p>
    <w:p>
      <w:pPr>
        <w:spacing w:line="540" w:lineRule="exact"/>
        <w:ind w:firstLine="640"/>
        <w:outlineLvl w:val="1"/>
        <w:rPr>
          <w:rStyle w:val="34"/>
          <w:rFonts w:ascii="Times New Roman" w:hAnsi="Times New Roman" w:eastAsia="黑体" w:cs="Times New Roman"/>
          <w:b w:val="0"/>
        </w:rPr>
      </w:pPr>
      <w:bookmarkStart w:id="56" w:name="_Toc15396609"/>
      <w:bookmarkStart w:id="57" w:name="_Toc15377215"/>
      <w:bookmarkStart w:id="58" w:name="_Toc16072"/>
      <w:r>
        <w:rPr>
          <w:rFonts w:eastAsia="黑体"/>
          <w:sz w:val="32"/>
          <w:szCs w:val="32"/>
        </w:rPr>
        <w:t>七、</w:t>
      </w:r>
      <w:r>
        <w:rPr>
          <w:rStyle w:val="34"/>
          <w:rFonts w:ascii="Times New Roman" w:hAnsi="Times New Roman" w:eastAsia="黑体" w:cs="Times New Roman"/>
        </w:rPr>
        <w:t>“</w:t>
      </w:r>
      <w:r>
        <w:rPr>
          <w:rStyle w:val="34"/>
          <w:rFonts w:ascii="Times New Roman" w:hAnsi="Times New Roman" w:eastAsia="黑体" w:cs="Times New Roman"/>
          <w:b w:val="0"/>
        </w:rPr>
        <w:t>三公”经费财政拨款支出决算情况说明</w:t>
      </w:r>
      <w:bookmarkEnd w:id="56"/>
      <w:bookmarkEnd w:id="57"/>
      <w:bookmarkEnd w:id="58"/>
    </w:p>
    <w:p>
      <w:pPr>
        <w:spacing w:line="540" w:lineRule="exact"/>
        <w:ind w:firstLine="640"/>
        <w:outlineLvl w:val="2"/>
        <w:rPr>
          <w:rFonts w:eastAsia="楷体_GB2312"/>
          <w:b/>
          <w:sz w:val="32"/>
          <w:szCs w:val="32"/>
        </w:rPr>
      </w:pPr>
      <w:bookmarkStart w:id="59" w:name="_Toc4446"/>
      <w:bookmarkStart w:id="60" w:name="_Toc15377216"/>
      <w:r>
        <w:rPr>
          <w:rFonts w:eastAsia="楷体_GB2312"/>
          <w:b/>
          <w:sz w:val="32"/>
          <w:szCs w:val="32"/>
        </w:rPr>
        <w:t>（一）“三公”经费财政拨款支出决算总体情况说明</w:t>
      </w:r>
      <w:bookmarkEnd w:id="59"/>
      <w:bookmarkEnd w:id="60"/>
    </w:p>
    <w:p>
      <w:pPr>
        <w:spacing w:line="540" w:lineRule="exact"/>
        <w:ind w:firstLine="640"/>
        <w:rPr>
          <w:shd w:val="clear" w:color="auto" w:fill="FFFFFF"/>
        </w:rPr>
      </w:pPr>
      <w:bookmarkStart w:id="61" w:name="_Toc10214"/>
      <w:r>
        <w:rPr>
          <w:rFonts w:eastAsia="仿宋"/>
          <w:sz w:val="32"/>
          <w:szCs w:val="32"/>
        </w:rPr>
        <w:t>2020年“三公”经费财政拨款支出决算为138.15万元，完成预算57.63%，</w:t>
      </w:r>
      <w:r>
        <w:rPr>
          <w:rFonts w:eastAsia="仿宋"/>
          <w:sz w:val="32"/>
          <w:shd w:val="clear" w:color="auto" w:fill="FFFFFF"/>
        </w:rPr>
        <w:t>决算数小于预算数的主要原因</w:t>
      </w:r>
      <w:bookmarkEnd w:id="61"/>
      <w:r>
        <w:rPr>
          <w:rFonts w:eastAsia="仿宋_GB2312"/>
          <w:sz w:val="32"/>
          <w:szCs w:val="32"/>
        </w:rPr>
        <w:t>是</w:t>
      </w:r>
      <w:r>
        <w:rPr>
          <w:rFonts w:eastAsia="仿宋_GB2312"/>
          <w:sz w:val="32"/>
          <w:szCs w:val="32"/>
          <w:shd w:val="clear" w:color="auto" w:fill="FFFFFF"/>
        </w:rPr>
        <w:t>贯彻落实中央八项规定、省委省政府十项规定和厉行节约反对浪费各项要求，严格控制相关开支</w:t>
      </w:r>
      <w:r>
        <w:rPr>
          <w:rFonts w:eastAsia="仿宋_GB2312"/>
          <w:sz w:val="32"/>
          <w:szCs w:val="32"/>
        </w:rPr>
        <w:t>，</w:t>
      </w:r>
      <w:r>
        <w:rPr>
          <w:rFonts w:eastAsia="仿宋_GB2312"/>
          <w:sz w:val="32"/>
          <w:szCs w:val="32"/>
          <w:shd w:val="clear" w:color="auto" w:fill="FFFFFF"/>
        </w:rPr>
        <w:t>以及受新冠肺炎疫情影响，相关支出减少。</w:t>
      </w:r>
    </w:p>
    <w:p>
      <w:pPr>
        <w:spacing w:line="540" w:lineRule="exact"/>
        <w:ind w:firstLine="640"/>
        <w:outlineLvl w:val="2"/>
        <w:rPr>
          <w:rFonts w:eastAsia="楷体_GB2312"/>
          <w:b/>
          <w:sz w:val="32"/>
          <w:szCs w:val="32"/>
        </w:rPr>
      </w:pPr>
      <w:bookmarkStart w:id="62" w:name="_Toc15377217"/>
      <w:bookmarkStart w:id="63" w:name="_Toc2853"/>
      <w:r>
        <w:rPr>
          <w:rFonts w:eastAsia="楷体_GB2312"/>
          <w:b/>
          <w:sz w:val="32"/>
          <w:szCs w:val="32"/>
        </w:rPr>
        <w:t>（二）“三公”经费财政拨款支出决算具体情况说明</w:t>
      </w:r>
      <w:bookmarkEnd w:id="62"/>
      <w:bookmarkEnd w:id="63"/>
    </w:p>
    <w:p>
      <w:pPr>
        <w:spacing w:line="540" w:lineRule="exact"/>
        <w:ind w:firstLine="640"/>
        <w:rPr>
          <w:rFonts w:eastAsia="仿宋"/>
          <w:sz w:val="32"/>
          <w:szCs w:val="32"/>
        </w:rPr>
      </w:pPr>
      <w:r>
        <w:rPr>
          <w:rFonts w:eastAsia="仿宋"/>
          <w:sz w:val="32"/>
          <w:szCs w:val="32"/>
        </w:rPr>
        <w:drawing>
          <wp:anchor distT="0" distB="0" distL="114300" distR="114300" simplePos="0" relativeHeight="251665408" behindDoc="0" locked="0" layoutInCell="1" allowOverlap="1">
            <wp:simplePos x="0" y="0"/>
            <wp:positionH relativeFrom="margin">
              <wp:posOffset>95250</wp:posOffset>
            </wp:positionH>
            <wp:positionV relativeFrom="margin">
              <wp:posOffset>1400175</wp:posOffset>
            </wp:positionV>
            <wp:extent cx="5038725" cy="2552700"/>
            <wp:effectExtent l="19050" t="0" r="9525" b="0"/>
            <wp:wrapSquare wrapText="bothSides"/>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sz w:val="32"/>
          <w:szCs w:val="32"/>
        </w:rPr>
        <w:t>2020年“三公”经费财政拨款支出决算中，因公出国（境）费支出决算0万元；公务用车购置及运行维护费支出决算124.67万元，占90.24%；公务接待费支出决算13.48万元，占9.76%。具体情况如下：</w:t>
      </w:r>
    </w:p>
    <w:p>
      <w:pPr>
        <w:spacing w:line="540" w:lineRule="exact"/>
        <w:ind w:firstLine="640"/>
        <w:rPr>
          <w:rFonts w:eastAsia="仿宋_GB2312"/>
          <w:sz w:val="32"/>
          <w:szCs w:val="32"/>
        </w:rPr>
      </w:pPr>
      <w:r>
        <w:rPr>
          <w:rFonts w:eastAsia="仿宋_GB2312"/>
          <w:b/>
          <w:sz w:val="32"/>
          <w:szCs w:val="32"/>
        </w:rPr>
        <w:t>1.因公出国（境）经费支出</w:t>
      </w:r>
      <w:r>
        <w:rPr>
          <w:rFonts w:eastAsia="仿宋_GB2312"/>
          <w:sz w:val="32"/>
          <w:szCs w:val="32"/>
        </w:rPr>
        <w:t>0万元。</w:t>
      </w:r>
    </w:p>
    <w:p>
      <w:pPr>
        <w:spacing w:line="540" w:lineRule="exact"/>
        <w:ind w:firstLine="640"/>
        <w:rPr>
          <w:rFonts w:eastAsia="仿宋_GB2312"/>
          <w:b/>
          <w:sz w:val="32"/>
          <w:szCs w:val="32"/>
        </w:rPr>
      </w:pPr>
      <w:r>
        <w:rPr>
          <w:rFonts w:eastAsia="仿宋_GB2312"/>
          <w:b/>
          <w:sz w:val="32"/>
          <w:szCs w:val="32"/>
        </w:rPr>
        <w:t>2.公务用车购置及运行维护费支出</w:t>
      </w:r>
      <w:r>
        <w:rPr>
          <w:rFonts w:eastAsia="仿宋_GB2312"/>
          <w:sz w:val="32"/>
          <w:szCs w:val="32"/>
        </w:rPr>
        <w:t>124.67万元,</w:t>
      </w:r>
      <w:r>
        <w:rPr>
          <w:rStyle w:val="23"/>
          <w:rFonts w:eastAsia="仿宋"/>
          <w:b w:val="0"/>
          <w:bCs/>
          <w:sz w:val="32"/>
          <w:szCs w:val="32"/>
        </w:rPr>
        <w:t>完成预算88.27%。</w:t>
      </w:r>
      <w:r>
        <w:rPr>
          <w:rFonts w:eastAsia="仿宋_GB2312"/>
          <w:sz w:val="32"/>
          <w:szCs w:val="32"/>
        </w:rPr>
        <w:t>公务用车购置及运行维护费支出决算比2019年减少3.73万元，下降2.9%。主要原因是</w:t>
      </w:r>
      <w:r>
        <w:rPr>
          <w:rFonts w:eastAsia="仿宋"/>
          <w:sz w:val="32"/>
          <w:shd w:val="clear" w:color="auto" w:fill="FFFFFF"/>
        </w:rPr>
        <w:t>贯彻落实中央八项规定和省委、省政府十项规定以及厉行节约反对浪费各项要求，在保障工作正常运行情况下，严格控制有关开支</w:t>
      </w:r>
      <w:r>
        <w:rPr>
          <w:rFonts w:eastAsia="仿宋_GB2312"/>
          <w:sz w:val="32"/>
          <w:szCs w:val="32"/>
        </w:rPr>
        <w:t>。。</w:t>
      </w:r>
    </w:p>
    <w:p>
      <w:pPr>
        <w:spacing w:line="54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0万元。全年按规定更新购置公务用车0辆。截至2020年12月底，单位共有公务用车24辆，其中：轿车</w:t>
      </w:r>
      <w:r>
        <w:rPr>
          <w:rFonts w:hint="eastAsia" w:eastAsia="仿宋_GB2312"/>
          <w:sz w:val="32"/>
          <w:szCs w:val="32"/>
        </w:rPr>
        <w:t>19</w:t>
      </w:r>
      <w:r>
        <w:rPr>
          <w:rFonts w:eastAsia="仿宋_GB2312"/>
          <w:sz w:val="32"/>
          <w:szCs w:val="32"/>
        </w:rPr>
        <w:t>辆、越野车</w:t>
      </w:r>
      <w:r>
        <w:rPr>
          <w:rFonts w:hint="eastAsia" w:eastAsia="仿宋_GB2312"/>
          <w:sz w:val="32"/>
          <w:szCs w:val="32"/>
        </w:rPr>
        <w:t>4</w:t>
      </w:r>
      <w:r>
        <w:rPr>
          <w:rFonts w:eastAsia="仿宋_GB2312"/>
          <w:sz w:val="32"/>
          <w:szCs w:val="32"/>
        </w:rPr>
        <w:t>辆、载客汽车</w:t>
      </w:r>
      <w:r>
        <w:rPr>
          <w:rFonts w:hint="eastAsia" w:eastAsia="仿宋_GB2312"/>
          <w:sz w:val="32"/>
          <w:szCs w:val="32"/>
        </w:rPr>
        <w:t>1</w:t>
      </w:r>
      <w:r>
        <w:rPr>
          <w:rFonts w:eastAsia="仿宋_GB2312"/>
          <w:sz w:val="32"/>
          <w:szCs w:val="32"/>
        </w:rPr>
        <w:t>辆。</w:t>
      </w:r>
    </w:p>
    <w:p>
      <w:pPr>
        <w:spacing w:line="54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124.67万元。主要用于</w:t>
      </w:r>
      <w:r>
        <w:rPr>
          <w:rFonts w:eastAsia="仿宋"/>
          <w:sz w:val="32"/>
          <w:shd w:val="clear" w:color="auto" w:fill="FFFFFF"/>
        </w:rPr>
        <w:t>重大政策调研、专项检查及国家和兄弟省市来川调研考察</w:t>
      </w:r>
      <w:r>
        <w:rPr>
          <w:rFonts w:eastAsia="仿宋_GB2312"/>
          <w:sz w:val="32"/>
          <w:szCs w:val="32"/>
        </w:rPr>
        <w:t>等所需的公务用车燃料费、维修费、过路过桥费、保险费等支出。</w:t>
      </w:r>
    </w:p>
    <w:p>
      <w:pPr>
        <w:spacing w:line="540" w:lineRule="exact"/>
        <w:ind w:firstLine="640"/>
        <w:rPr>
          <w:rFonts w:eastAsia="仿宋_GB2312"/>
          <w:sz w:val="32"/>
          <w:szCs w:val="32"/>
        </w:rPr>
      </w:pPr>
      <w:r>
        <w:rPr>
          <w:rFonts w:eastAsia="仿宋_GB2312"/>
          <w:b/>
          <w:sz w:val="32"/>
          <w:szCs w:val="32"/>
        </w:rPr>
        <w:t>3.公务接待费支出</w:t>
      </w:r>
      <w:r>
        <w:rPr>
          <w:rFonts w:eastAsia="仿宋_GB2312"/>
          <w:sz w:val="32"/>
          <w:szCs w:val="32"/>
        </w:rPr>
        <w:t>13.48万元，</w:t>
      </w:r>
      <w:r>
        <w:rPr>
          <w:rStyle w:val="23"/>
          <w:rFonts w:eastAsia="仿宋"/>
          <w:b w:val="0"/>
          <w:bCs/>
          <w:sz w:val="32"/>
          <w:szCs w:val="32"/>
        </w:rPr>
        <w:t>完成预算12.57%。</w:t>
      </w:r>
      <w:r>
        <w:rPr>
          <w:rFonts w:eastAsia="仿宋_GB2312"/>
          <w:sz w:val="32"/>
          <w:szCs w:val="32"/>
        </w:rPr>
        <w:t>公务接待费支出决算比2019年减少7.47万元，下降35.65%。主要原因一是</w:t>
      </w:r>
      <w:r>
        <w:rPr>
          <w:rFonts w:eastAsia="仿宋"/>
          <w:sz w:val="32"/>
          <w:shd w:val="clear" w:color="auto" w:fill="FFFFFF"/>
        </w:rPr>
        <w:t>我委严格落实中央八项规定和省委省政府十项规定精神，严格执行公务接待标准，严格按程序审批公务接待活动，压缩了接待费支出</w:t>
      </w:r>
      <w:r>
        <w:rPr>
          <w:rFonts w:eastAsia="仿宋_GB2312"/>
          <w:sz w:val="32"/>
          <w:szCs w:val="32"/>
        </w:rPr>
        <w:t>，二是受新冠疫情影响减少了公务接待活动。其中：</w:t>
      </w:r>
    </w:p>
    <w:p>
      <w:pPr>
        <w:spacing w:line="540" w:lineRule="exact"/>
        <w:ind w:firstLine="641"/>
        <w:rPr>
          <w:rFonts w:eastAsia="仿宋"/>
          <w:sz w:val="32"/>
          <w:shd w:val="clear" w:color="auto" w:fill="FFFFFF"/>
        </w:rPr>
      </w:pPr>
      <w:r>
        <w:rPr>
          <w:rFonts w:eastAsia="仿宋"/>
          <w:b/>
          <w:sz w:val="32"/>
          <w:szCs w:val="32"/>
        </w:rPr>
        <w:t>国内公务接待支出</w:t>
      </w:r>
      <w:r>
        <w:rPr>
          <w:rFonts w:eastAsia="仿宋"/>
          <w:sz w:val="32"/>
          <w:szCs w:val="32"/>
        </w:rPr>
        <w:t>13.48</w:t>
      </w:r>
      <w:r>
        <w:rPr>
          <w:rFonts w:eastAsia="仿宋_GB2312"/>
          <w:sz w:val="32"/>
          <w:szCs w:val="32"/>
        </w:rPr>
        <w:t>万元，主要用于</w:t>
      </w:r>
      <w:r>
        <w:rPr>
          <w:rFonts w:eastAsia="仿宋"/>
          <w:bCs/>
          <w:sz w:val="32"/>
          <w:shd w:val="clear" w:color="auto" w:fill="FFFFFF"/>
        </w:rPr>
        <w:t>交流合作及国内招商引资及国家重大政策调研、中央预</w:t>
      </w:r>
      <w:r>
        <w:rPr>
          <w:rFonts w:eastAsia="仿宋"/>
          <w:sz w:val="32"/>
          <w:shd w:val="clear" w:color="auto" w:fill="FFFFFF"/>
        </w:rPr>
        <w:t>算内投资项目稽查、检查等费用</w:t>
      </w:r>
      <w:r>
        <w:rPr>
          <w:rFonts w:eastAsia="仿宋_GB2312"/>
          <w:sz w:val="32"/>
          <w:szCs w:val="32"/>
        </w:rPr>
        <w:t>。国内公务接待84批次，1024人次（不包括陪同人员），共计支出13.48万元，具体内容包括：</w:t>
      </w:r>
      <w:r>
        <w:rPr>
          <w:rFonts w:eastAsia="仿宋"/>
          <w:sz w:val="32"/>
          <w:shd w:val="clear" w:color="auto" w:fill="FFFFFF"/>
        </w:rPr>
        <w:t>兄弟省市及各市州重大交流合作活动，内蒙、重庆市、宁夏、江西省等考察团来川考察交流的用餐费、会场租赁费、交通费以及接待国家重大政策调研、中央预算内投资项目稽查、检查等费用。</w:t>
      </w:r>
    </w:p>
    <w:p>
      <w:pPr>
        <w:spacing w:line="540" w:lineRule="exact"/>
        <w:ind w:firstLine="643" w:firstLineChars="20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w:t>
      </w:r>
      <w:bookmarkStart w:id="64" w:name="_Toc15396610"/>
      <w:bookmarkStart w:id="65" w:name="_Toc15377218"/>
    </w:p>
    <w:p>
      <w:pPr>
        <w:spacing w:line="540" w:lineRule="exact"/>
        <w:ind w:firstLine="640"/>
        <w:outlineLvl w:val="1"/>
        <w:rPr>
          <w:rStyle w:val="34"/>
          <w:rFonts w:ascii="Times New Roman" w:hAnsi="Times New Roman" w:eastAsia="黑体" w:cs="Times New Roman"/>
        </w:rPr>
      </w:pPr>
      <w:bookmarkStart w:id="66" w:name="_Toc14292"/>
      <w:r>
        <w:rPr>
          <w:rFonts w:eastAsia="黑体"/>
          <w:sz w:val="32"/>
          <w:szCs w:val="32"/>
        </w:rPr>
        <w:t>八、</w:t>
      </w:r>
      <w:r>
        <w:rPr>
          <w:rStyle w:val="34"/>
          <w:rFonts w:ascii="Times New Roman" w:hAnsi="Times New Roman" w:eastAsia="黑体" w:cs="Times New Roman"/>
          <w:b w:val="0"/>
        </w:rPr>
        <w:t>政府性基金预算支出决算情况说明</w:t>
      </w:r>
      <w:bookmarkEnd w:id="64"/>
      <w:bookmarkEnd w:id="65"/>
      <w:bookmarkEnd w:id="66"/>
    </w:p>
    <w:p>
      <w:pPr>
        <w:spacing w:line="540" w:lineRule="exact"/>
        <w:ind w:firstLine="640"/>
        <w:rPr>
          <w:rFonts w:eastAsia="仿宋_GB2312"/>
          <w:sz w:val="32"/>
          <w:szCs w:val="32"/>
        </w:rPr>
      </w:pPr>
      <w:r>
        <w:rPr>
          <w:rFonts w:eastAsia="仿宋_GB2312"/>
          <w:sz w:val="32"/>
          <w:szCs w:val="32"/>
        </w:rPr>
        <w:t>2020年政府性基金预算财政拨款支出0万元。</w:t>
      </w:r>
    </w:p>
    <w:p>
      <w:pPr>
        <w:numPr>
          <w:ilvl w:val="0"/>
          <w:numId w:val="2"/>
        </w:numPr>
        <w:spacing w:line="540" w:lineRule="exact"/>
        <w:ind w:firstLine="640"/>
        <w:outlineLvl w:val="1"/>
        <w:rPr>
          <w:rStyle w:val="34"/>
          <w:rFonts w:ascii="Times New Roman" w:hAnsi="Times New Roman" w:eastAsia="黑体" w:cs="Times New Roman"/>
          <w:b w:val="0"/>
        </w:rPr>
      </w:pPr>
      <w:bookmarkStart w:id="67" w:name="_Toc15377219"/>
      <w:bookmarkStart w:id="68" w:name="_Toc3502"/>
      <w:bookmarkStart w:id="69" w:name="_Toc15396611"/>
      <w:r>
        <w:rPr>
          <w:rStyle w:val="34"/>
          <w:rFonts w:ascii="Times New Roman" w:hAnsi="Times New Roman" w:eastAsia="黑体" w:cs="Times New Roman"/>
          <w:b w:val="0"/>
        </w:rPr>
        <w:t>国有资本经营预算支出决算情况说明</w:t>
      </w:r>
      <w:bookmarkEnd w:id="67"/>
      <w:bookmarkEnd w:id="68"/>
      <w:bookmarkEnd w:id="69"/>
    </w:p>
    <w:p>
      <w:pPr>
        <w:spacing w:line="540" w:lineRule="exact"/>
        <w:ind w:firstLine="640"/>
        <w:rPr>
          <w:rFonts w:eastAsia="仿宋_GB2312"/>
          <w:sz w:val="32"/>
          <w:szCs w:val="32"/>
        </w:rPr>
      </w:pPr>
      <w:r>
        <w:rPr>
          <w:rFonts w:eastAsia="仿宋_GB2312"/>
          <w:sz w:val="32"/>
          <w:szCs w:val="32"/>
        </w:rPr>
        <w:t>2020年国有资本经营预算财政拨款支出0万元。</w:t>
      </w:r>
    </w:p>
    <w:p>
      <w:pPr>
        <w:numPr>
          <w:ilvl w:val="0"/>
          <w:numId w:val="2"/>
        </w:numPr>
        <w:spacing w:line="540" w:lineRule="exact"/>
        <w:ind w:firstLine="640"/>
        <w:outlineLvl w:val="1"/>
        <w:rPr>
          <w:rStyle w:val="34"/>
          <w:rFonts w:ascii="Times New Roman" w:hAnsi="Times New Roman" w:eastAsia="黑体" w:cs="Times New Roman"/>
          <w:b w:val="0"/>
        </w:rPr>
      </w:pPr>
      <w:bookmarkStart w:id="70" w:name="_Toc15377221"/>
      <w:bookmarkStart w:id="71" w:name="_Toc15396612"/>
      <w:bookmarkStart w:id="72" w:name="_Toc6879"/>
      <w:r>
        <w:rPr>
          <w:rStyle w:val="34"/>
          <w:rFonts w:ascii="Times New Roman" w:hAnsi="Times New Roman" w:eastAsia="黑体" w:cs="Times New Roman"/>
          <w:b w:val="0"/>
        </w:rPr>
        <w:t>其他重要事项的情况说明</w:t>
      </w:r>
      <w:bookmarkEnd w:id="70"/>
      <w:bookmarkEnd w:id="71"/>
      <w:bookmarkEnd w:id="72"/>
    </w:p>
    <w:p>
      <w:pPr>
        <w:spacing w:line="540" w:lineRule="exact"/>
        <w:ind w:firstLine="643" w:firstLineChars="200"/>
        <w:outlineLvl w:val="2"/>
        <w:rPr>
          <w:rFonts w:eastAsia="楷体_GB2312"/>
          <w:sz w:val="32"/>
          <w:szCs w:val="32"/>
        </w:rPr>
      </w:pPr>
      <w:bookmarkStart w:id="73" w:name="_Toc15377222"/>
      <w:bookmarkStart w:id="74" w:name="_Toc8129"/>
      <w:r>
        <w:rPr>
          <w:rFonts w:eastAsia="楷体_GB2312"/>
          <w:b/>
          <w:sz w:val="32"/>
          <w:szCs w:val="32"/>
        </w:rPr>
        <w:t>（一）机关运行经费支出情况</w:t>
      </w:r>
      <w:bookmarkEnd w:id="73"/>
      <w:bookmarkEnd w:id="74"/>
    </w:p>
    <w:p>
      <w:pPr>
        <w:spacing w:line="540" w:lineRule="exact"/>
        <w:ind w:firstLine="640" w:firstLineChars="200"/>
        <w:rPr>
          <w:rFonts w:eastAsia="仿宋_GB2312"/>
          <w:sz w:val="32"/>
          <w:szCs w:val="32"/>
        </w:rPr>
      </w:pPr>
      <w:r>
        <w:rPr>
          <w:rFonts w:eastAsia="仿宋_GB2312"/>
          <w:sz w:val="32"/>
          <w:szCs w:val="32"/>
        </w:rPr>
        <w:t>2020年，</w:t>
      </w:r>
      <w:r>
        <w:rPr>
          <w:rFonts w:eastAsia="仿宋"/>
          <w:sz w:val="32"/>
          <w:shd w:val="clear" w:color="auto" w:fill="FFFFFF"/>
        </w:rPr>
        <w:t>省发展改革委</w:t>
      </w:r>
      <w:r>
        <w:rPr>
          <w:rFonts w:eastAsia="仿宋_GB2312"/>
          <w:sz w:val="32"/>
          <w:szCs w:val="32"/>
        </w:rPr>
        <w:t>机关运行经费支出2662.33万元，比2019年减少59.59万元，下降2.19%。</w:t>
      </w:r>
    </w:p>
    <w:p>
      <w:pPr>
        <w:autoSpaceDE w:val="0"/>
        <w:autoSpaceDN w:val="0"/>
        <w:adjustRightInd w:val="0"/>
        <w:spacing w:line="540" w:lineRule="exact"/>
        <w:ind w:firstLine="643" w:firstLineChars="200"/>
        <w:jc w:val="left"/>
        <w:outlineLvl w:val="2"/>
        <w:rPr>
          <w:rFonts w:eastAsia="楷体_GB2312"/>
          <w:b/>
          <w:sz w:val="32"/>
          <w:szCs w:val="32"/>
        </w:rPr>
      </w:pPr>
      <w:bookmarkStart w:id="75" w:name="_Toc16811"/>
      <w:bookmarkStart w:id="76" w:name="_Toc15377223"/>
      <w:r>
        <w:rPr>
          <w:rFonts w:eastAsia="楷体_GB2312"/>
          <w:b/>
          <w:sz w:val="32"/>
          <w:szCs w:val="32"/>
        </w:rPr>
        <w:t>（二）政府采购支出情况</w:t>
      </w:r>
      <w:bookmarkEnd w:id="75"/>
      <w:bookmarkEnd w:id="76"/>
    </w:p>
    <w:p>
      <w:pPr>
        <w:spacing w:line="540" w:lineRule="exact"/>
        <w:ind w:firstLine="640" w:firstLineChars="200"/>
        <w:rPr>
          <w:rFonts w:eastAsia="仿宋_GB2312"/>
          <w:sz w:val="32"/>
          <w:szCs w:val="32"/>
        </w:rPr>
      </w:pPr>
      <w:r>
        <w:rPr>
          <w:rFonts w:eastAsia="仿宋_GB2312"/>
          <w:sz w:val="32"/>
          <w:szCs w:val="32"/>
        </w:rPr>
        <w:t>2020年，</w:t>
      </w:r>
      <w:r>
        <w:rPr>
          <w:rFonts w:eastAsia="仿宋"/>
          <w:sz w:val="32"/>
          <w:shd w:val="clear" w:color="auto" w:fill="FFFFFF"/>
        </w:rPr>
        <w:t>省发展改革委</w:t>
      </w:r>
      <w:r>
        <w:rPr>
          <w:rFonts w:eastAsia="仿宋_GB2312"/>
          <w:sz w:val="32"/>
          <w:szCs w:val="32"/>
        </w:rPr>
        <w:t>机关政府采购支出总额939.03万元，其中：政府采购货物支出22.28万元、政府采购工程支出147.72万元、政府采购服务支出765.03万元。主要用于用于</w:t>
      </w:r>
      <w:r>
        <w:rPr>
          <w:rFonts w:eastAsia="仿宋"/>
          <w:sz w:val="32"/>
          <w:shd w:val="clear" w:color="auto" w:fill="FFFFFF"/>
        </w:rPr>
        <w:t>省发展改革委机关和下属单位采购台式、笔记本电脑、复印机、传真机、打印机、办公用纸张、办公家俱以及物业管理、公务用车的维护保养(</w:t>
      </w:r>
      <w:r>
        <w:fldChar w:fldCharType="begin"/>
      </w:r>
      <w:r>
        <w:instrText xml:space="preserve"> HYPERLINK "http://www.so.com/s?q=车辆保险&amp;ie=utf-8&amp;src=wenda_link" </w:instrText>
      </w:r>
      <w:r>
        <w:fldChar w:fldCharType="separate"/>
      </w:r>
      <w:r>
        <w:rPr>
          <w:rFonts w:eastAsia="仿宋"/>
          <w:sz w:val="32"/>
        </w:rPr>
        <w:t>车辆保险</w:t>
      </w:r>
      <w:r>
        <w:rPr>
          <w:rFonts w:eastAsia="仿宋"/>
          <w:sz w:val="32"/>
        </w:rPr>
        <w:fldChar w:fldCharType="end"/>
      </w:r>
      <w:r>
        <w:rPr>
          <w:rFonts w:eastAsia="仿宋"/>
          <w:sz w:val="32"/>
          <w:shd w:val="clear" w:color="auto" w:fill="FFFFFF"/>
        </w:rPr>
        <w:t>、车辆维修、燃油等)、会议、软件开发等服务类型</w:t>
      </w:r>
      <w:r>
        <w:rPr>
          <w:rFonts w:eastAsia="仿宋_GB2312"/>
          <w:sz w:val="32"/>
          <w:szCs w:val="32"/>
        </w:rPr>
        <w:t>。授予中小企业合同金额314.46万元，占政府采购支出总额的33.49%，其中：授予小微企业合同金额314.46万元，占政府采购支出总额的33.49%。</w:t>
      </w:r>
    </w:p>
    <w:p>
      <w:pPr>
        <w:autoSpaceDE w:val="0"/>
        <w:autoSpaceDN w:val="0"/>
        <w:adjustRightInd w:val="0"/>
        <w:spacing w:line="540" w:lineRule="exact"/>
        <w:ind w:firstLine="643" w:firstLineChars="200"/>
        <w:jc w:val="left"/>
        <w:outlineLvl w:val="2"/>
        <w:rPr>
          <w:rFonts w:eastAsia="楷体_GB2312"/>
          <w:b/>
          <w:sz w:val="32"/>
          <w:szCs w:val="32"/>
        </w:rPr>
      </w:pPr>
      <w:bookmarkStart w:id="77" w:name="_Toc15377224"/>
      <w:bookmarkStart w:id="78" w:name="_Toc26727"/>
      <w:r>
        <w:rPr>
          <w:rFonts w:eastAsia="楷体_GB2312"/>
          <w:b/>
          <w:sz w:val="32"/>
          <w:szCs w:val="32"/>
        </w:rPr>
        <w:t>（三）国有资产占有使用情况</w:t>
      </w:r>
      <w:bookmarkEnd w:id="77"/>
      <w:bookmarkEnd w:id="78"/>
    </w:p>
    <w:p>
      <w:pPr>
        <w:autoSpaceDE w:val="0"/>
        <w:autoSpaceDN w:val="0"/>
        <w:adjustRightInd w:val="0"/>
        <w:spacing w:line="540" w:lineRule="exact"/>
        <w:ind w:firstLine="640" w:firstLineChars="200"/>
        <w:jc w:val="left"/>
        <w:rPr>
          <w:rFonts w:eastAsia="仿宋_GB2312"/>
          <w:sz w:val="32"/>
          <w:szCs w:val="32"/>
        </w:rPr>
      </w:pPr>
      <w:r>
        <w:rPr>
          <w:rFonts w:eastAsia="仿宋_GB2312"/>
          <w:sz w:val="32"/>
          <w:szCs w:val="32"/>
        </w:rPr>
        <w:t>截至2020年12月31日，</w:t>
      </w:r>
      <w:r>
        <w:rPr>
          <w:rFonts w:eastAsia="仿宋"/>
          <w:sz w:val="32"/>
          <w:shd w:val="clear" w:color="auto" w:fill="FFFFFF"/>
        </w:rPr>
        <w:t>省发展改革委</w:t>
      </w:r>
      <w:r>
        <w:rPr>
          <w:rFonts w:eastAsia="仿宋_GB2312"/>
          <w:sz w:val="32"/>
          <w:szCs w:val="32"/>
        </w:rPr>
        <w:t>机关运行共有车辆24辆，其中：离退休干部用车8辆、机要通信用车1辆、应急保障用车5辆、其他用车10辆，其他用车</w:t>
      </w:r>
      <w:r>
        <w:rPr>
          <w:rFonts w:eastAsia="仿宋"/>
          <w:sz w:val="32"/>
          <w:szCs w:val="32"/>
        </w:rPr>
        <w:t>主要是用于机要通信、应急保障、离退休干部用车之外的必要公务用途。</w:t>
      </w:r>
      <w:r>
        <w:rPr>
          <w:rFonts w:eastAsia="仿宋_GB2312"/>
          <w:sz w:val="32"/>
          <w:szCs w:val="32"/>
        </w:rPr>
        <w:t>单价50万元以上通用设备4台（套），单价100万元以上专用设备0台（套）。</w:t>
      </w:r>
    </w:p>
    <w:p>
      <w:pPr>
        <w:autoSpaceDE w:val="0"/>
        <w:autoSpaceDN w:val="0"/>
        <w:adjustRightInd w:val="0"/>
        <w:spacing w:line="540" w:lineRule="exact"/>
        <w:ind w:firstLine="643" w:firstLineChars="200"/>
        <w:jc w:val="left"/>
        <w:outlineLvl w:val="2"/>
        <w:rPr>
          <w:rFonts w:eastAsia="楷体_GB2312"/>
          <w:b/>
          <w:sz w:val="32"/>
          <w:szCs w:val="32"/>
        </w:rPr>
      </w:pPr>
      <w:bookmarkStart w:id="79" w:name="_Toc13364"/>
      <w:r>
        <w:rPr>
          <w:rFonts w:eastAsia="楷体_GB2312"/>
          <w:b/>
          <w:sz w:val="32"/>
          <w:szCs w:val="32"/>
        </w:rPr>
        <w:t>（四）预算绩效管理情况</w:t>
      </w:r>
      <w:bookmarkEnd w:id="79"/>
    </w:p>
    <w:p>
      <w:pPr>
        <w:spacing w:line="540" w:lineRule="exact"/>
        <w:ind w:firstLine="640" w:firstLineChars="200"/>
        <w:rPr>
          <w:rFonts w:eastAsia="仿宋_GB2312"/>
          <w:sz w:val="32"/>
          <w:szCs w:val="32"/>
        </w:rPr>
      </w:pPr>
      <w:r>
        <w:rPr>
          <w:rFonts w:eastAsia="仿宋_GB2312"/>
          <w:sz w:val="32"/>
          <w:szCs w:val="32"/>
        </w:rPr>
        <w:t>根据预算绩效管理要求，本单位在年初预算编制阶段，对4个项目编制了绩效目标，预算执行过程中，选取4个项目开展绩效监控，年终执行完毕后，对4个项目开展了绩效目标完成情况自评。</w:t>
      </w:r>
    </w:p>
    <w:p>
      <w:pPr>
        <w:snapToGrid w:val="0"/>
        <w:spacing w:line="540" w:lineRule="exact"/>
        <w:ind w:firstLine="640" w:firstLineChars="200"/>
        <w:rPr>
          <w:rFonts w:eastAsia="仿宋_GB2312"/>
          <w:sz w:val="32"/>
          <w:szCs w:val="32"/>
        </w:rPr>
      </w:pPr>
      <w:r>
        <w:rPr>
          <w:rFonts w:eastAsia="仿宋_GB2312"/>
          <w:sz w:val="32"/>
          <w:szCs w:val="32"/>
        </w:rPr>
        <w:t>本单位按要求对2020年单位整体支出开展绩效自评，</w:t>
      </w:r>
      <w:r>
        <w:rPr>
          <w:rFonts w:eastAsia="仿宋_GB2312"/>
          <w:kern w:val="0"/>
          <w:sz w:val="32"/>
          <w:szCs w:val="32"/>
          <w:shd w:val="clear" w:color="auto" w:fill="FFFFFF"/>
        </w:rPr>
        <w:t>从评价情况来看，</w:t>
      </w:r>
      <w:r>
        <w:rPr>
          <w:rFonts w:eastAsia="仿宋_GB2312"/>
          <w:sz w:val="32"/>
          <w:szCs w:val="32"/>
        </w:rPr>
        <w:t>财务制度较健全，财务管理较规范，全年基本支出保障了单位的正常运行和日程工作的正常开展，项目支出保障了重点工作的开展，达到了预期绩效目标和预期经济效果。本单位还自行组织了4个项目支出绩效评价，从评价情况来看，各项目绩效目标完成情况较好，实现了预期目标，充分发挥了财政资金的各项效益</w:t>
      </w:r>
    </w:p>
    <w:p>
      <w:pPr>
        <w:snapToGrid w:val="0"/>
        <w:spacing w:line="540" w:lineRule="exact"/>
        <w:ind w:firstLine="640" w:firstLineChars="200"/>
        <w:rPr>
          <w:rFonts w:hint="eastAsia" w:eastAsia="楷体_GB2312"/>
          <w:sz w:val="32"/>
          <w:szCs w:val="32"/>
          <w:lang w:eastAsia="zh-CN"/>
        </w:rPr>
      </w:pPr>
      <w:r>
        <w:rPr>
          <w:rFonts w:eastAsia="楷体_GB2312"/>
          <w:sz w:val="32"/>
          <w:szCs w:val="32"/>
        </w:rPr>
        <w:t>1.项目绩效目标完成情况。</w:t>
      </w:r>
    </w:p>
    <w:p>
      <w:pPr>
        <w:snapToGrid w:val="0"/>
        <w:spacing w:line="540" w:lineRule="exact"/>
        <w:ind w:firstLine="640" w:firstLineChars="200"/>
        <w:rPr>
          <w:rFonts w:eastAsia="仿宋_GB2312"/>
          <w:sz w:val="32"/>
          <w:szCs w:val="32"/>
        </w:rPr>
      </w:pPr>
      <w:r>
        <w:rPr>
          <w:rFonts w:eastAsia="仿宋_GB2312"/>
          <w:sz w:val="32"/>
          <w:szCs w:val="32"/>
        </w:rPr>
        <w:t xml:space="preserve">    本单位在2020年度部门决算中反映“‘十四五’规划前期工作专项经费”“四川省营商环境第三方评价专项经费（上年结转）”“四川省易地扶贫搬迁购买服务费用”“委机关办公用房维修专项资金（上年结转）”等4个项目绩效目标实际完成情况。</w:t>
      </w:r>
    </w:p>
    <w:p>
      <w:pPr>
        <w:snapToGrid w:val="0"/>
        <w:spacing w:line="540" w:lineRule="exact"/>
        <w:ind w:firstLine="640" w:firstLineChars="200"/>
        <w:rPr>
          <w:rFonts w:eastAsia="仿宋_GB2312"/>
          <w:sz w:val="32"/>
          <w:szCs w:val="32"/>
        </w:rPr>
      </w:pPr>
      <w:r>
        <w:rPr>
          <w:rFonts w:eastAsia="仿宋_GB2312"/>
          <w:sz w:val="32"/>
          <w:szCs w:val="32"/>
        </w:rPr>
        <w:t>（1）“十四五”规划前期工作专项经费项目绩效目标完成情况综述。项目全年预算数400万元，执行数为385万元，完成预算的96.25%。本项目通过27个课题研究和省“十四五”规划《基本思路》研究，进一步深化了对全省“十四五”时期经济社会发展重大问题的认识，对我省“十四五”规划《基本思路》起草和规划《纲要》编制提供了有力支撑。</w:t>
      </w:r>
    </w:p>
    <w:p>
      <w:pPr>
        <w:spacing w:line="540" w:lineRule="exact"/>
        <w:ind w:firstLine="640" w:firstLineChars="200"/>
        <w:rPr>
          <w:rFonts w:eastAsia="仿宋_GB2312"/>
          <w:sz w:val="32"/>
          <w:szCs w:val="32"/>
        </w:rPr>
      </w:pPr>
      <w:r>
        <w:rPr>
          <w:rFonts w:eastAsia="仿宋_GB2312"/>
          <w:sz w:val="32"/>
          <w:szCs w:val="32"/>
        </w:rPr>
        <w:t>（2）四川省营商环境第三方评价专项经费（上年结转）项目绩效目标完成情况综述。项目全年预算数350万元，执行数为240.44万元，完成预算的68.7%。本项目是对全省营商环境现状进行综合分析，对各市（州）进行综合排名和单项排名，形成《四川省营商环境评价报告（2019年度）》《四川省营商环境评价报告—民营经济发展报告》《2019年市（州）营商环境评价报告》，评价结果作为各地“营商便利度”的考核依据和营商环境指标提升专项行动成效的评估依据，为各地各有关部门（单位）对标整改、优化提升提供重要参考。为我省制定《四川省2020年营商环境指标提升方案》提供了强有力的数据和理论支撑，各地各部门借鉴学习评价梳理总结的典型案例，细化提升方案，形成竞相推进改革的生动局面。</w:t>
      </w:r>
    </w:p>
    <w:p>
      <w:pPr>
        <w:spacing w:line="540" w:lineRule="exact"/>
        <w:ind w:firstLine="640" w:firstLineChars="200"/>
        <w:rPr>
          <w:rFonts w:eastAsia="仿宋_GB2312"/>
          <w:sz w:val="32"/>
          <w:szCs w:val="32"/>
        </w:rPr>
      </w:pPr>
      <w:r>
        <w:rPr>
          <w:rFonts w:eastAsia="仿宋_GB2312"/>
          <w:sz w:val="32"/>
          <w:szCs w:val="32"/>
        </w:rPr>
        <w:t>（3）四川省易地扶贫搬迁购买服务费用项目绩效目标完成情况综述。项目全年预算数485万元，执行数为485万元，完成预算的100%。该项目主要用于向省国农公司购买易地扶贫搬迁投融资服务，要求省国农公司按期完成已经下达易地扶贫搬迁项目资金的还款利息归集和偿还，做好易地扶贫搬迁项目资金的监督管理工作，确保足额、及时完成还款任务。</w:t>
      </w:r>
      <w:r>
        <w:rPr>
          <w:sz w:val="32"/>
          <w:szCs w:val="32"/>
        </w:rPr>
        <w:t>省国农</w:t>
      </w:r>
      <w:r>
        <w:rPr>
          <w:rFonts w:eastAsia="仿宋_GB2312"/>
          <w:sz w:val="32"/>
          <w:szCs w:val="32"/>
        </w:rPr>
        <w:t>公司对易地扶贫搬迁投融资管理工作高度重视，定位准确，管理规范，制度健全，工作资料完备，工作成效明显，全面完成了2020年度投融资服务工作，较好地完成了省委、省政府及省级有关部门交办任务，地方平台公司评价满意度高。</w:t>
      </w:r>
    </w:p>
    <w:p>
      <w:pPr>
        <w:pStyle w:val="2"/>
        <w:spacing w:line="540" w:lineRule="exact"/>
        <w:ind w:left="0" w:leftChars="0" w:firstLine="640" w:firstLineChars="0"/>
        <w:rPr>
          <w:rFonts w:eastAsia="仿宋_GB2312"/>
          <w:sz w:val="32"/>
          <w:szCs w:val="32"/>
        </w:rPr>
      </w:pPr>
      <w:r>
        <w:rPr>
          <w:rFonts w:eastAsia="仿宋_GB2312"/>
          <w:sz w:val="32"/>
          <w:szCs w:val="32"/>
        </w:rPr>
        <w:t>（4）委机关办公用房维修专项资金（上年结转）项目绩效目标完成情况综述。项目全年预算数207.81万元，执行数为183.36万元，完成预算的88.23%。通过此项目，较好的改善了机关办公条件，激发了广大干部职工的工作热情。</w:t>
      </w:r>
    </w:p>
    <w:tbl>
      <w:tblPr>
        <w:tblStyle w:val="2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08"/>
        <w:gridCol w:w="9"/>
        <w:gridCol w:w="1040"/>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hint="eastAsia" w:eastAsia="方正小标宋简体"/>
                <w:kern w:val="0"/>
                <w:sz w:val="32"/>
                <w:szCs w:val="32"/>
                <w:lang w:eastAsia="zh-CN"/>
              </w:rPr>
            </w:pPr>
            <w:r>
              <w:rPr>
                <w:rFonts w:eastAsia="方正小标宋简体"/>
                <w:kern w:val="0"/>
                <w:sz w:val="32"/>
                <w:szCs w:val="32"/>
              </w:rPr>
              <w:t>项目绩效目标完成情况表</w:t>
            </w:r>
          </w:p>
          <w:p>
            <w:pPr>
              <w:jc w:val="center"/>
              <w:textAlignment w:val="center"/>
              <w:rPr>
                <w:sz w:val="36"/>
                <w:szCs w:val="36"/>
              </w:rPr>
            </w:pPr>
            <w:r>
              <w:rPr>
                <w:rFonts w:eastAsia="方正小标宋简体"/>
                <w:kern w:val="0"/>
                <w:sz w:val="32"/>
                <w:szCs w:val="32"/>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“十四五”规划前期工作专项经费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四川省发展和改革委员会机关</w:t>
            </w:r>
          </w:p>
        </w:tc>
      </w:tr>
      <w:tr>
        <w:tblPrEx>
          <w:tblCellMar>
            <w:top w:w="0" w:type="dxa"/>
            <w:left w:w="0" w:type="dxa"/>
            <w:bottom w:w="0" w:type="dxa"/>
            <w:right w:w="0" w:type="dxa"/>
          </w:tblCellMar>
        </w:tblPrEx>
        <w:trPr>
          <w:trHeight w:val="55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预算执行情况(万元)</w:t>
            </w:r>
          </w:p>
        </w:tc>
        <w:tc>
          <w:tcPr>
            <w:tcW w:w="2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400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385</w:t>
            </w:r>
          </w:p>
        </w:tc>
      </w:tr>
      <w:tr>
        <w:tblPrEx>
          <w:tblCellMar>
            <w:top w:w="0" w:type="dxa"/>
            <w:left w:w="0" w:type="dxa"/>
            <w:bottom w:w="0" w:type="dxa"/>
            <w:right w:w="0" w:type="dxa"/>
          </w:tblCellMar>
        </w:tblPrEx>
        <w:trPr>
          <w:trHeight w:val="276"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400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385</w:t>
            </w:r>
          </w:p>
        </w:tc>
      </w:tr>
      <w:tr>
        <w:tblPrEx>
          <w:tblCellMar>
            <w:top w:w="0" w:type="dxa"/>
            <w:left w:w="0" w:type="dxa"/>
            <w:bottom w:w="0" w:type="dxa"/>
            <w:right w:w="0" w:type="dxa"/>
          </w:tblCellMar>
        </w:tblPrEx>
        <w:trPr>
          <w:trHeight w:val="316"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r>
      <w:tr>
        <w:tblPrEx>
          <w:tblCellMar>
            <w:top w:w="0" w:type="dxa"/>
            <w:left w:w="0" w:type="dxa"/>
            <w:bottom w:w="0" w:type="dxa"/>
            <w:right w:w="0" w:type="dxa"/>
          </w:tblCellMar>
        </w:tblPrEx>
        <w:trPr>
          <w:trHeight w:val="276"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年度目标完成情况</w:t>
            </w:r>
          </w:p>
        </w:tc>
        <w:tc>
          <w:tcPr>
            <w:tcW w:w="44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实际完成目标</w:t>
            </w:r>
          </w:p>
        </w:tc>
      </w:tr>
      <w:tr>
        <w:tblPrEx>
          <w:tblCellMar>
            <w:top w:w="0" w:type="dxa"/>
            <w:left w:w="0" w:type="dxa"/>
            <w:bottom w:w="0" w:type="dxa"/>
            <w:right w:w="0" w:type="dxa"/>
          </w:tblCellMar>
        </w:tblPrEx>
        <w:trPr>
          <w:trHeight w:val="1159"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44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围绕我省“十四五”时期全局性、战略性、基础性问题，委托有关研究单位，开展“十四五”规划前期研究课题27个，完成“十四五”规划《基本思路》研究报告1个。</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“十四五”规划前期研究课题27个，“十四五”规划《基本思路》研究报告1个，均全部完成</w:t>
            </w:r>
          </w:p>
        </w:tc>
      </w:tr>
      <w:tr>
        <w:tblPrEx>
          <w:tblCellMar>
            <w:top w:w="0" w:type="dxa"/>
            <w:left w:w="0" w:type="dxa"/>
            <w:bottom w:w="0" w:type="dxa"/>
            <w:right w:w="0" w:type="dxa"/>
          </w:tblCellMar>
        </w:tblPrEx>
        <w:trPr>
          <w:trHeight w:val="847" w:hRule="atLeast"/>
          <w:jc w:val="center"/>
        </w:trPr>
        <w:tc>
          <w:tcPr>
            <w:tcW w:w="70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绩效指标完成情况</w:t>
            </w:r>
          </w:p>
        </w:tc>
        <w:tc>
          <w:tcPr>
            <w:tcW w:w="1049" w:type="dxa"/>
            <w:gridSpan w:val="2"/>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sz w:val="20"/>
                <w:szCs w:val="20"/>
              </w:rPr>
            </w:pPr>
            <w:r>
              <w:rPr>
                <w:kern w:val="0"/>
                <w:sz w:val="20"/>
                <w:szCs w:val="20"/>
              </w:rPr>
              <w:t>一级指标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实际完成指标值(包含数字及文字描述)</w:t>
            </w:r>
          </w:p>
        </w:tc>
      </w:tr>
      <w:tr>
        <w:tblPrEx>
          <w:tblCellMar>
            <w:top w:w="0" w:type="dxa"/>
            <w:left w:w="0" w:type="dxa"/>
            <w:bottom w:w="0" w:type="dxa"/>
            <w:right w:w="0" w:type="dxa"/>
          </w:tblCellMar>
        </w:tblPrEx>
        <w:trPr>
          <w:trHeight w:val="663" w:hRule="atLeast"/>
          <w:jc w:val="center"/>
        </w:trPr>
        <w:tc>
          <w:tcPr>
            <w:tcW w:w="708" w:type="dxa"/>
            <w:vMerge w:val="continue"/>
            <w:tcBorders>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完成课题研究报告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27</w:t>
            </w:r>
          </w:p>
        </w:tc>
      </w:tr>
      <w:tr>
        <w:tblPrEx>
          <w:tblCellMar>
            <w:top w:w="0" w:type="dxa"/>
            <w:left w:w="0" w:type="dxa"/>
            <w:bottom w:w="0" w:type="dxa"/>
            <w:right w:w="0" w:type="dxa"/>
          </w:tblCellMar>
        </w:tblPrEx>
        <w:trPr>
          <w:trHeight w:val="727" w:hRule="atLeast"/>
          <w:jc w:val="center"/>
        </w:trPr>
        <w:tc>
          <w:tcPr>
            <w:tcW w:w="708" w:type="dxa"/>
            <w:vMerge w:val="continue"/>
            <w:tcBorders>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完成“十四五”规划《基本思路》研究报告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w:t>
            </w:r>
          </w:p>
        </w:tc>
      </w:tr>
      <w:tr>
        <w:tblPrEx>
          <w:tblCellMar>
            <w:top w:w="0" w:type="dxa"/>
            <w:left w:w="0" w:type="dxa"/>
            <w:bottom w:w="0" w:type="dxa"/>
            <w:right w:w="0" w:type="dxa"/>
          </w:tblCellMar>
        </w:tblPrEx>
        <w:trPr>
          <w:trHeight w:val="702" w:hRule="atLeast"/>
          <w:jc w:val="center"/>
        </w:trPr>
        <w:tc>
          <w:tcPr>
            <w:tcW w:w="708" w:type="dxa"/>
            <w:vMerge w:val="continue"/>
            <w:tcBorders>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课题专家评审合格率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r>
      <w:tr>
        <w:tblPrEx>
          <w:tblCellMar>
            <w:top w:w="0" w:type="dxa"/>
            <w:left w:w="0" w:type="dxa"/>
            <w:bottom w:w="0" w:type="dxa"/>
            <w:right w:w="0" w:type="dxa"/>
          </w:tblCellMar>
        </w:tblPrEx>
        <w:trPr>
          <w:trHeight w:val="687" w:hRule="atLeast"/>
          <w:jc w:val="center"/>
        </w:trPr>
        <w:tc>
          <w:tcPr>
            <w:tcW w:w="708" w:type="dxa"/>
            <w:vMerge w:val="continue"/>
            <w:tcBorders>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kern w:val="0"/>
                <w:sz w:val="20"/>
                <w:szCs w:val="20"/>
              </w:rPr>
            </w:pPr>
            <w:r>
              <w:rPr>
                <w:kern w:val="0"/>
                <w:sz w:val="20"/>
                <w:szCs w:val="20"/>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项目完成时间节点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2020年上半年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2020年8月</w:t>
            </w:r>
          </w:p>
        </w:tc>
      </w:tr>
      <w:tr>
        <w:tblPrEx>
          <w:tblCellMar>
            <w:top w:w="0" w:type="dxa"/>
            <w:left w:w="0" w:type="dxa"/>
            <w:bottom w:w="0" w:type="dxa"/>
            <w:right w:w="0" w:type="dxa"/>
          </w:tblCellMar>
        </w:tblPrEx>
        <w:trPr>
          <w:trHeight w:val="712" w:hRule="atLeast"/>
          <w:jc w:val="center"/>
        </w:trPr>
        <w:tc>
          <w:tcPr>
            <w:tcW w:w="708" w:type="dxa"/>
            <w:vMerge w:val="continue"/>
            <w:tcBorders>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sz w:val="20"/>
                <w:szCs w:val="20"/>
              </w:rPr>
            </w:pPr>
            <w:r>
              <w:rPr>
                <w:kern w:val="0"/>
                <w:sz w:val="20"/>
                <w:szCs w:val="20"/>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对全省“十四五”时期经济发展重大问题认识程度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达成普遍共识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达成普遍共识</w:t>
            </w:r>
          </w:p>
        </w:tc>
      </w:tr>
      <w:tr>
        <w:tblPrEx>
          <w:tblCellMar>
            <w:top w:w="0" w:type="dxa"/>
            <w:left w:w="0" w:type="dxa"/>
            <w:bottom w:w="0" w:type="dxa"/>
            <w:right w:w="0" w:type="dxa"/>
          </w:tblCellMar>
        </w:tblPrEx>
        <w:trPr>
          <w:trHeight w:val="777" w:hRule="atLeast"/>
          <w:jc w:val="center"/>
        </w:trPr>
        <w:tc>
          <w:tcPr>
            <w:tcW w:w="708" w:type="dxa"/>
            <w:vMerge w:val="continue"/>
            <w:tcBorders>
              <w:left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sz w:val="20"/>
                <w:szCs w:val="20"/>
              </w:rPr>
            </w:pPr>
            <w:r>
              <w:rPr>
                <w:kern w:val="0"/>
                <w:sz w:val="20"/>
                <w:szCs w:val="20"/>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对全省“十四五”时期社会发展重大问题认识程度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达成普遍共识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达成普遍共识</w:t>
            </w:r>
          </w:p>
        </w:tc>
      </w:tr>
      <w:tr>
        <w:tblPrEx>
          <w:tblCellMar>
            <w:top w:w="0" w:type="dxa"/>
            <w:left w:w="0" w:type="dxa"/>
            <w:bottom w:w="0" w:type="dxa"/>
            <w:right w:w="0" w:type="dxa"/>
          </w:tblCellMar>
        </w:tblPrEx>
        <w:trPr>
          <w:trHeight w:val="762" w:hRule="atLeast"/>
          <w:jc w:val="center"/>
        </w:trPr>
        <w:tc>
          <w:tcPr>
            <w:tcW w:w="70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9"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jc w:val="center"/>
              <w:textAlignment w:val="center"/>
              <w:rPr>
                <w:sz w:val="20"/>
                <w:szCs w:val="20"/>
              </w:rPr>
            </w:pPr>
            <w:r>
              <w:rPr>
                <w:kern w:val="0"/>
                <w:sz w:val="20"/>
                <w:szCs w:val="20"/>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成果影响年限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≥5年</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eastAsia="方正小标宋简体"/>
                <w:kern w:val="0"/>
                <w:sz w:val="32"/>
                <w:szCs w:val="32"/>
              </w:rPr>
            </w:pPr>
          </w:p>
          <w:p>
            <w:pPr>
              <w:jc w:val="center"/>
              <w:textAlignment w:val="center"/>
              <w:rPr>
                <w:rFonts w:hint="eastAsia" w:eastAsia="方正小标宋简体"/>
                <w:kern w:val="0"/>
                <w:sz w:val="32"/>
                <w:szCs w:val="32"/>
                <w:lang w:eastAsia="zh-CN"/>
              </w:rPr>
            </w:pPr>
            <w:r>
              <w:rPr>
                <w:rFonts w:eastAsia="方正小标宋简体"/>
                <w:kern w:val="0"/>
                <w:sz w:val="32"/>
                <w:szCs w:val="32"/>
              </w:rPr>
              <w:t>项目绩效目标完成情况表</w:t>
            </w:r>
          </w:p>
          <w:p>
            <w:pPr>
              <w:jc w:val="center"/>
              <w:textAlignment w:val="center"/>
              <w:rPr>
                <w:sz w:val="20"/>
                <w:szCs w:val="20"/>
              </w:rPr>
            </w:pPr>
            <w:r>
              <w:rPr>
                <w:rFonts w:eastAsia="方正小标宋简体"/>
                <w:kern w:val="0"/>
                <w:sz w:val="32"/>
                <w:szCs w:val="32"/>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2019年四川省营商环境评价</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四川省发展和改革委员会机关</w:t>
            </w:r>
          </w:p>
        </w:tc>
      </w:tr>
      <w:tr>
        <w:tblPrEx>
          <w:tblCellMar>
            <w:top w:w="0" w:type="dxa"/>
            <w:left w:w="0" w:type="dxa"/>
            <w:bottom w:w="0" w:type="dxa"/>
            <w:right w:w="0" w:type="dxa"/>
          </w:tblCellMar>
        </w:tblPrEx>
        <w:trPr>
          <w:trHeight w:val="276" w:hRule="atLeast"/>
          <w:jc w:val="center"/>
        </w:trPr>
        <w:tc>
          <w:tcPr>
            <w:tcW w:w="7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预算执行情况(万元)</w:t>
            </w: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350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240.44</w:t>
            </w:r>
          </w:p>
        </w:tc>
      </w:tr>
      <w:tr>
        <w:tblPrEx>
          <w:tblCellMar>
            <w:top w:w="0" w:type="dxa"/>
            <w:left w:w="0" w:type="dxa"/>
            <w:bottom w:w="0" w:type="dxa"/>
            <w:right w:w="0" w:type="dxa"/>
          </w:tblCellMar>
        </w:tblPrEx>
        <w:trPr>
          <w:trHeight w:val="276"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350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240.44</w:t>
            </w:r>
          </w:p>
        </w:tc>
      </w:tr>
      <w:tr>
        <w:tblPrEx>
          <w:tblCellMar>
            <w:top w:w="0" w:type="dxa"/>
            <w:left w:w="0" w:type="dxa"/>
            <w:bottom w:w="0" w:type="dxa"/>
            <w:right w:w="0" w:type="dxa"/>
          </w:tblCellMar>
        </w:tblPrEx>
        <w:trPr>
          <w:trHeight w:val="506"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r>
      <w:tr>
        <w:tblPrEx>
          <w:tblCellMar>
            <w:top w:w="0" w:type="dxa"/>
            <w:left w:w="0" w:type="dxa"/>
            <w:bottom w:w="0" w:type="dxa"/>
            <w:right w:w="0" w:type="dxa"/>
          </w:tblCellMar>
        </w:tblPrEx>
        <w:trPr>
          <w:trHeight w:val="276" w:hRule="atLeast"/>
          <w:jc w:val="center"/>
        </w:trPr>
        <w:tc>
          <w:tcPr>
            <w:tcW w:w="7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年度目标完成情况</w:t>
            </w:r>
          </w:p>
        </w:tc>
        <w:tc>
          <w:tcPr>
            <w:tcW w:w="44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实际完成目标</w:t>
            </w:r>
          </w:p>
        </w:tc>
      </w:tr>
      <w:tr>
        <w:tblPrEx>
          <w:tblCellMar>
            <w:top w:w="0" w:type="dxa"/>
            <w:left w:w="0" w:type="dxa"/>
            <w:bottom w:w="0" w:type="dxa"/>
            <w:right w:w="0" w:type="dxa"/>
          </w:tblCellMar>
        </w:tblPrEx>
        <w:trPr>
          <w:trHeight w:val="1159"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44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聘请第三方服务机构，参考世行和国家营商环境评价指标，建立营商环境评价指标，通过定量数据搜集与定性访谈调研向结合的方法，对全省21个市（州）2019年度营商环境进行评价。参照先进地区的全新高效做法，结合全省现实情况，提出营商环境的改进提升建议，指导各地开展2020年度营商环境的优化工作，为省政府推进优化营商环境工作做决策依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委托第三方服务机构，建立营商环境评价指标，对全省21个市（州）2019年度营商环境进行评价。形成《四川省营商环境评价报告（2019年度）》《 四川省营商环境评价报告（民营经济发展报告）》，</w:t>
            </w:r>
            <w:r>
              <w:rPr>
                <w:rFonts w:hint="eastAsia"/>
                <w:sz w:val="20"/>
                <w:szCs w:val="20"/>
              </w:rPr>
              <w:t>于</w:t>
            </w:r>
            <w:r>
              <w:rPr>
                <w:sz w:val="20"/>
                <w:szCs w:val="20"/>
              </w:rPr>
              <w:t>2020年3月报送省政府主要领导，获得省领导肯定性批示。</w:t>
            </w:r>
          </w:p>
        </w:tc>
      </w:tr>
      <w:tr>
        <w:tblPrEx>
          <w:tblCellMar>
            <w:top w:w="0" w:type="dxa"/>
            <w:left w:w="0" w:type="dxa"/>
            <w:bottom w:w="0" w:type="dxa"/>
            <w:right w:w="0" w:type="dxa"/>
          </w:tblCellMar>
        </w:tblPrEx>
        <w:trPr>
          <w:trHeight w:val="727" w:hRule="atLeast"/>
          <w:jc w:val="center"/>
        </w:trPr>
        <w:tc>
          <w:tcPr>
            <w:tcW w:w="71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绩效指标完成情况</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实际完成指标值(包含数字及文字描述)</w:t>
            </w:r>
          </w:p>
        </w:tc>
      </w:tr>
      <w:tr>
        <w:tblPrEx>
          <w:tblCellMar>
            <w:top w:w="0" w:type="dxa"/>
            <w:left w:w="0" w:type="dxa"/>
            <w:bottom w:w="0" w:type="dxa"/>
            <w:right w:w="0" w:type="dxa"/>
          </w:tblCellMar>
        </w:tblPrEx>
        <w:trPr>
          <w:trHeight w:val="813"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用户数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省市县三级政府及各职能部门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省市县三级政府及各职能部门</w:t>
            </w:r>
          </w:p>
        </w:tc>
      </w:tr>
      <w:tr>
        <w:tblPrEx>
          <w:tblCellMar>
            <w:top w:w="0" w:type="dxa"/>
            <w:left w:w="0" w:type="dxa"/>
            <w:bottom w:w="0" w:type="dxa"/>
            <w:right w:w="0" w:type="dxa"/>
          </w:tblCellMar>
        </w:tblPrEx>
        <w:trPr>
          <w:trHeight w:val="67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对21个市州开展营商环境评价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1次</w:t>
            </w:r>
          </w:p>
        </w:tc>
      </w:tr>
      <w:tr>
        <w:tblPrEx>
          <w:tblCellMar>
            <w:top w:w="0" w:type="dxa"/>
            <w:left w:w="0" w:type="dxa"/>
            <w:bottom w:w="0" w:type="dxa"/>
            <w:right w:w="0" w:type="dxa"/>
          </w:tblCellMar>
        </w:tblPrEx>
        <w:trPr>
          <w:trHeight w:val="59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营商环境评价验收合格率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r>
      <w:tr>
        <w:tblPrEx>
          <w:tblCellMar>
            <w:top w:w="0" w:type="dxa"/>
            <w:left w:w="0" w:type="dxa"/>
            <w:bottom w:w="0" w:type="dxa"/>
            <w:right w:w="0" w:type="dxa"/>
          </w:tblCellMar>
        </w:tblPrEx>
        <w:trPr>
          <w:trHeight w:val="65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kern w:val="0"/>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2020年3月</w:t>
            </w:r>
          </w:p>
        </w:tc>
      </w:tr>
      <w:tr>
        <w:tblPrEx>
          <w:tblCellMar>
            <w:top w:w="0" w:type="dxa"/>
            <w:left w:w="0" w:type="dxa"/>
            <w:bottom w:w="0" w:type="dxa"/>
            <w:right w:w="0" w:type="dxa"/>
          </w:tblCellMar>
        </w:tblPrEx>
        <w:trPr>
          <w:trHeight w:val="59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r>
      <w:tr>
        <w:tblPrEx>
          <w:tblCellMar>
            <w:top w:w="0" w:type="dxa"/>
            <w:left w:w="0" w:type="dxa"/>
            <w:bottom w:w="0" w:type="dxa"/>
            <w:right w:w="0" w:type="dxa"/>
          </w:tblCellMar>
        </w:tblPrEx>
        <w:trPr>
          <w:trHeight w:val="682"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采购成本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350万元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240.44万元</w:t>
            </w:r>
          </w:p>
        </w:tc>
      </w:tr>
      <w:tr>
        <w:tblPrEx>
          <w:tblCellMar>
            <w:top w:w="0" w:type="dxa"/>
            <w:left w:w="0" w:type="dxa"/>
            <w:bottom w:w="0" w:type="dxa"/>
            <w:right w:w="0" w:type="dxa"/>
          </w:tblCellMar>
        </w:tblPrEx>
        <w:trPr>
          <w:trHeight w:val="129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对营商环境工作的促进作用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编制全省及21个市（州）的《营商环境报告》，衡量全省及各市州的营商环境。各级政府及职能部门可通过研究、分析、比对调查数据和改革范例，查找短板弱项有针对性地完善本地区、部门的营商环境。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形成《四川省营商环境评价报告（2019年度）》《 四川省营商环境评价报告（民营经济发展报告）》21个市（州）的《营商环境报告》，为省政府、各地各部门推进优化营商环境工作做决策依据。</w:t>
            </w:r>
          </w:p>
        </w:tc>
      </w:tr>
      <w:tr>
        <w:tblPrEx>
          <w:tblCellMar>
            <w:top w:w="0" w:type="dxa"/>
            <w:left w:w="0" w:type="dxa"/>
            <w:bottom w:w="0" w:type="dxa"/>
            <w:right w:w="0" w:type="dxa"/>
          </w:tblCellMar>
        </w:tblPrEx>
        <w:trPr>
          <w:trHeight w:val="69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438"/>
              </w:tabs>
              <w:jc w:val="center"/>
              <w:textAlignment w:val="center"/>
              <w:rPr>
                <w:sz w:val="20"/>
                <w:szCs w:val="20"/>
              </w:rPr>
            </w:pPr>
            <w:r>
              <w:rPr>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对营商环境工作影响年限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2年</w:t>
            </w:r>
          </w:p>
        </w:tc>
      </w:tr>
      <w:tr>
        <w:tblPrEx>
          <w:tblCellMar>
            <w:top w:w="0" w:type="dxa"/>
            <w:left w:w="0" w:type="dxa"/>
            <w:bottom w:w="0" w:type="dxa"/>
            <w:right w:w="0" w:type="dxa"/>
          </w:tblCellMar>
        </w:tblPrEx>
        <w:trPr>
          <w:trHeight w:val="682"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营商环境评价报告使用年限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1年</w:t>
            </w:r>
          </w:p>
        </w:tc>
      </w:tr>
      <w:tr>
        <w:tblPrEx>
          <w:tblCellMar>
            <w:top w:w="0" w:type="dxa"/>
            <w:left w:w="0" w:type="dxa"/>
            <w:bottom w:w="0" w:type="dxa"/>
            <w:right w:w="0" w:type="dxa"/>
          </w:tblCellMar>
        </w:tblPrEx>
        <w:trPr>
          <w:trHeight w:val="735" w:hRule="atLeast"/>
          <w:jc w:val="center"/>
        </w:trPr>
        <w:tc>
          <w:tcPr>
            <w:tcW w:w="71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满意度</w:t>
            </w:r>
          </w:p>
          <w:p>
            <w:pPr>
              <w:jc w:val="center"/>
              <w:textAlignment w:val="center"/>
              <w:rPr>
                <w:sz w:val="20"/>
                <w:szCs w:val="20"/>
              </w:rPr>
            </w:pPr>
            <w:r>
              <w:rPr>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用户满意度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&gt;90%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100%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b/>
                <w:bCs/>
                <w:kern w:val="0"/>
                <w:sz w:val="20"/>
                <w:szCs w:val="20"/>
              </w:rPr>
            </w:pPr>
          </w:p>
          <w:p>
            <w:pPr>
              <w:jc w:val="center"/>
              <w:textAlignment w:val="center"/>
              <w:rPr>
                <w:rFonts w:hint="eastAsia" w:eastAsia="方正小标宋简体"/>
                <w:kern w:val="0"/>
                <w:sz w:val="32"/>
                <w:szCs w:val="32"/>
                <w:lang w:eastAsia="zh-CN"/>
              </w:rPr>
            </w:pPr>
            <w:r>
              <w:rPr>
                <w:rFonts w:eastAsia="方正小标宋简体"/>
                <w:kern w:val="0"/>
                <w:sz w:val="32"/>
                <w:szCs w:val="32"/>
              </w:rPr>
              <w:t>项目绩效目标完成情况表</w:t>
            </w:r>
          </w:p>
          <w:p>
            <w:pPr>
              <w:jc w:val="center"/>
              <w:textAlignment w:val="center"/>
              <w:rPr>
                <w:sz w:val="20"/>
                <w:szCs w:val="20"/>
              </w:rPr>
            </w:pPr>
            <w:r>
              <w:rPr>
                <w:rFonts w:eastAsia="方正小标宋简体"/>
                <w:kern w:val="0"/>
                <w:sz w:val="32"/>
                <w:szCs w:val="32"/>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四川省易地扶贫搬迁购买服务费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四川省发展和改革委员会机关</w:t>
            </w:r>
          </w:p>
        </w:tc>
      </w:tr>
      <w:tr>
        <w:tblPrEx>
          <w:tblCellMar>
            <w:top w:w="0" w:type="dxa"/>
            <w:left w:w="0" w:type="dxa"/>
            <w:bottom w:w="0" w:type="dxa"/>
            <w:right w:w="0" w:type="dxa"/>
          </w:tblCellMar>
        </w:tblPrEx>
        <w:trPr>
          <w:trHeight w:val="276" w:hRule="atLeast"/>
          <w:jc w:val="center"/>
        </w:trPr>
        <w:tc>
          <w:tcPr>
            <w:tcW w:w="7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预算执行情况(万元)</w:t>
            </w: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485</w:t>
            </w:r>
          </w:p>
        </w:tc>
      </w:tr>
      <w:tr>
        <w:tblPrEx>
          <w:tblCellMar>
            <w:top w:w="0" w:type="dxa"/>
            <w:left w:w="0" w:type="dxa"/>
            <w:bottom w:w="0" w:type="dxa"/>
            <w:right w:w="0" w:type="dxa"/>
          </w:tblCellMar>
        </w:tblPrEx>
        <w:trPr>
          <w:trHeight w:val="276"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485</w:t>
            </w:r>
          </w:p>
        </w:tc>
      </w:tr>
      <w:tr>
        <w:tblPrEx>
          <w:tblCellMar>
            <w:top w:w="0" w:type="dxa"/>
            <w:left w:w="0" w:type="dxa"/>
            <w:bottom w:w="0" w:type="dxa"/>
            <w:right w:w="0" w:type="dxa"/>
          </w:tblCellMar>
        </w:tblPrEx>
        <w:trPr>
          <w:trHeight w:val="486"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r>
      <w:tr>
        <w:tblPrEx>
          <w:tblCellMar>
            <w:top w:w="0" w:type="dxa"/>
            <w:left w:w="0" w:type="dxa"/>
            <w:bottom w:w="0" w:type="dxa"/>
            <w:right w:w="0" w:type="dxa"/>
          </w:tblCellMar>
        </w:tblPrEx>
        <w:trPr>
          <w:trHeight w:val="276" w:hRule="atLeast"/>
          <w:jc w:val="center"/>
        </w:trPr>
        <w:tc>
          <w:tcPr>
            <w:tcW w:w="7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年度目标完成情况</w:t>
            </w:r>
          </w:p>
        </w:tc>
        <w:tc>
          <w:tcPr>
            <w:tcW w:w="44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实际完成目标</w:t>
            </w:r>
          </w:p>
        </w:tc>
      </w:tr>
      <w:tr>
        <w:tblPrEx>
          <w:tblCellMar>
            <w:top w:w="0" w:type="dxa"/>
            <w:left w:w="0" w:type="dxa"/>
            <w:bottom w:w="0" w:type="dxa"/>
            <w:right w:w="0" w:type="dxa"/>
          </w:tblCellMar>
        </w:tblPrEx>
        <w:trPr>
          <w:trHeight w:val="699"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44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向省国农公司购买易地扶贫搬迁投融资服务，要求省国农公司按期完成2016-2019年已经下达易地扶贫搬迁项目资金的还款利息归集和偿还，做好易地扶贫搬迁项目资金的监督管理工作，确保足额、及时完成还款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1.省国农公司2020年度按时足额归集和偿还2016-2019年下达易地扶贫搬迁项目资金利息10.03亿元； 2.按要求完成易地扶贫搬迁项目资金监管工作；3.及时完成还款任务，2020年共归集偿还易地扶贫搬迁项目资金18.21亿元。</w:t>
            </w:r>
          </w:p>
        </w:tc>
      </w:tr>
      <w:tr>
        <w:tblPrEx>
          <w:tblCellMar>
            <w:top w:w="0" w:type="dxa"/>
            <w:left w:w="0" w:type="dxa"/>
            <w:bottom w:w="0" w:type="dxa"/>
            <w:right w:w="0" w:type="dxa"/>
          </w:tblCellMar>
        </w:tblPrEx>
        <w:trPr>
          <w:trHeight w:val="802" w:hRule="atLeast"/>
          <w:jc w:val="center"/>
        </w:trPr>
        <w:tc>
          <w:tcPr>
            <w:tcW w:w="71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绩效指标完成情况</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实际完成指标值(包含数字及文字描述)</w:t>
            </w:r>
          </w:p>
        </w:tc>
      </w:tr>
      <w:tr>
        <w:tblPrEx>
          <w:tblCellMar>
            <w:top w:w="0" w:type="dxa"/>
            <w:left w:w="0" w:type="dxa"/>
            <w:bottom w:w="0" w:type="dxa"/>
            <w:right w:w="0" w:type="dxa"/>
          </w:tblCellMar>
        </w:tblPrEx>
        <w:trPr>
          <w:trHeight w:val="953"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省国农公司按期完成2016-2019年已经下达易地扶贫搬迁项目资金的还款利息归集和偿还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136.0461万人规模的相关资金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实际归集偿还利息10.03亿元</w:t>
            </w:r>
          </w:p>
        </w:tc>
      </w:tr>
      <w:tr>
        <w:tblPrEx>
          <w:tblCellMar>
            <w:top w:w="0" w:type="dxa"/>
            <w:left w:w="0" w:type="dxa"/>
            <w:bottom w:w="0" w:type="dxa"/>
            <w:right w:w="0" w:type="dxa"/>
          </w:tblCellMar>
        </w:tblPrEx>
        <w:trPr>
          <w:trHeight w:val="80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确保按照与银行签订的相关协议，足额偿还利息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全额</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全额完成</w:t>
            </w:r>
          </w:p>
        </w:tc>
      </w:tr>
      <w:tr>
        <w:tblPrEx>
          <w:tblCellMar>
            <w:top w:w="0" w:type="dxa"/>
            <w:left w:w="0" w:type="dxa"/>
            <w:bottom w:w="0" w:type="dxa"/>
            <w:right w:w="0" w:type="dxa"/>
          </w:tblCellMar>
        </w:tblPrEx>
        <w:trPr>
          <w:trHeight w:val="812"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确保按照与银行签订的相关协议，按时偿还利息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按协议及时偿还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按协议及时偿还</w:t>
            </w:r>
          </w:p>
        </w:tc>
      </w:tr>
      <w:tr>
        <w:tblPrEx>
          <w:tblCellMar>
            <w:top w:w="0" w:type="dxa"/>
            <w:left w:w="0" w:type="dxa"/>
            <w:bottom w:w="0" w:type="dxa"/>
            <w:right w:w="0" w:type="dxa"/>
          </w:tblCellMar>
        </w:tblPrEx>
        <w:trPr>
          <w:trHeight w:val="792"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实现搬迁人口“搬得出、稳得住、逐步能致富”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实现建房完成率100%、入住率100%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完成率100%，入住率100%</w:t>
            </w:r>
          </w:p>
        </w:tc>
      </w:tr>
      <w:tr>
        <w:tblPrEx>
          <w:tblCellMar>
            <w:top w:w="0" w:type="dxa"/>
            <w:left w:w="0" w:type="dxa"/>
            <w:bottom w:w="0" w:type="dxa"/>
            <w:right w:w="0" w:type="dxa"/>
          </w:tblCellMar>
        </w:tblPrEx>
        <w:trPr>
          <w:trHeight w:val="870" w:hRule="atLeast"/>
          <w:jc w:val="center"/>
        </w:trPr>
        <w:tc>
          <w:tcPr>
            <w:tcW w:w="71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满意度</w:t>
            </w:r>
          </w:p>
          <w:p>
            <w:pPr>
              <w:jc w:val="center"/>
              <w:textAlignment w:val="center"/>
              <w:rPr>
                <w:sz w:val="20"/>
                <w:szCs w:val="20"/>
              </w:rPr>
            </w:pPr>
            <w:r>
              <w:rPr>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对国农公司按时偿还利息工作满意度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满意率达90%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满意率100%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b/>
                <w:bCs/>
                <w:kern w:val="0"/>
                <w:sz w:val="20"/>
                <w:szCs w:val="20"/>
              </w:rPr>
            </w:pPr>
          </w:p>
          <w:p>
            <w:pPr>
              <w:jc w:val="center"/>
              <w:textAlignment w:val="center"/>
              <w:rPr>
                <w:rFonts w:hint="eastAsia" w:eastAsia="方正小标宋简体"/>
                <w:kern w:val="0"/>
                <w:sz w:val="32"/>
                <w:szCs w:val="32"/>
                <w:lang w:eastAsia="zh-CN"/>
              </w:rPr>
            </w:pPr>
            <w:r>
              <w:rPr>
                <w:rFonts w:eastAsia="方正小标宋简体"/>
                <w:kern w:val="0"/>
                <w:sz w:val="32"/>
                <w:szCs w:val="32"/>
              </w:rPr>
              <w:t>项目绩效目标完成情况表</w:t>
            </w:r>
          </w:p>
          <w:p>
            <w:pPr>
              <w:jc w:val="center"/>
              <w:textAlignment w:val="center"/>
              <w:rPr>
                <w:sz w:val="20"/>
                <w:szCs w:val="20"/>
              </w:rPr>
            </w:pPr>
            <w:r>
              <w:rPr>
                <w:rFonts w:eastAsia="方正小标宋简体"/>
                <w:kern w:val="0"/>
                <w:sz w:val="32"/>
                <w:szCs w:val="32"/>
              </w:rPr>
              <w:t>(2020年度)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委机关办公用房维护专项资金（上年结转）</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四川省发展和改革委员会机关</w:t>
            </w:r>
          </w:p>
        </w:tc>
      </w:tr>
      <w:tr>
        <w:tblPrEx>
          <w:tblCellMar>
            <w:top w:w="0" w:type="dxa"/>
            <w:left w:w="0" w:type="dxa"/>
            <w:bottom w:w="0" w:type="dxa"/>
            <w:right w:w="0" w:type="dxa"/>
          </w:tblCellMar>
        </w:tblPrEx>
        <w:trPr>
          <w:trHeight w:val="276" w:hRule="atLeast"/>
          <w:jc w:val="center"/>
        </w:trPr>
        <w:tc>
          <w:tcPr>
            <w:tcW w:w="7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预算执行情况(万元)</w:t>
            </w: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207.81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183.36</w:t>
            </w:r>
          </w:p>
        </w:tc>
      </w:tr>
      <w:tr>
        <w:tblPrEx>
          <w:tblCellMar>
            <w:top w:w="0" w:type="dxa"/>
            <w:left w:w="0" w:type="dxa"/>
            <w:bottom w:w="0" w:type="dxa"/>
            <w:right w:w="0" w:type="dxa"/>
          </w:tblCellMar>
        </w:tblPrEx>
        <w:trPr>
          <w:trHeight w:val="276"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207.81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183.36</w:t>
            </w:r>
          </w:p>
        </w:tc>
      </w:tr>
      <w:tr>
        <w:tblPrEx>
          <w:tblCellMar>
            <w:top w:w="0" w:type="dxa"/>
            <w:left w:w="0" w:type="dxa"/>
            <w:bottom w:w="0" w:type="dxa"/>
            <w:right w:w="0" w:type="dxa"/>
          </w:tblCellMar>
        </w:tblPrEx>
        <w:trPr>
          <w:trHeight w:val="441"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2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r>
      <w:tr>
        <w:tblPrEx>
          <w:tblCellMar>
            <w:top w:w="0" w:type="dxa"/>
            <w:left w:w="0" w:type="dxa"/>
            <w:bottom w:w="0" w:type="dxa"/>
            <w:right w:w="0" w:type="dxa"/>
          </w:tblCellMar>
        </w:tblPrEx>
        <w:trPr>
          <w:trHeight w:val="276" w:hRule="atLeast"/>
          <w:jc w:val="center"/>
        </w:trPr>
        <w:tc>
          <w:tcPr>
            <w:tcW w:w="7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年度目标完成情况</w:t>
            </w:r>
          </w:p>
        </w:tc>
        <w:tc>
          <w:tcPr>
            <w:tcW w:w="44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实际完成目标</w:t>
            </w:r>
          </w:p>
        </w:tc>
      </w:tr>
      <w:tr>
        <w:tblPrEx>
          <w:tblCellMar>
            <w:top w:w="0" w:type="dxa"/>
            <w:left w:w="0" w:type="dxa"/>
            <w:bottom w:w="0" w:type="dxa"/>
            <w:right w:w="0" w:type="dxa"/>
          </w:tblCellMar>
        </w:tblPrEx>
        <w:trPr>
          <w:trHeight w:val="1159" w:hRule="atLeast"/>
          <w:jc w:val="center"/>
        </w:trPr>
        <w:tc>
          <w:tcPr>
            <w:tcW w:w="71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p>
        </w:tc>
        <w:tc>
          <w:tcPr>
            <w:tcW w:w="44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sz w:val="20"/>
                <w:szCs w:val="20"/>
              </w:rPr>
            </w:pPr>
            <w:r>
              <w:rPr>
                <w:sz w:val="20"/>
                <w:szCs w:val="20"/>
              </w:rPr>
              <w:t>通过此次办公用房维修改造：一是解决委机关食堂厨房区域地面排水、及渗水等问题；二是改善食堂厨房环境，在原有基础上将墙面，顶棚及设备管线更换，整体达到卫生及安全使用要求；三是更换老化的办公室门；四是发展大厦大楼四楼六楼裙楼平台防水处理及更换瓷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全部完成</w:t>
            </w:r>
          </w:p>
        </w:tc>
      </w:tr>
      <w:tr>
        <w:tblPrEx>
          <w:tblCellMar>
            <w:top w:w="0" w:type="dxa"/>
            <w:left w:w="0" w:type="dxa"/>
            <w:bottom w:w="0" w:type="dxa"/>
            <w:right w:w="0" w:type="dxa"/>
          </w:tblCellMar>
        </w:tblPrEx>
        <w:trPr>
          <w:trHeight w:val="862" w:hRule="atLeast"/>
          <w:jc w:val="center"/>
        </w:trPr>
        <w:tc>
          <w:tcPr>
            <w:tcW w:w="71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绩效指标完成情况</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实际完成指标值(包含数字及文字描述)</w:t>
            </w:r>
          </w:p>
        </w:tc>
      </w:tr>
      <w:tr>
        <w:tblPrEx>
          <w:tblCellMar>
            <w:top w:w="0" w:type="dxa"/>
            <w:left w:w="0" w:type="dxa"/>
            <w:bottom w:w="0" w:type="dxa"/>
            <w:right w:w="0" w:type="dxa"/>
          </w:tblCellMar>
        </w:tblPrEx>
        <w:trPr>
          <w:trHeight w:val="828"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地面防水改造防滑地砖防水楼地面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308.97</w:t>
            </w:r>
          </w:p>
        </w:tc>
      </w:tr>
      <w:tr>
        <w:tblPrEx>
          <w:tblCellMar>
            <w:top w:w="0" w:type="dxa"/>
            <w:left w:w="0" w:type="dxa"/>
            <w:bottom w:w="0" w:type="dxa"/>
            <w:right w:w="0" w:type="dxa"/>
          </w:tblCellMar>
        </w:tblPrEx>
        <w:trPr>
          <w:trHeight w:val="78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顶棚改造无机涂料吊顶及石膏板吊顶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350.15</w:t>
            </w:r>
          </w:p>
        </w:tc>
      </w:tr>
      <w:tr>
        <w:tblPrEx>
          <w:tblCellMar>
            <w:top w:w="0" w:type="dxa"/>
            <w:left w:w="0" w:type="dxa"/>
            <w:bottom w:w="0" w:type="dxa"/>
            <w:right w:w="0" w:type="dxa"/>
          </w:tblCellMar>
        </w:tblPrEx>
        <w:trPr>
          <w:trHeight w:val="65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六楼裙楼平台防水处理及更换瓷砖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面积661.86平方米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823.41</w:t>
            </w:r>
          </w:p>
        </w:tc>
      </w:tr>
      <w:tr>
        <w:tblPrEx>
          <w:tblCellMar>
            <w:top w:w="0" w:type="dxa"/>
            <w:left w:w="0" w:type="dxa"/>
            <w:bottom w:w="0" w:type="dxa"/>
            <w:right w:w="0" w:type="dxa"/>
          </w:tblCellMar>
        </w:tblPrEx>
        <w:trPr>
          <w:trHeight w:val="69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kern w:val="0"/>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内墙面改造面砖墙面及无机涂料墙面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585.07</w:t>
            </w:r>
          </w:p>
        </w:tc>
      </w:tr>
      <w:tr>
        <w:tblPrEx>
          <w:tblCellMar>
            <w:top w:w="0" w:type="dxa"/>
            <w:left w:w="0" w:type="dxa"/>
            <w:bottom w:w="0" w:type="dxa"/>
            <w:right w:w="0" w:type="dxa"/>
          </w:tblCellMar>
        </w:tblPrEx>
        <w:trPr>
          <w:trHeight w:val="65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踢脚改造面砖踢脚及硬木踢脚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复合木地板55㎡</w:t>
            </w:r>
          </w:p>
        </w:tc>
      </w:tr>
      <w:tr>
        <w:tblPrEx>
          <w:tblCellMar>
            <w:top w:w="0" w:type="dxa"/>
            <w:left w:w="0" w:type="dxa"/>
            <w:bottom w:w="0" w:type="dxa"/>
            <w:right w:w="0" w:type="dxa"/>
          </w:tblCellMar>
        </w:tblPrEx>
        <w:trPr>
          <w:trHeight w:val="702"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排水沟防水改造，排水地漏更换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308.97</w:t>
            </w:r>
          </w:p>
        </w:tc>
      </w:tr>
      <w:tr>
        <w:tblPrEx>
          <w:tblCellMar>
            <w:top w:w="0" w:type="dxa"/>
            <w:left w:w="0" w:type="dxa"/>
            <w:bottom w:w="0" w:type="dxa"/>
            <w:right w:w="0" w:type="dxa"/>
          </w:tblCellMar>
        </w:tblPrEx>
        <w:trPr>
          <w:trHeight w:val="692"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四楼裙楼平台防水处理及更换瓷砖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面积785.40平方米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991.02</w:t>
            </w:r>
          </w:p>
        </w:tc>
      </w:tr>
      <w:tr>
        <w:tblPrEx>
          <w:tblCellMar>
            <w:top w:w="0" w:type="dxa"/>
            <w:left w:w="0" w:type="dxa"/>
            <w:bottom w:w="0" w:type="dxa"/>
            <w:right w:w="0" w:type="dxa"/>
          </w:tblCellMar>
        </w:tblPrEx>
        <w:trPr>
          <w:trHeight w:val="69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更换实木门M0921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200扇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kern w:val="0"/>
                <w:sz w:val="20"/>
                <w:szCs w:val="20"/>
              </w:rPr>
              <w:t>50</w:t>
            </w:r>
          </w:p>
        </w:tc>
      </w:tr>
      <w:tr>
        <w:tblPrEx>
          <w:tblCellMar>
            <w:top w:w="0" w:type="dxa"/>
            <w:left w:w="0" w:type="dxa"/>
            <w:bottom w:w="0" w:type="dxa"/>
            <w:right w:w="0" w:type="dxa"/>
          </w:tblCellMar>
        </w:tblPrEx>
        <w:trPr>
          <w:trHeight w:val="1017"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kern w:val="0"/>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成都市房屋建筑和市政基础设施工程质量监督管理实施细则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符合基础设施工程质量相关规定标准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符合基础设施工程质量相关规定标准</w:t>
            </w:r>
          </w:p>
        </w:tc>
      </w:tr>
      <w:tr>
        <w:tblPrEx>
          <w:tblCellMar>
            <w:top w:w="0" w:type="dxa"/>
            <w:left w:w="0" w:type="dxa"/>
            <w:bottom w:w="0" w:type="dxa"/>
            <w:right w:w="0" w:type="dxa"/>
          </w:tblCellMar>
        </w:tblPrEx>
        <w:trPr>
          <w:trHeight w:val="865"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项目完</w:t>
            </w:r>
          </w:p>
          <w:p>
            <w:pPr>
              <w:jc w:val="center"/>
              <w:textAlignment w:val="center"/>
              <w:rPr>
                <w:sz w:val="20"/>
                <w:szCs w:val="20"/>
              </w:rPr>
            </w:pPr>
            <w:r>
              <w:rPr>
                <w:kern w:val="0"/>
                <w:sz w:val="20"/>
                <w:szCs w:val="20"/>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成都市建设工程质量标准化监督管理规程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符合基础设施工程质量相关规定标准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sz w:val="20"/>
                <w:szCs w:val="20"/>
              </w:rPr>
            </w:pPr>
            <w:r>
              <w:rPr>
                <w:kern w:val="0"/>
                <w:sz w:val="20"/>
                <w:szCs w:val="20"/>
              </w:rPr>
              <w:t>符合基础设施工程质量相关规定标准</w:t>
            </w:r>
          </w:p>
        </w:tc>
      </w:tr>
      <w:tr>
        <w:tblPrEx>
          <w:tblCellMar>
            <w:top w:w="0" w:type="dxa"/>
            <w:left w:w="0" w:type="dxa"/>
            <w:bottom w:w="0" w:type="dxa"/>
            <w:right w:w="0" w:type="dxa"/>
          </w:tblCellMar>
        </w:tblPrEx>
        <w:trPr>
          <w:trHeight w:val="830"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办公门更换，满足正常办公使用要求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利旧为主</w:t>
            </w:r>
          </w:p>
        </w:tc>
      </w:tr>
      <w:tr>
        <w:tblPrEx>
          <w:tblCellMar>
            <w:top w:w="0" w:type="dxa"/>
            <w:left w:w="0" w:type="dxa"/>
            <w:bottom w:w="0" w:type="dxa"/>
            <w:right w:w="0" w:type="dxa"/>
          </w:tblCellMar>
        </w:tblPrEx>
        <w:trPr>
          <w:trHeight w:val="895"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裙楼平台防水处理及更换瓷砖，延长裙楼使用寿命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3年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3年</w:t>
            </w:r>
          </w:p>
        </w:tc>
      </w:tr>
      <w:tr>
        <w:tblPrEx>
          <w:tblCellMar>
            <w:top w:w="0" w:type="dxa"/>
            <w:left w:w="0" w:type="dxa"/>
            <w:bottom w:w="0" w:type="dxa"/>
            <w:right w:w="0" w:type="dxa"/>
          </w:tblCellMar>
        </w:tblPrEx>
        <w:trPr>
          <w:trHeight w:val="970" w:hRule="atLeast"/>
          <w:jc w:val="center"/>
        </w:trPr>
        <w:tc>
          <w:tcPr>
            <w:tcW w:w="717" w:type="dxa"/>
            <w:gridSpan w:val="2"/>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开展厨房维修改造，厨房卫生、节能及安全达到使用要求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5年</w:t>
            </w:r>
          </w:p>
        </w:tc>
      </w:tr>
      <w:tr>
        <w:tblPrEx>
          <w:tblCellMar>
            <w:top w:w="0" w:type="dxa"/>
            <w:left w:w="0" w:type="dxa"/>
            <w:bottom w:w="0" w:type="dxa"/>
            <w:right w:w="0" w:type="dxa"/>
          </w:tblCellMar>
        </w:tblPrEx>
        <w:trPr>
          <w:trHeight w:val="925" w:hRule="atLeast"/>
          <w:jc w:val="center"/>
        </w:trPr>
        <w:tc>
          <w:tcPr>
            <w:tcW w:w="71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kern w:val="0"/>
                <w:sz w:val="20"/>
                <w:szCs w:val="20"/>
              </w:rPr>
            </w:pPr>
            <w:r>
              <w:rPr>
                <w:kern w:val="0"/>
                <w:sz w:val="20"/>
                <w:szCs w:val="20"/>
              </w:rPr>
              <w:t>满意度</w:t>
            </w:r>
          </w:p>
          <w:p>
            <w:pPr>
              <w:jc w:val="center"/>
              <w:textAlignment w:val="center"/>
              <w:rPr>
                <w:kern w:val="0"/>
                <w:sz w:val="20"/>
                <w:szCs w:val="20"/>
              </w:rPr>
            </w:pPr>
            <w:r>
              <w:rPr>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z w:val="20"/>
                <w:szCs w:val="20"/>
              </w:rPr>
            </w:pPr>
            <w:r>
              <w:rPr>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服务委干部职工，提高工作、就餐满意度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kern w:val="0"/>
                <w:sz w:val="20"/>
                <w:szCs w:val="20"/>
              </w:rPr>
            </w:pPr>
            <w:r>
              <w:rPr>
                <w:kern w:val="0"/>
                <w:sz w:val="20"/>
                <w:szCs w:val="20"/>
              </w:rPr>
              <w:t>100%</w:t>
            </w:r>
          </w:p>
        </w:tc>
      </w:tr>
    </w:tbl>
    <w:p>
      <w:pPr>
        <w:spacing w:line="540" w:lineRule="exact"/>
        <w:ind w:left="630"/>
        <w:rPr>
          <w:rFonts w:eastAsia="仿宋_GB2312"/>
          <w:sz w:val="32"/>
          <w:szCs w:val="32"/>
        </w:rPr>
      </w:pPr>
      <w:r>
        <w:rPr>
          <w:rFonts w:eastAsia="楷体_GB2312"/>
          <w:sz w:val="32"/>
          <w:szCs w:val="32"/>
        </w:rPr>
        <w:t>2.单位绩效评价结果。</w:t>
      </w:r>
    </w:p>
    <w:p>
      <w:pPr>
        <w:spacing w:line="540" w:lineRule="exact"/>
        <w:ind w:firstLine="640" w:firstLineChars="200"/>
        <w:rPr>
          <w:rFonts w:eastAsia="仿宋_GB2312"/>
          <w:b/>
          <w:sz w:val="32"/>
          <w:szCs w:val="32"/>
        </w:rPr>
      </w:pPr>
      <w:r>
        <w:rPr>
          <w:rFonts w:eastAsia="仿宋_GB2312"/>
          <w:sz w:val="32"/>
          <w:szCs w:val="32"/>
        </w:rPr>
        <w:t>本单位自行组织对4个部门预算项目开展了绩效评价，《2020年部门预算项目支出绩效自评报告》见附件（第四部分）。</w:t>
      </w:r>
    </w:p>
    <w:p>
      <w:pPr>
        <w:spacing w:line="540" w:lineRule="exact"/>
        <w:jc w:val="left"/>
        <w:rPr>
          <w:rFonts w:eastAsia="仿宋_GB2312"/>
          <w:b/>
          <w:sz w:val="32"/>
          <w:szCs w:val="32"/>
        </w:rPr>
      </w:pPr>
      <w:r>
        <w:rPr>
          <w:rFonts w:eastAsia="仿宋_GB2312"/>
          <w:b/>
          <w:sz w:val="32"/>
          <w:szCs w:val="32"/>
        </w:rPr>
        <w:br w:type="page"/>
      </w:r>
    </w:p>
    <w:p>
      <w:pPr>
        <w:numPr>
          <w:ilvl w:val="0"/>
          <w:numId w:val="3"/>
        </w:numPr>
        <w:spacing w:line="540" w:lineRule="exact"/>
        <w:ind w:firstLine="660" w:firstLineChars="150"/>
        <w:jc w:val="center"/>
        <w:outlineLvl w:val="0"/>
        <w:rPr>
          <w:rStyle w:val="33"/>
          <w:rFonts w:eastAsia="黑体"/>
          <w:b w:val="0"/>
        </w:rPr>
      </w:pPr>
      <w:bookmarkStart w:id="80" w:name="_Toc8317"/>
      <w:bookmarkStart w:id="81" w:name="_Toc15377225"/>
      <w:bookmarkStart w:id="82" w:name="_Toc15396613"/>
      <w:r>
        <w:rPr>
          <w:rFonts w:eastAsia="黑体"/>
          <w:sz w:val="44"/>
          <w:szCs w:val="44"/>
        </w:rPr>
        <w:t>名</w:t>
      </w:r>
      <w:r>
        <w:rPr>
          <w:rStyle w:val="33"/>
          <w:rFonts w:eastAsia="黑体"/>
          <w:b w:val="0"/>
        </w:rPr>
        <w:t>词解释</w:t>
      </w:r>
      <w:bookmarkEnd w:id="80"/>
      <w:bookmarkEnd w:id="81"/>
      <w:bookmarkEnd w:id="82"/>
    </w:p>
    <w:p>
      <w:pPr>
        <w:spacing w:line="540" w:lineRule="exact"/>
        <w:jc w:val="left"/>
        <w:rPr>
          <w:b/>
          <w:sz w:val="44"/>
          <w:szCs w:val="44"/>
        </w:rPr>
      </w:pP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1.财政拨款收入：指单位从同级财政部门取得的财政预算资金。</w:t>
      </w:r>
    </w:p>
    <w:p>
      <w:pPr>
        <w:pStyle w:val="31"/>
        <w:spacing w:line="540" w:lineRule="exact"/>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2.事业收入：指事业单位开展专业业务活动及辅助活动取得的收入。如四川省经济发展研究院机构运行事业收入等。</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3.经营收入：指事业单位在专业业务活动及其辅助活动之外开展非独立核算经营活动取得的收入。如事业单位对政府部门、企事业单位开展咨询服务取得的课题咨询费、课题编制费、房租收入等。</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4.其他收入：指单位取得的除上述收入以外的各项收入。主要是利息收入等。</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5.年初结转和结余：指以前年度尚未完成、结转到本年按有关规定继续使用的资金。</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6.项目支出结转和结余：指以前年度尚未完成、结转到本年按有关规定继续使用的项目资金。</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7.一般公共服务支出（类）政府办公厅（室）及相关机构事务（款）其他政府办公厅（室）及相关机构事务支出（项）：指反映除行政运行、一般行政管理事务、机关服务、专项服务、专项业务活动、政务公开审批、法制建设、信访事务、参事事务、事业运行以外的其他政府办公厅（室）及相关机构事务支出。</w:t>
      </w:r>
    </w:p>
    <w:p>
      <w:pPr>
        <w:shd w:val="solid" w:color="FFFFFF" w:fill="auto"/>
        <w:autoSpaceDN w:val="0"/>
        <w:spacing w:line="540" w:lineRule="exact"/>
        <w:ind w:firstLine="480"/>
        <w:rPr>
          <w:rFonts w:eastAsia="仿宋"/>
          <w:shd w:val="clear" w:color="auto" w:fill="FFFFFF"/>
        </w:rPr>
      </w:pPr>
      <w:r>
        <w:rPr>
          <w:rFonts w:eastAsia="仿宋"/>
          <w:sz w:val="32"/>
          <w:shd w:val="clear" w:color="auto" w:fill="FFFFFF"/>
        </w:rPr>
        <w:t>8.一般公共服务支出（类）发展与改革事务（款）行政运行（项）：指反映行政单位（包括实行公务员管理的事业单位）的基本支出。</w:t>
      </w:r>
    </w:p>
    <w:p>
      <w:pPr>
        <w:shd w:val="solid" w:color="FFFFFF" w:fill="auto"/>
        <w:autoSpaceDN w:val="0"/>
        <w:spacing w:line="540" w:lineRule="exact"/>
        <w:ind w:firstLine="480"/>
        <w:rPr>
          <w:rFonts w:eastAsia="仿宋"/>
          <w:shd w:val="clear" w:color="auto" w:fill="FFFFFF"/>
        </w:rPr>
      </w:pPr>
      <w:r>
        <w:rPr>
          <w:rFonts w:eastAsia="仿宋"/>
          <w:sz w:val="32"/>
          <w:shd w:val="clear" w:color="auto" w:fill="FFFFFF"/>
        </w:rPr>
        <w:t>9.一般公共服务支出（类）发展与改革事务（款）一般行政管理事务（项）：指反映行政单位（包括实行公务员管理的事业单位）未单独设置项级科目的其他项目支出。</w:t>
      </w:r>
    </w:p>
    <w:p>
      <w:pPr>
        <w:shd w:val="solid" w:color="FFFFFF" w:fill="auto"/>
        <w:autoSpaceDN w:val="0"/>
        <w:spacing w:line="540" w:lineRule="exact"/>
        <w:ind w:firstLine="480"/>
        <w:rPr>
          <w:rFonts w:eastAsia="仿宋"/>
          <w:shd w:val="clear" w:color="auto" w:fill="FFFFFF"/>
        </w:rPr>
      </w:pPr>
      <w:r>
        <w:rPr>
          <w:rFonts w:eastAsia="仿宋"/>
          <w:sz w:val="32"/>
          <w:shd w:val="clear" w:color="auto" w:fill="FFFFFF"/>
        </w:rPr>
        <w:t>10.一般公共服务支出（类）发展与改革事务（款）机关服务（项）：指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hd w:val="solid" w:color="FFFFFF" w:fill="auto"/>
        <w:autoSpaceDN w:val="0"/>
        <w:spacing w:line="540" w:lineRule="exact"/>
        <w:ind w:firstLine="480"/>
        <w:rPr>
          <w:rFonts w:eastAsia="仿宋"/>
          <w:shd w:val="clear" w:color="auto" w:fill="FFFFFF"/>
        </w:rPr>
      </w:pPr>
      <w:r>
        <w:rPr>
          <w:rFonts w:eastAsia="仿宋"/>
          <w:spacing w:val="-19"/>
          <w:sz w:val="32"/>
          <w:shd w:val="clear" w:color="auto" w:fill="FFFFFF"/>
        </w:rPr>
        <w:t>11.</w:t>
      </w:r>
      <w:r>
        <w:rPr>
          <w:rFonts w:eastAsia="仿宋"/>
          <w:sz w:val="32"/>
          <w:shd w:val="clear" w:color="auto" w:fill="FFFFFF"/>
        </w:rPr>
        <w:t>一般公共服务支出（类）发展与改革事务（款）社会事业发展规划（项）：</w:t>
      </w:r>
      <w:r>
        <w:rPr>
          <w:rFonts w:eastAsia="仿宋"/>
          <w:spacing w:val="-19"/>
          <w:sz w:val="32"/>
          <w:shd w:val="clear" w:color="auto" w:fill="FFFFFF"/>
        </w:rPr>
        <w:t>指</w:t>
      </w:r>
      <w:r>
        <w:rPr>
          <w:rFonts w:eastAsia="仿宋"/>
          <w:sz w:val="32"/>
          <w:shd w:val="clear" w:color="auto" w:fill="FFFFFF"/>
        </w:rPr>
        <w:t>反映</w:t>
      </w:r>
      <w:r>
        <w:rPr>
          <w:rFonts w:eastAsia="仿宋"/>
          <w:spacing w:val="-19"/>
          <w:sz w:val="32"/>
          <w:shd w:val="clear" w:color="auto" w:fill="FFFFFF"/>
        </w:rPr>
        <w:t>社会事业发展规划方面的支出。</w:t>
      </w:r>
    </w:p>
    <w:p>
      <w:pPr>
        <w:shd w:val="solid" w:color="FFFFFF" w:fill="auto"/>
        <w:autoSpaceDN w:val="0"/>
        <w:spacing w:line="540" w:lineRule="exact"/>
        <w:ind w:firstLine="480"/>
        <w:rPr>
          <w:rFonts w:eastAsia="仿宋"/>
          <w:shd w:val="clear" w:color="auto" w:fill="FFFFFF"/>
        </w:rPr>
      </w:pPr>
      <w:r>
        <w:rPr>
          <w:rFonts w:eastAsia="仿宋"/>
          <w:sz w:val="32"/>
          <w:shd w:val="clear" w:color="auto" w:fill="FFFFFF"/>
        </w:rPr>
        <w:t>12.一般公共服务支出（类）发展与改革事务（款）经济体制改革研究（项）：</w:t>
      </w:r>
      <w:r>
        <w:rPr>
          <w:rFonts w:eastAsia="仿宋"/>
          <w:spacing w:val="-19"/>
          <w:sz w:val="32"/>
          <w:shd w:val="clear" w:color="auto" w:fill="FFFFFF"/>
        </w:rPr>
        <w:t>指</w:t>
      </w:r>
      <w:r>
        <w:rPr>
          <w:rFonts w:eastAsia="仿宋"/>
          <w:sz w:val="32"/>
          <w:shd w:val="clear" w:color="auto" w:fill="FFFFFF"/>
        </w:rPr>
        <w:t>反映</w:t>
      </w:r>
      <w:r>
        <w:rPr>
          <w:rFonts w:eastAsia="仿宋"/>
          <w:spacing w:val="-19"/>
          <w:sz w:val="32"/>
          <w:shd w:val="clear" w:color="auto" w:fill="FFFFFF"/>
        </w:rPr>
        <w:t>经济体制改革与研究方面的支出。</w:t>
      </w:r>
    </w:p>
    <w:p>
      <w:pPr>
        <w:shd w:val="solid" w:color="FFFFFF" w:fill="auto"/>
        <w:autoSpaceDN w:val="0"/>
        <w:spacing w:line="540" w:lineRule="exact"/>
        <w:ind w:firstLine="480"/>
        <w:rPr>
          <w:rFonts w:eastAsia="仿宋"/>
          <w:shd w:val="clear" w:color="auto" w:fill="FFFFFF"/>
        </w:rPr>
      </w:pPr>
      <w:r>
        <w:rPr>
          <w:rFonts w:eastAsia="仿宋"/>
          <w:sz w:val="32"/>
          <w:shd w:val="clear" w:color="auto" w:fill="FFFFFF"/>
        </w:rPr>
        <w:t>13.一般公共服务支出（类）发展与改革事务（款）物价管理（项）：指反映物价管理方面的支出。</w:t>
      </w:r>
    </w:p>
    <w:p>
      <w:pPr>
        <w:shd w:val="solid" w:color="FFFFFF" w:fill="auto"/>
        <w:autoSpaceDN w:val="0"/>
        <w:spacing w:line="540" w:lineRule="exact"/>
        <w:ind w:firstLine="480"/>
        <w:rPr>
          <w:rFonts w:eastAsia="仿宋"/>
          <w:shd w:val="clear" w:color="auto" w:fill="FFFFFF"/>
        </w:rPr>
      </w:pPr>
      <w:r>
        <w:rPr>
          <w:rFonts w:eastAsia="仿宋"/>
          <w:sz w:val="32"/>
          <w:shd w:val="clear" w:color="auto" w:fill="FFFFFF"/>
        </w:rPr>
        <w:t>14.一般公共服务支出（类）发展与改革事务（款）事业运行（项）：指反映事业单位的基本支出，不包括行政单位（包括实行公务员管理的事业单位）后勤服务中心、医务室等附属事业单位。</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15.一般公共服务支出（类）发展与改革事务（款）其他发展与改革事务支出（项）：指反映除行政运行、一般行政管理事务、机关服务、社会事业发展规划、经济体制改革研究、物价管理、事业运行以外的其他发展与改革事务支出。</w:t>
      </w:r>
    </w:p>
    <w:p>
      <w:pPr>
        <w:shd w:val="solid" w:color="FFFFFF" w:fill="auto"/>
        <w:autoSpaceDN w:val="0"/>
        <w:spacing w:line="540" w:lineRule="exact"/>
        <w:ind w:firstLine="640"/>
        <w:rPr>
          <w:rFonts w:eastAsia="仿宋"/>
          <w:sz w:val="32"/>
          <w:shd w:val="clear" w:color="auto" w:fill="FFFFFF"/>
        </w:rPr>
      </w:pPr>
      <w:r>
        <w:rPr>
          <w:rFonts w:eastAsia="仿宋"/>
          <w:sz w:val="32"/>
          <w:shd w:val="clear" w:color="auto" w:fill="FFFFFF"/>
        </w:rPr>
        <w:t>16.一般公共服务支出（类）其他共产党事务支出（款）其他共产党事务支出（项）：指反映除行政运行、一般行政管理事务、机关服务、事业运行以外的其他用于中国共产党事务的支出。</w:t>
      </w:r>
    </w:p>
    <w:p>
      <w:pPr>
        <w:shd w:val="solid" w:color="FFFFFF" w:fill="auto"/>
        <w:autoSpaceDN w:val="0"/>
        <w:spacing w:line="540" w:lineRule="exact"/>
        <w:ind w:firstLine="640"/>
        <w:rPr>
          <w:rFonts w:eastAsia="仿宋"/>
          <w:sz w:val="32"/>
          <w:shd w:val="clear" w:color="auto" w:fill="FFFFFF"/>
        </w:rPr>
      </w:pPr>
      <w:r>
        <w:rPr>
          <w:rFonts w:eastAsia="仿宋"/>
          <w:sz w:val="32"/>
          <w:shd w:val="clear" w:color="auto" w:fill="FFFFFF"/>
        </w:rPr>
        <w:t>17.一般公共服务支出（类）其他一般公共服务支出（款）其他一般公共服务支出（项）：指反映上述项目以外的其他一般公共服务支出。</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18.教育支出（类）进修及培训（款）培训支出（项）：指反映各部门安排的用于培训方面的支出。教育部门的师资培训，党校、行政学院等专业干部教育机构的支出，以及退役士兵、转业士官的培训支出，不在本科目反映。</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19.科学技术支出（类）应用研究（款）机构运行（项）：指反映应用研究机构的基本支出。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20.科学技术支出（类）应用研究（款）社会公益研究（项）：指反映从事卫生、劳动保护、计划生育、环境科学、农业等社会公益专项科研方面的支出。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21.科学技术支出（类）应用研究（款）其他应用研究支出（项）：指反映除机构运行、社会公益研究、高技术研究、专项科研试制以外其他用于应用研究方面的支出。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22.社会保障和就业支出（类）行政事业单位离退休（款）事业单位离退休（项）：指实行归口管理的事业单位开支的离退休经费。</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23.社会保障和就业支出（类）行政事业单位离退休（款）未归口管理的行政单位离退休（项）：指反映行归口管理的行政单位（包括实行公务员管理的事业单位）开支的离退休支出。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24.社会保障和就业支出（类）行政事业单位离退休（款）机关事业单位基本养老缴费支出（项）：指反映事业单位实施养老保险制度由单位缴纳的基本养老保险费支出。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25.社会保障和就业支出（类）行政事业单位离退休（款）机关事业单位职业年金缴费支出（项）：指反映事业单位实施养老保险制度由单位实际缴纳的职业年金支出。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26.社会保障和就业支出（类）抚恤（款）死亡抚恤（项）：指反映按规定用于烈士和牺牲、病故人员家属的一次性和定期抚恤金以及丧葬补助费。</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27.社会保障和就业支出（类）其他社会保障和就业支出（款）其他社会保障和就业支出（项）：指反映除人力资源和社会保障管理、民政管理事务、补充全国社会保障基金、象征事业单位离退休、企业改革补助、就业补助、抚恤、退役安置、社会福利、残疾人事业、自然灾害生活补助、红十字事业、最低生活保障、临时救助等项目以外其他用于社会保障和就业方面的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28.医疗卫生与计划生育支出（类）医疗保障（款）行政单位医疗（项）：指反映财政部门集中安排的行政单位基本医疗保险缴费经费，未参加医疗保险的行政单位的公费医疗经费，按国家规定享受离休人员、红军老战士待遇人员的医疗经费。</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29.医疗卫生与计划生育支出（类）医疗保障（款）事业单位医疗（项）：指反映财政部门集中安排的事业单位基本医疗保险缴费经费，未参加医疗保险的事业单位的公费医疗经费，按国家规定享受离休人员待遇的医疗经费。</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30.医疗卫生与计划生育支出（类）医疗保障（款）公务员医疗补助（项）：指反映财政部门集中安排的公务员医疗补助经费。</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31.节能环保支出（类）循环经济（款）循环经济（项）：</w:t>
      </w:r>
    </w:p>
    <w:p>
      <w:pPr>
        <w:shd w:val="solid" w:color="FFFFFF" w:fill="auto"/>
        <w:autoSpaceDN w:val="0"/>
        <w:spacing w:line="540" w:lineRule="exact"/>
        <w:rPr>
          <w:rFonts w:eastAsia="仿宋"/>
          <w:shd w:val="clear" w:color="auto" w:fill="FFFFFF"/>
        </w:rPr>
      </w:pPr>
      <w:r>
        <w:rPr>
          <w:rFonts w:eastAsia="仿宋"/>
          <w:sz w:val="32"/>
          <w:shd w:val="clear" w:color="auto" w:fill="FFFFFF"/>
        </w:rPr>
        <w:t>指反映用于循环经济（含资源综合利用）方面的支出。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32.节能环保支出（类）能源管理事务（款）其他能源管理事务支出（项）：指反映除行政运行、一般行政管理事务、机关服务、能源预测预警、能源战略规划与实施、能源科技装备、能源管理、石油储备发展管理、能源调查、信息化建设、农村电网建设、事业运行以外用于能源管理事务的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33.资源勘探信息等支出（类）安全生产监管支出（款）其他安全生产监管支出（项）：指反映除行政运行、一般行政管理事务、机关服务、国务院安委会专项、安全监管监察专项、应急救援支出、煤炭安全以外其他用于安全生产监管等方面的支出。</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34.住房保障支出（类）住房改革支出（款）住房公积金（项）：指反映行政事业单位按人力资源和社会保障部、财政部规定的基本工资和津贴补贴以及规定比例为职工缴纳的住房公积金。</w:t>
      </w:r>
    </w:p>
    <w:p>
      <w:pPr>
        <w:shd w:val="solid" w:color="FFFFFF" w:fill="auto"/>
        <w:autoSpaceDN w:val="0"/>
        <w:spacing w:line="540" w:lineRule="exact"/>
        <w:ind w:firstLine="640" w:firstLineChars="200"/>
        <w:rPr>
          <w:rFonts w:eastAsia="仿宋"/>
          <w:shd w:val="clear" w:color="auto" w:fill="FFFFFF"/>
        </w:rPr>
      </w:pPr>
      <w:r>
        <w:rPr>
          <w:rFonts w:eastAsia="仿宋"/>
          <w:sz w:val="32"/>
          <w:shd w:val="clear" w:color="auto" w:fill="FFFFFF"/>
        </w:rPr>
        <w:t>35.住房保障支出（类）住房改革支出（款）购房补贴（项）：指反映按房改政策规定，行政事业单位向符合条件职工（含离退休）、军队（含武警）向转役复员离退休人员发放的用于购买住房的补贴。</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36.其他支出（类）其他支出（款）其他支出（项）：指反映不能划分到具体功能科目中的支出项目。</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37.债务还本支出（类）地方政府一般债务还本支出（款）地方政府向外国政府借款还本支出（项）：指反映地方政府用于归还通过中央政府直接转贷或委托银行转贷向外国政府借款本金所发生的支出。</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38.结余分配：指事业单位按规定提取的职工福利基金、事业基金和缴纳的所得税，以及建设单位按规定应交回的基本建设竣工项目结余资金。</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39.年末结转和结余：指本年度或以前年度预算安排、因客观条件发生变化无法按原计划实施，需延迟到以后年度按有关规定继续使用的资金。</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40.基本支出：指为保障机构正常运转、完成日常工作任务而发生的人员支出和公用支出。</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41.项目支出：指在基本支出之外为完成特定行政任务和事业发展目标所发生的支出。</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42.经营支出：指事业单位在专业业务活动及其辅助活动之外开展非独立核算经营活动发生的支出。</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43.“三公”经费：纳入省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hd w:val="solid" w:color="FFFFFF" w:fill="auto"/>
        <w:autoSpaceDN w:val="0"/>
        <w:spacing w:line="540" w:lineRule="exact"/>
        <w:ind w:firstLine="640"/>
        <w:rPr>
          <w:rFonts w:eastAsia="仿宋"/>
          <w:shd w:val="clear" w:color="auto" w:fill="FFFFFF"/>
        </w:rPr>
      </w:pPr>
      <w:r>
        <w:rPr>
          <w:rFonts w:eastAsia="仿宋"/>
          <w:sz w:val="32"/>
          <w:shd w:val="clear" w:color="auto" w:fill="FFFFFF"/>
        </w:rPr>
        <w:t>44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center"/>
        <w:outlineLvl w:val="0"/>
        <w:rPr>
          <w:rFonts w:eastAsia="黑体"/>
          <w:sz w:val="44"/>
          <w:szCs w:val="44"/>
        </w:rPr>
      </w:pPr>
      <w:bookmarkStart w:id="83" w:name="_Toc15396614"/>
      <w:bookmarkStart w:id="84" w:name="_Toc15377226"/>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pStyle w:val="2"/>
        <w:spacing w:line="540" w:lineRule="exact"/>
        <w:ind w:left="1300" w:hanging="880"/>
        <w:rPr>
          <w:rFonts w:eastAsia="黑体"/>
          <w:sz w:val="44"/>
          <w:szCs w:val="44"/>
        </w:rPr>
      </w:pPr>
    </w:p>
    <w:p>
      <w:pPr>
        <w:spacing w:line="540" w:lineRule="exact"/>
        <w:rPr>
          <w:rFonts w:eastAsia="黑体"/>
          <w:sz w:val="44"/>
          <w:szCs w:val="44"/>
        </w:rPr>
      </w:pPr>
    </w:p>
    <w:p>
      <w:pPr>
        <w:pStyle w:val="2"/>
        <w:spacing w:line="540" w:lineRule="exact"/>
        <w:ind w:left="1300" w:hanging="880"/>
        <w:rPr>
          <w:rFonts w:eastAsia="黑体"/>
          <w:sz w:val="44"/>
          <w:szCs w:val="44"/>
        </w:rPr>
      </w:pPr>
    </w:p>
    <w:p>
      <w:pPr>
        <w:spacing w:line="540" w:lineRule="exact"/>
        <w:rPr>
          <w:rFonts w:eastAsia="黑体"/>
          <w:sz w:val="44"/>
          <w:szCs w:val="44"/>
        </w:rPr>
      </w:pPr>
    </w:p>
    <w:p>
      <w:pPr>
        <w:pStyle w:val="2"/>
        <w:spacing w:line="540" w:lineRule="exact"/>
        <w:ind w:left="1300" w:hanging="880"/>
        <w:rPr>
          <w:rFonts w:eastAsia="黑体"/>
          <w:sz w:val="44"/>
          <w:szCs w:val="44"/>
        </w:rPr>
      </w:pPr>
    </w:p>
    <w:p>
      <w:pPr>
        <w:spacing w:line="540" w:lineRule="exact"/>
        <w:rPr>
          <w:rFonts w:eastAsia="黑体"/>
          <w:sz w:val="44"/>
          <w:szCs w:val="44"/>
        </w:rPr>
      </w:pPr>
    </w:p>
    <w:p>
      <w:pPr>
        <w:pStyle w:val="2"/>
        <w:spacing w:line="540" w:lineRule="exact"/>
        <w:ind w:left="1300" w:hanging="880"/>
        <w:rPr>
          <w:rFonts w:eastAsia="黑体"/>
          <w:sz w:val="44"/>
          <w:szCs w:val="44"/>
        </w:rPr>
      </w:pPr>
    </w:p>
    <w:p>
      <w:pPr>
        <w:spacing w:line="540" w:lineRule="exact"/>
        <w:rPr>
          <w:rFonts w:eastAsia="黑体"/>
          <w:sz w:val="44"/>
          <w:szCs w:val="44"/>
        </w:rPr>
      </w:pPr>
    </w:p>
    <w:p>
      <w:pPr>
        <w:pStyle w:val="2"/>
        <w:spacing w:line="540" w:lineRule="exact"/>
        <w:ind w:left="1300" w:hanging="880"/>
        <w:rPr>
          <w:rFonts w:eastAsia="黑体"/>
          <w:sz w:val="44"/>
          <w:szCs w:val="44"/>
        </w:rPr>
      </w:pPr>
    </w:p>
    <w:p>
      <w:pPr>
        <w:spacing w:line="540" w:lineRule="exact"/>
        <w:rPr>
          <w:rFonts w:eastAsia="黑体"/>
          <w:sz w:val="44"/>
          <w:szCs w:val="44"/>
        </w:rPr>
      </w:pPr>
    </w:p>
    <w:p>
      <w:pPr>
        <w:pStyle w:val="2"/>
        <w:spacing w:line="540" w:lineRule="exact"/>
        <w:ind w:left="1300" w:hanging="880"/>
        <w:rPr>
          <w:rFonts w:eastAsia="黑体"/>
          <w:sz w:val="44"/>
          <w:szCs w:val="44"/>
        </w:rPr>
      </w:pPr>
    </w:p>
    <w:p>
      <w:pPr>
        <w:spacing w:line="540" w:lineRule="exact"/>
        <w:rPr>
          <w:rFonts w:eastAsia="黑体"/>
          <w:sz w:val="44"/>
          <w:szCs w:val="44"/>
        </w:rPr>
      </w:pPr>
    </w:p>
    <w:p>
      <w:pPr>
        <w:pStyle w:val="2"/>
        <w:spacing w:line="540" w:lineRule="exact"/>
        <w:ind w:left="1300" w:hanging="880"/>
        <w:rPr>
          <w:rFonts w:eastAsia="黑体"/>
          <w:sz w:val="44"/>
          <w:szCs w:val="44"/>
        </w:rPr>
      </w:pPr>
    </w:p>
    <w:p>
      <w:pPr>
        <w:spacing w:line="540" w:lineRule="exact"/>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bookmarkStart w:id="85" w:name="_Toc32131"/>
    </w:p>
    <w:p>
      <w:pPr>
        <w:spacing w:line="540" w:lineRule="exact"/>
        <w:jc w:val="center"/>
        <w:outlineLvl w:val="0"/>
        <w:rPr>
          <w:rStyle w:val="33"/>
          <w:rFonts w:eastAsia="黑体"/>
          <w:b w:val="0"/>
        </w:rPr>
      </w:pPr>
      <w:r>
        <w:rPr>
          <w:rFonts w:eastAsia="黑体"/>
          <w:sz w:val="44"/>
          <w:szCs w:val="44"/>
        </w:rPr>
        <w:t>第</w:t>
      </w:r>
      <w:r>
        <w:rPr>
          <w:rStyle w:val="33"/>
          <w:rFonts w:eastAsia="黑体"/>
          <w:b w:val="0"/>
        </w:rPr>
        <w:t>四部分 附件</w:t>
      </w:r>
      <w:bookmarkEnd w:id="83"/>
      <w:bookmarkEnd w:id="85"/>
    </w:p>
    <w:p>
      <w:pPr>
        <w:spacing w:line="540" w:lineRule="exact"/>
        <w:rPr>
          <w:rFonts w:eastAsia="仿宋_GB2312"/>
          <w:sz w:val="32"/>
          <w:szCs w:val="32"/>
        </w:rPr>
      </w:pPr>
    </w:p>
    <w:p>
      <w:pPr>
        <w:snapToGrid w:val="0"/>
        <w:spacing w:line="540" w:lineRule="exact"/>
        <w:jc w:val="center"/>
        <w:rPr>
          <w:rFonts w:eastAsia="方正小标宋简体"/>
          <w:sz w:val="44"/>
          <w:szCs w:val="44"/>
        </w:rPr>
      </w:pPr>
      <w:r>
        <w:rPr>
          <w:rFonts w:eastAsia="方正小标宋简体"/>
          <w:sz w:val="44"/>
          <w:szCs w:val="44"/>
        </w:rPr>
        <w:t>2020年部门预算项目支出绩效自评报告</w:t>
      </w:r>
    </w:p>
    <w:p>
      <w:pPr>
        <w:tabs>
          <w:tab w:val="left" w:pos="3885"/>
        </w:tabs>
        <w:snapToGrid w:val="0"/>
        <w:spacing w:line="540" w:lineRule="exact"/>
        <w:jc w:val="center"/>
        <w:rPr>
          <w:rFonts w:eastAsia="仿宋_GB2312"/>
          <w:sz w:val="32"/>
          <w:szCs w:val="32"/>
        </w:rPr>
      </w:pPr>
      <w:r>
        <w:rPr>
          <w:rFonts w:eastAsia="仿宋_GB2312"/>
          <w:sz w:val="32"/>
          <w:szCs w:val="32"/>
        </w:rPr>
        <w:t>（“十四五”规划前期工作专项经费项目）</w:t>
      </w:r>
    </w:p>
    <w:p>
      <w:pPr>
        <w:tabs>
          <w:tab w:val="left" w:pos="3885"/>
        </w:tabs>
        <w:snapToGrid w:val="0"/>
        <w:spacing w:line="540" w:lineRule="exact"/>
        <w:ind w:firstLine="422" w:firstLineChars="200"/>
        <w:rPr>
          <w:b/>
          <w:szCs w:val="21"/>
        </w:rPr>
      </w:pPr>
    </w:p>
    <w:p>
      <w:pPr>
        <w:tabs>
          <w:tab w:val="left" w:pos="3885"/>
        </w:tabs>
        <w:snapToGrid w:val="0"/>
        <w:spacing w:line="540" w:lineRule="exact"/>
        <w:rPr>
          <w:rFonts w:eastAsia="黑体"/>
          <w:sz w:val="32"/>
          <w:szCs w:val="32"/>
        </w:rPr>
      </w:pPr>
      <w:r>
        <w:rPr>
          <w:rFonts w:eastAsia="黑体"/>
          <w:sz w:val="32"/>
          <w:szCs w:val="32"/>
        </w:rPr>
        <w:t xml:space="preserve">    一、基本情况</w:t>
      </w:r>
    </w:p>
    <w:p>
      <w:pPr>
        <w:tabs>
          <w:tab w:val="left" w:pos="3885"/>
        </w:tabs>
        <w:snapToGrid w:val="0"/>
        <w:spacing w:line="540" w:lineRule="exact"/>
        <w:ind w:firstLine="640" w:firstLineChars="200"/>
        <w:rPr>
          <w:rFonts w:eastAsia="仿宋_GB2312"/>
          <w:sz w:val="32"/>
          <w:szCs w:val="32"/>
        </w:rPr>
      </w:pPr>
      <w:r>
        <w:rPr>
          <w:rFonts w:eastAsia="仿宋_GB2312"/>
          <w:sz w:val="32"/>
          <w:szCs w:val="32"/>
        </w:rPr>
        <w:t>按照全国“十四五”规划编制工作会和国家发展改革委《关于做好“十四五”规划前期工作的通知》（发改规划〔2019〕544号）要求，为精准研判我省“十四五”时期面临的全局性、前瞻性、关键性问题，有效支撑我省“十四五”规划《纲要》编制，我委围绕基本实现社会主义现代化、推进实施重大战略、贯彻落实省委省政府重大部署安排、经济社会重点领域和薄弱环节等方面，计划组织开展“十四五”规划前期课题研究33个、“十四五”规划《基本思路》研究1个。经2020年第23次委党组会议研究决定，“十四五”规划前期课题研究最终调整为27个，“十四五”规划《基本思路》研究1个。</w:t>
      </w:r>
    </w:p>
    <w:p>
      <w:pPr>
        <w:tabs>
          <w:tab w:val="left" w:pos="3885"/>
        </w:tabs>
        <w:snapToGrid w:val="0"/>
        <w:spacing w:line="540" w:lineRule="exact"/>
        <w:ind w:firstLine="640" w:firstLineChars="200"/>
        <w:rPr>
          <w:rFonts w:eastAsia="仿宋_GB2312"/>
          <w:sz w:val="32"/>
          <w:szCs w:val="32"/>
        </w:rPr>
      </w:pPr>
      <w:r>
        <w:rPr>
          <w:rFonts w:eastAsia="仿宋_GB2312"/>
          <w:sz w:val="32"/>
          <w:szCs w:val="32"/>
        </w:rPr>
        <w:t>截至2020年12月，27个“十四五”规划前期课题研究和1个“十四五”规划《基本思路》研究全部完成并通过专家评审。财政厅于2020年6月在我委部门预算中下达400万元专项经费，其中385万元已于2020年拨付完毕，另有15万元经费为省决咨委承担的《四川面向2035年经济社会发展战略研究》课题经费。省决咨委要求我委以部门预算形式拨付其15万元课题经费，即在2020年部门预算计划中，省决咨委调增15万元，省发展改革委调减15万元。上述要求超出我委职能，经与省决咨委方面多次协商并达成一致，该笔课题经费不再拨付，相关资金按程序被省财政厅收回。</w:t>
      </w:r>
    </w:p>
    <w:p>
      <w:pPr>
        <w:snapToGrid w:val="0"/>
        <w:spacing w:line="540" w:lineRule="exact"/>
        <w:ind w:firstLine="640" w:firstLineChars="200"/>
        <w:rPr>
          <w:rFonts w:eastAsia="仿宋_GB2312"/>
          <w:sz w:val="32"/>
          <w:szCs w:val="32"/>
        </w:rPr>
      </w:pPr>
      <w:r>
        <w:rPr>
          <w:rFonts w:eastAsia="黑体"/>
          <w:sz w:val="32"/>
          <w:szCs w:val="32"/>
        </w:rPr>
        <w:t>二、评价工作开展情况</w:t>
      </w:r>
    </w:p>
    <w:p>
      <w:pPr>
        <w:snapToGrid w:val="0"/>
        <w:spacing w:line="540" w:lineRule="exact"/>
        <w:ind w:firstLine="640" w:firstLineChars="200"/>
        <w:rPr>
          <w:rFonts w:eastAsia="仿宋_GB2312"/>
          <w:sz w:val="32"/>
          <w:szCs w:val="32"/>
        </w:rPr>
      </w:pPr>
      <w:r>
        <w:rPr>
          <w:rFonts w:eastAsia="仿宋_GB2312"/>
          <w:sz w:val="32"/>
          <w:szCs w:val="32"/>
        </w:rPr>
        <w:t>认真组织学习财政部《项目支出绩效评价管理办法》和财政厅《四川省省级项目支出绩效管理办法》，按照财政厅《关于开展2021年部门、政策和项目支出绩效评价工作的通知》要求，全面梳理牵头开展的四川省“十四五”规划前期研究项目决策、实施、资金使用、产出效益等相关情况，研究形成由完成指标、效益指标两个一级指标，数量指标、质量指标、时效指标、经济效益指标、社会效益指标、可持续影响指标六个二级指标构成的评价指标体系，扎实开展部门预算项目绩效自评工作，认真撰写自评报告。</w:t>
      </w:r>
    </w:p>
    <w:p>
      <w:pPr>
        <w:snapToGrid w:val="0"/>
        <w:spacing w:line="540" w:lineRule="exact"/>
        <w:ind w:firstLine="640" w:firstLineChars="200"/>
        <w:rPr>
          <w:rFonts w:eastAsia="黑体"/>
          <w:sz w:val="32"/>
          <w:szCs w:val="32"/>
        </w:rPr>
      </w:pPr>
      <w:r>
        <w:rPr>
          <w:rFonts w:eastAsia="黑体"/>
          <w:sz w:val="32"/>
          <w:szCs w:val="32"/>
        </w:rPr>
        <w:t>三、综合评价结论</w:t>
      </w:r>
    </w:p>
    <w:p>
      <w:pPr>
        <w:snapToGrid w:val="0"/>
        <w:spacing w:line="540" w:lineRule="exact"/>
        <w:ind w:firstLine="640" w:firstLineChars="200"/>
        <w:rPr>
          <w:rFonts w:eastAsia="仿宋_GB2312"/>
          <w:sz w:val="32"/>
          <w:szCs w:val="32"/>
        </w:rPr>
      </w:pPr>
      <w:r>
        <w:rPr>
          <w:rFonts w:eastAsia="仿宋_GB2312"/>
          <w:sz w:val="32"/>
          <w:szCs w:val="32"/>
        </w:rPr>
        <w:t>通过开展绩效自评，项目完成质量和项目实现的经济、社会、可持续影响效应都与预期目标一致，项目数量指标的调整符合实际、程序合规。（详见评分表）</w:t>
      </w:r>
    </w:p>
    <w:p>
      <w:pPr>
        <w:snapToGrid w:val="0"/>
        <w:spacing w:line="540" w:lineRule="exact"/>
        <w:ind w:firstLine="640" w:firstLineChars="200"/>
        <w:rPr>
          <w:rFonts w:eastAsia="黑体"/>
          <w:bCs/>
          <w:sz w:val="32"/>
          <w:szCs w:val="32"/>
        </w:rPr>
      </w:pPr>
      <w:r>
        <w:rPr>
          <w:rFonts w:eastAsia="黑体"/>
          <w:bCs/>
          <w:sz w:val="32"/>
          <w:szCs w:val="32"/>
        </w:rPr>
        <w:t>四、绩效评价分析</w:t>
      </w:r>
    </w:p>
    <w:p>
      <w:pPr>
        <w:snapToGrid w:val="0"/>
        <w:spacing w:line="540" w:lineRule="exact"/>
        <w:ind w:firstLine="643" w:firstLineChars="200"/>
        <w:rPr>
          <w:sz w:val="32"/>
          <w:szCs w:val="32"/>
        </w:rPr>
      </w:pPr>
      <w:r>
        <w:rPr>
          <w:rFonts w:eastAsia="楷体_GB2312"/>
          <w:b/>
          <w:sz w:val="32"/>
          <w:szCs w:val="32"/>
        </w:rPr>
        <w:t>（一）项目决策情况。</w:t>
      </w:r>
      <w:r>
        <w:rPr>
          <w:rFonts w:eastAsia="仿宋_GB2312"/>
          <w:sz w:val="32"/>
          <w:szCs w:val="32"/>
        </w:rPr>
        <w:t>我委组织开展四川省“十四五”规划前期研究课题选题经委内深入讨论研究形成，充分征求了省直相关部门意见，并多次邀请专家进行咨询论证后确定。</w:t>
      </w:r>
    </w:p>
    <w:p>
      <w:pPr>
        <w:snapToGrid w:val="0"/>
        <w:spacing w:line="540" w:lineRule="exact"/>
        <w:ind w:firstLine="643" w:firstLineChars="200"/>
        <w:rPr>
          <w:rFonts w:eastAsia="仿宋_GB2312"/>
          <w:sz w:val="32"/>
          <w:szCs w:val="32"/>
        </w:rPr>
      </w:pPr>
      <w:r>
        <w:rPr>
          <w:rFonts w:eastAsia="楷体_GB2312"/>
          <w:b/>
          <w:sz w:val="32"/>
          <w:szCs w:val="32"/>
        </w:rPr>
        <w:t>（二）项目管理情况。</w:t>
      </w:r>
      <w:r>
        <w:rPr>
          <w:rFonts w:eastAsia="仿宋_GB2312"/>
          <w:sz w:val="32"/>
          <w:szCs w:val="32"/>
        </w:rPr>
        <w:t>我委于2019年7月17日印发《四川省“十四五”规划前期课题研究推进工作方案》（川发改办规划〔2019〕39号），明确了项目组织方式、承担单位选聘、进度安排、经费安排，在课题编制过程中加强工作统筹协调，确保顺利有效实施。</w:t>
      </w:r>
    </w:p>
    <w:p>
      <w:pPr>
        <w:snapToGrid w:val="0"/>
        <w:spacing w:line="540" w:lineRule="exact"/>
        <w:ind w:firstLine="643" w:firstLineChars="200"/>
        <w:rPr>
          <w:sz w:val="32"/>
          <w:szCs w:val="32"/>
        </w:rPr>
      </w:pPr>
      <w:r>
        <w:rPr>
          <w:rFonts w:eastAsia="楷体_GB2312"/>
          <w:b/>
          <w:sz w:val="32"/>
          <w:szCs w:val="32"/>
        </w:rPr>
        <w:t>（三）项目产出情况。</w:t>
      </w:r>
      <w:r>
        <w:rPr>
          <w:rFonts w:eastAsia="仿宋_GB2312"/>
          <w:sz w:val="32"/>
          <w:szCs w:val="32"/>
        </w:rPr>
        <w:t>该项目最终形成27个课题研究报告、1个我省“十四五”规划《基本思路》研究报告，均通过专家评审。</w:t>
      </w:r>
    </w:p>
    <w:p>
      <w:pPr>
        <w:snapToGrid w:val="0"/>
        <w:spacing w:line="540" w:lineRule="exact"/>
        <w:ind w:firstLine="643" w:firstLineChars="200"/>
        <w:rPr>
          <w:rFonts w:eastAsia="仿宋_GB2312"/>
          <w:b/>
          <w:sz w:val="32"/>
          <w:szCs w:val="32"/>
        </w:rPr>
      </w:pPr>
      <w:r>
        <w:rPr>
          <w:rFonts w:eastAsia="楷体_GB2312"/>
          <w:b/>
          <w:sz w:val="32"/>
          <w:szCs w:val="32"/>
        </w:rPr>
        <w:t>（四）项目效益情况。</w:t>
      </w:r>
      <w:r>
        <w:rPr>
          <w:rFonts w:eastAsia="仿宋_GB2312"/>
          <w:sz w:val="32"/>
          <w:szCs w:val="32"/>
        </w:rPr>
        <w:t>经过27个课题研究和省“十四五”规划《基本思路》研究，进一步深化了对全省“十四五”时期经济社会发展重大问题的认识，对我省“十四五”规划《基本思路》起草和规划《纲要》编制提供了有力支撑。</w:t>
      </w:r>
    </w:p>
    <w:p>
      <w:pPr>
        <w:snapToGrid w:val="0"/>
        <w:spacing w:line="540" w:lineRule="exact"/>
        <w:ind w:firstLine="640" w:firstLineChars="200"/>
        <w:rPr>
          <w:sz w:val="32"/>
          <w:szCs w:val="32"/>
        </w:rPr>
      </w:pPr>
      <w:r>
        <w:rPr>
          <w:rFonts w:eastAsia="黑体"/>
          <w:sz w:val="32"/>
          <w:szCs w:val="32"/>
        </w:rPr>
        <w:t>五、存在主要问题</w:t>
      </w:r>
    </w:p>
    <w:p>
      <w:pPr>
        <w:snapToGrid w:val="0"/>
        <w:spacing w:line="540" w:lineRule="exact"/>
        <w:ind w:firstLine="640" w:firstLineChars="200"/>
        <w:rPr>
          <w:rFonts w:eastAsia="仿宋_GB2312"/>
          <w:sz w:val="32"/>
          <w:szCs w:val="32"/>
        </w:rPr>
      </w:pPr>
      <w:r>
        <w:rPr>
          <w:rFonts w:eastAsia="仿宋_GB2312"/>
          <w:sz w:val="32"/>
          <w:szCs w:val="32"/>
        </w:rPr>
        <w:t>无</w:t>
      </w:r>
    </w:p>
    <w:p>
      <w:pPr>
        <w:snapToGrid w:val="0"/>
        <w:spacing w:line="540" w:lineRule="exact"/>
        <w:ind w:firstLine="640" w:firstLineChars="200"/>
        <w:rPr>
          <w:rFonts w:eastAsia="黑体"/>
          <w:sz w:val="32"/>
          <w:szCs w:val="32"/>
        </w:rPr>
      </w:pPr>
      <w:r>
        <w:rPr>
          <w:rFonts w:eastAsia="黑体"/>
          <w:sz w:val="32"/>
          <w:szCs w:val="32"/>
        </w:rPr>
        <w:t>六、相关措施建议</w:t>
      </w:r>
    </w:p>
    <w:p>
      <w:pPr>
        <w:snapToGrid w:val="0"/>
        <w:spacing w:line="540" w:lineRule="exact"/>
        <w:ind w:firstLine="640" w:firstLineChars="200"/>
        <w:rPr>
          <w:rFonts w:eastAsia="仿宋_GB2312"/>
          <w:sz w:val="32"/>
          <w:szCs w:val="32"/>
        </w:rPr>
      </w:pPr>
      <w:r>
        <w:rPr>
          <w:rFonts w:eastAsia="仿宋_GB2312"/>
          <w:sz w:val="32"/>
          <w:szCs w:val="32"/>
        </w:rPr>
        <w:t>无</w:t>
      </w:r>
    </w:p>
    <w:p>
      <w:pPr>
        <w:pStyle w:val="31"/>
        <w:spacing w:line="540" w:lineRule="exact"/>
        <w:rPr>
          <w:rFonts w:ascii="Times New Roman" w:hAnsi="Times New Roman" w:cs="Times New Roman"/>
          <w:color w:val="auto"/>
        </w:rPr>
      </w:pPr>
    </w:p>
    <w:p>
      <w:pPr>
        <w:snapToGrid w:val="0"/>
        <w:spacing w:line="540" w:lineRule="exact"/>
        <w:jc w:val="center"/>
        <w:rPr>
          <w:rFonts w:eastAsia="方正小标宋简体"/>
          <w:sz w:val="32"/>
          <w:szCs w:val="32"/>
        </w:rPr>
      </w:pPr>
      <w:r>
        <w:rPr>
          <w:rFonts w:eastAsia="方正小标宋简体"/>
          <w:sz w:val="32"/>
          <w:szCs w:val="32"/>
        </w:rPr>
        <w:t>“十四五”规划前期工作专项经费项目支出绩效自评表</w:t>
      </w:r>
    </w:p>
    <w:tbl>
      <w:tblPr>
        <w:tblStyle w:val="20"/>
        <w:tblpPr w:leftFromText="180" w:rightFromText="180" w:vertAnchor="text" w:horzAnchor="page" w:tblpX="1428" w:tblpY="404"/>
        <w:tblOverlap w:val="never"/>
        <w:tblW w:w="9660" w:type="dxa"/>
        <w:tblInd w:w="0" w:type="dxa"/>
        <w:tblLayout w:type="fixed"/>
        <w:tblCellMar>
          <w:top w:w="0" w:type="dxa"/>
          <w:left w:w="108" w:type="dxa"/>
          <w:bottom w:w="0" w:type="dxa"/>
          <w:right w:w="108" w:type="dxa"/>
        </w:tblCellMar>
      </w:tblPr>
      <w:tblGrid>
        <w:gridCol w:w="1380"/>
        <w:gridCol w:w="1980"/>
        <w:gridCol w:w="3960"/>
        <w:gridCol w:w="1089"/>
        <w:gridCol w:w="1251"/>
      </w:tblGrid>
      <w:tr>
        <w:tblPrEx>
          <w:tblCellMar>
            <w:top w:w="0" w:type="dxa"/>
            <w:left w:w="108" w:type="dxa"/>
            <w:bottom w:w="0" w:type="dxa"/>
            <w:right w:w="108" w:type="dxa"/>
          </w:tblCellMar>
        </w:tblPrEx>
        <w:trPr>
          <w:trHeight w:val="75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4"/>
              </w:rPr>
            </w:pPr>
            <w:r>
              <w:rPr>
                <w:b/>
                <w:bCs/>
                <w:kern w:val="0"/>
                <w:sz w:val="24"/>
              </w:rPr>
              <w:t>一级指标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4"/>
              </w:rPr>
            </w:pPr>
            <w:r>
              <w:rPr>
                <w:b/>
                <w:bCs/>
                <w:kern w:val="0"/>
                <w:sz w:val="24"/>
              </w:rPr>
              <w:t>二级指标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4"/>
              </w:rPr>
            </w:pPr>
            <w:r>
              <w:rPr>
                <w:b/>
                <w:bCs/>
                <w:kern w:val="0"/>
                <w:sz w:val="24"/>
              </w:rPr>
              <w:t>三级指标</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4"/>
              </w:rPr>
            </w:pPr>
            <w:r>
              <w:rPr>
                <w:b/>
                <w:bCs/>
                <w:kern w:val="0"/>
                <w:sz w:val="24"/>
              </w:rPr>
              <w:t>分值</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4"/>
              </w:rPr>
            </w:pPr>
            <w:r>
              <w:rPr>
                <w:b/>
                <w:bCs/>
                <w:kern w:val="0"/>
                <w:sz w:val="24"/>
              </w:rPr>
              <w:t>自评得分</w:t>
            </w:r>
          </w:p>
        </w:tc>
      </w:tr>
      <w:tr>
        <w:tblPrEx>
          <w:tblCellMar>
            <w:top w:w="0" w:type="dxa"/>
            <w:left w:w="108" w:type="dxa"/>
            <w:bottom w:w="0" w:type="dxa"/>
            <w:right w:w="108" w:type="dxa"/>
          </w:tblCellMar>
        </w:tblPrEx>
        <w:trPr>
          <w:trHeight w:val="522" w:hRule="atLeast"/>
        </w:trPr>
        <w:tc>
          <w:tcPr>
            <w:tcW w:w="1380"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hint="eastAsia" w:eastAsia="宋体"/>
                <w:b/>
                <w:bCs/>
                <w:kern w:val="0"/>
                <w:sz w:val="20"/>
                <w:szCs w:val="20"/>
                <w:lang w:eastAsia="zh-CN"/>
              </w:rPr>
            </w:pPr>
            <w:r>
              <w:rPr>
                <w:b/>
                <w:bCs/>
                <w:kern w:val="0"/>
                <w:sz w:val="20"/>
                <w:szCs w:val="20"/>
              </w:rPr>
              <w:t>管理</w:t>
            </w:r>
          </w:p>
          <w:p>
            <w:pPr>
              <w:jc w:val="center"/>
              <w:textAlignment w:val="center"/>
              <w:rPr>
                <w:b/>
                <w:bCs/>
                <w:sz w:val="20"/>
                <w:szCs w:val="20"/>
              </w:rPr>
            </w:pPr>
            <w:r>
              <w:rPr>
                <w:b/>
                <w:bCs/>
                <w:kern w:val="0"/>
                <w:sz w:val="20"/>
                <w:szCs w:val="20"/>
              </w:rPr>
              <w:t>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项目管理指标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加强统筹管理</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530" w:hRule="atLeast"/>
        </w:trPr>
        <w:tc>
          <w:tcPr>
            <w:tcW w:w="1380" w:type="dxa"/>
            <w:vMerge w:val="continue"/>
            <w:tcBorders>
              <w:top w:val="single" w:color="000000" w:sz="4" w:space="0"/>
              <w:left w:val="single" w:color="000000" w:sz="4" w:space="0"/>
              <w:bottom w:val="nil"/>
              <w:right w:val="single" w:color="000000" w:sz="4" w:space="0"/>
            </w:tcBorders>
            <w:vAlign w:val="center"/>
          </w:tcPr>
          <w:p>
            <w:pPr>
              <w:jc w:val="center"/>
              <w:rPr>
                <w:b/>
                <w:bCs/>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资金管理指标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资金及时拨付到位</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4"/>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b/>
                <w:bCs/>
                <w:kern w:val="0"/>
                <w:sz w:val="20"/>
                <w:szCs w:val="20"/>
                <w:lang w:eastAsia="zh-CN"/>
              </w:rPr>
            </w:pPr>
            <w:r>
              <w:rPr>
                <w:b/>
                <w:bCs/>
                <w:kern w:val="0"/>
                <w:sz w:val="20"/>
                <w:szCs w:val="20"/>
              </w:rPr>
              <w:t>完成</w:t>
            </w:r>
          </w:p>
          <w:p>
            <w:pPr>
              <w:jc w:val="center"/>
              <w:textAlignment w:val="center"/>
              <w:rPr>
                <w:b/>
                <w:bCs/>
                <w:sz w:val="20"/>
                <w:szCs w:val="20"/>
              </w:rPr>
            </w:pPr>
            <w:r>
              <w:rPr>
                <w:b/>
                <w:bCs/>
                <w:kern w:val="0"/>
                <w:sz w:val="20"/>
                <w:szCs w:val="20"/>
              </w:rPr>
              <w:t>指标</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数量指标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完成课题研究报告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25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25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47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p>
        </w:tc>
        <w:tc>
          <w:tcPr>
            <w:tcW w:w="3960" w:type="dxa"/>
            <w:tcBorders>
              <w:top w:val="single" w:color="000000" w:sz="4" w:space="0"/>
              <w:left w:val="single" w:color="000000" w:sz="4" w:space="0"/>
              <w:bottom w:val="single" w:color="000000" w:sz="4" w:space="0"/>
              <w:right w:val="single" w:color="000000" w:sz="4" w:space="0"/>
            </w:tcBorders>
            <w:vAlign w:val="center"/>
          </w:tcPr>
          <w:p>
            <w:pPr>
              <w:textAlignment w:val="center"/>
              <w:rPr>
                <w:sz w:val="20"/>
                <w:szCs w:val="20"/>
              </w:rPr>
            </w:pPr>
            <w:r>
              <w:rPr>
                <w:kern w:val="0"/>
                <w:sz w:val="20"/>
                <w:szCs w:val="20"/>
              </w:rPr>
              <w:t>完成“十四五”规划《基本思路》研究报告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44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质量指标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课题专家评审合格</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44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时效指标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按时完成</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66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b/>
                <w:bCs/>
                <w:kern w:val="0"/>
                <w:sz w:val="20"/>
                <w:szCs w:val="20"/>
                <w:lang w:eastAsia="zh-CN"/>
              </w:rPr>
            </w:pPr>
            <w:r>
              <w:rPr>
                <w:b/>
                <w:bCs/>
                <w:kern w:val="0"/>
                <w:sz w:val="20"/>
                <w:szCs w:val="20"/>
              </w:rPr>
              <w:t>效益</w:t>
            </w:r>
          </w:p>
          <w:p>
            <w:pPr>
              <w:jc w:val="center"/>
              <w:textAlignment w:val="center"/>
              <w:rPr>
                <w:b/>
                <w:bCs/>
                <w:sz w:val="20"/>
                <w:szCs w:val="20"/>
              </w:rPr>
            </w:pPr>
            <w:r>
              <w:rPr>
                <w:b/>
                <w:bCs/>
                <w:kern w:val="0"/>
                <w:sz w:val="20"/>
                <w:szCs w:val="20"/>
              </w:rPr>
              <w:t>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经济效益指标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促进提高对全省“十四五”时期经济发展重大问题认识</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71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社会效益指标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促进提高对全省“十四五”时期社会发展重大问题认识</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56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可持续影响指标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sz w:val="20"/>
                <w:szCs w:val="20"/>
              </w:rPr>
            </w:pPr>
            <w:r>
              <w:rPr>
                <w:kern w:val="0"/>
                <w:sz w:val="20"/>
                <w:szCs w:val="20"/>
              </w:rPr>
              <w:t>成果影响年限≥5年</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505" w:hRule="atLeast"/>
        </w:trPr>
        <w:tc>
          <w:tcPr>
            <w:tcW w:w="732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合计</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100分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100分</w:t>
            </w:r>
          </w:p>
        </w:tc>
      </w:tr>
    </w:tbl>
    <w:p>
      <w:pPr>
        <w:snapToGrid w:val="0"/>
        <w:spacing w:line="540" w:lineRule="exact"/>
        <w:jc w:val="center"/>
        <w:rPr>
          <w:rFonts w:eastAsia="方正小标宋简体"/>
          <w:sz w:val="44"/>
          <w:szCs w:val="44"/>
        </w:rPr>
      </w:pPr>
      <w:r>
        <w:rPr>
          <w:rFonts w:eastAsia="方正小标宋简体"/>
          <w:sz w:val="44"/>
          <w:szCs w:val="44"/>
        </w:rPr>
        <w:t>2020年部门预算项目支出绩效自评报告</w:t>
      </w:r>
    </w:p>
    <w:p>
      <w:pPr>
        <w:tabs>
          <w:tab w:val="left" w:pos="3885"/>
        </w:tabs>
        <w:snapToGrid w:val="0"/>
        <w:spacing w:line="540" w:lineRule="exact"/>
        <w:jc w:val="center"/>
        <w:rPr>
          <w:rFonts w:eastAsia="仿宋_GB2312"/>
          <w:sz w:val="32"/>
          <w:szCs w:val="32"/>
        </w:rPr>
      </w:pPr>
      <w:r>
        <w:rPr>
          <w:rFonts w:eastAsia="仿宋_GB2312"/>
          <w:sz w:val="32"/>
          <w:szCs w:val="32"/>
        </w:rPr>
        <w:t>（四川省营商环境第三方评价专项经费（上年结转）项目）</w:t>
      </w:r>
    </w:p>
    <w:p>
      <w:pPr>
        <w:pStyle w:val="31"/>
        <w:spacing w:line="540" w:lineRule="exact"/>
        <w:rPr>
          <w:rFonts w:ascii="Times New Roman" w:hAnsi="Times New Roman" w:cs="Times New Roman"/>
          <w:color w:val="auto"/>
        </w:rPr>
      </w:pPr>
    </w:p>
    <w:p>
      <w:pPr>
        <w:spacing w:line="540" w:lineRule="exact"/>
        <w:ind w:firstLine="640" w:firstLineChars="200"/>
        <w:rPr>
          <w:rFonts w:eastAsia="黑体"/>
          <w:sz w:val="32"/>
          <w:szCs w:val="32"/>
        </w:rPr>
      </w:pPr>
      <w:r>
        <w:rPr>
          <w:rFonts w:eastAsia="黑体"/>
          <w:sz w:val="32"/>
          <w:szCs w:val="32"/>
        </w:rPr>
        <w:t>一、项目概况</w:t>
      </w:r>
    </w:p>
    <w:p>
      <w:pPr>
        <w:spacing w:line="540" w:lineRule="exact"/>
        <w:ind w:firstLine="643" w:firstLineChars="200"/>
        <w:rPr>
          <w:rFonts w:eastAsia="楷体_GB2312"/>
          <w:b/>
          <w:bCs/>
          <w:sz w:val="32"/>
          <w:szCs w:val="32"/>
        </w:rPr>
      </w:pPr>
      <w:r>
        <w:rPr>
          <w:rFonts w:eastAsia="楷体_GB2312"/>
          <w:b/>
          <w:bCs/>
          <w:sz w:val="32"/>
          <w:szCs w:val="32"/>
        </w:rPr>
        <w:t>（一）项目基本情况</w:t>
      </w:r>
    </w:p>
    <w:p>
      <w:pPr>
        <w:spacing w:line="540" w:lineRule="exact"/>
        <w:ind w:firstLine="640" w:firstLineChars="200"/>
        <w:rPr>
          <w:rFonts w:eastAsia="仿宋_GB2312"/>
          <w:sz w:val="32"/>
          <w:szCs w:val="32"/>
        </w:rPr>
      </w:pPr>
      <w:r>
        <w:rPr>
          <w:rFonts w:eastAsia="仿宋_GB2312"/>
          <w:sz w:val="32"/>
          <w:szCs w:val="32"/>
        </w:rPr>
        <w:t>按照省政府《关于印发四川省深化“放管服”改革优化营商环境行动计划（2019—2020年）的通知》中“综合运用第三方评估等多种方式对各地各部门（单位）深化“放管服”改革和优化营商环境工作推进情况进行考评”和省政府办公厅《关于印发四川省深化“放管服”改革优化营商环境2019年工作要点的通知》中“开展全省营商环境评价”的工作部署，我委组织开展2019年四川省营商环境评价。2019年四川省营商环境评价经费预算350万元，实际支付240.44万元，预算执行68.7%。</w:t>
      </w:r>
    </w:p>
    <w:p>
      <w:pPr>
        <w:numPr>
          <w:ilvl w:val="0"/>
          <w:numId w:val="4"/>
        </w:numPr>
        <w:spacing w:line="540" w:lineRule="exact"/>
        <w:ind w:firstLine="643" w:firstLineChars="200"/>
        <w:rPr>
          <w:rFonts w:eastAsia="楷体_GB2312"/>
          <w:b/>
          <w:bCs/>
          <w:sz w:val="32"/>
          <w:szCs w:val="32"/>
        </w:rPr>
      </w:pPr>
      <w:r>
        <w:rPr>
          <w:rFonts w:eastAsia="楷体_GB2312"/>
          <w:b/>
          <w:bCs/>
          <w:sz w:val="32"/>
          <w:szCs w:val="32"/>
        </w:rPr>
        <w:t>项目绩效目标</w:t>
      </w:r>
    </w:p>
    <w:p>
      <w:pPr>
        <w:spacing w:line="540" w:lineRule="exact"/>
        <w:ind w:firstLine="640" w:firstLineChars="200"/>
        <w:rPr>
          <w:rFonts w:eastAsia="仿宋_GB2312"/>
          <w:sz w:val="32"/>
          <w:szCs w:val="32"/>
        </w:rPr>
      </w:pPr>
      <w:r>
        <w:rPr>
          <w:rFonts w:eastAsia="仿宋_GB2312"/>
          <w:sz w:val="32"/>
          <w:szCs w:val="32"/>
        </w:rPr>
        <w:t>本次评价是对全省营商环境现状进行综合分析，对各市（州）进行综合排名和单项排名，形成《四川省营商环境评价报告（2019年度）》《四川省营商环境评价报告—民营经济发展报告》《2019年市（州）营商环境评价报告》，评价结果作为各地“营商便利度”的考核依据和营商环境指标提升专项行动成效的评估依据，为各地各有关部门（单位）对标整改、优化提升提供重要参考。</w:t>
      </w:r>
    </w:p>
    <w:p>
      <w:pPr>
        <w:spacing w:line="540" w:lineRule="exact"/>
        <w:ind w:firstLine="640" w:firstLineChars="200"/>
        <w:rPr>
          <w:rFonts w:eastAsia="仿宋_GB2312"/>
          <w:sz w:val="32"/>
          <w:szCs w:val="32"/>
        </w:rPr>
      </w:pPr>
      <w:r>
        <w:rPr>
          <w:rFonts w:eastAsia="仿宋_GB2312"/>
          <w:sz w:val="32"/>
          <w:szCs w:val="32"/>
        </w:rPr>
        <w:t>《四川省营商环境评价报告（2019年度）》《四川省营商环境评价报告—民营经济发展报告》《2019年市（州）营商环境评价报告》，应对全省营商环境的总体现状进行综合分析，同时对县域营商环境总体现状进行综合分析，梳理总结评价中发现的首创经验和典型做法，并总结共性问题，对标国际国内先进实践，提出针对性举措建议，提供可编辑的纸质版本及电子版本。</w:t>
      </w:r>
    </w:p>
    <w:p>
      <w:pPr>
        <w:numPr>
          <w:ilvl w:val="0"/>
          <w:numId w:val="4"/>
        </w:numPr>
        <w:spacing w:line="540" w:lineRule="exact"/>
        <w:ind w:firstLine="643" w:firstLineChars="200"/>
        <w:rPr>
          <w:rFonts w:eastAsia="楷体_GB2312"/>
          <w:b/>
          <w:bCs/>
          <w:sz w:val="32"/>
          <w:szCs w:val="32"/>
        </w:rPr>
      </w:pPr>
      <w:r>
        <w:rPr>
          <w:rFonts w:eastAsia="楷体_GB2312"/>
          <w:b/>
          <w:bCs/>
          <w:sz w:val="32"/>
          <w:szCs w:val="32"/>
        </w:rPr>
        <w:t>项目实施及管理情况</w:t>
      </w:r>
    </w:p>
    <w:p>
      <w:pPr>
        <w:spacing w:line="540" w:lineRule="exact"/>
        <w:ind w:firstLine="640" w:firstLineChars="200"/>
        <w:rPr>
          <w:rFonts w:eastAsia="仿宋_GB2312"/>
          <w:sz w:val="32"/>
          <w:szCs w:val="32"/>
        </w:rPr>
      </w:pPr>
      <w:r>
        <w:rPr>
          <w:rFonts w:eastAsia="仿宋_GB2312"/>
          <w:sz w:val="32"/>
          <w:szCs w:val="32"/>
        </w:rPr>
        <w:t>本次评价工作经省发展改革委周密部署，于2019年7月启动准备工作，共历时近4个月时间对世界银行、国家发展改革委等营商环境评价指标体系进行分析梳理，结合成都参与2019中国营商环境评价经验，组织高等院校、专业机构等多方专家对评价方法论进行打磨修订。2019年12月，按照《政府采购法》及其实施细则要求，通过公开竞争性磋商确定第三方评价机构后，评价工作赓即启动，按照工作方案，历经一个半月实践完成指引释疑、问卷调查、信息采集、远程佐证资料检查、信息二次确认、现场核验、综合测评和报告撰写等工作，形成《四川省营商环境评价报告（2019年度）》《四川省营商环境评价报告—民营经济发展报告》《2019年市（州）营商环境评价报告》。</w:t>
      </w:r>
    </w:p>
    <w:p>
      <w:pPr>
        <w:numPr>
          <w:ilvl w:val="0"/>
          <w:numId w:val="5"/>
        </w:numPr>
        <w:spacing w:line="540" w:lineRule="exact"/>
        <w:ind w:firstLine="640" w:firstLineChars="200"/>
        <w:rPr>
          <w:rFonts w:eastAsia="黑体"/>
          <w:sz w:val="32"/>
          <w:szCs w:val="32"/>
        </w:rPr>
      </w:pPr>
      <w:r>
        <w:rPr>
          <w:rFonts w:eastAsia="黑体"/>
          <w:sz w:val="32"/>
          <w:szCs w:val="32"/>
        </w:rPr>
        <w:t>项目绩效情况</w:t>
      </w:r>
    </w:p>
    <w:p>
      <w:pPr>
        <w:spacing w:line="540" w:lineRule="exact"/>
        <w:ind w:firstLine="640" w:firstLineChars="200"/>
        <w:rPr>
          <w:rFonts w:eastAsia="仿宋_GB2312"/>
          <w:sz w:val="32"/>
          <w:szCs w:val="32"/>
        </w:rPr>
      </w:pPr>
      <w:r>
        <w:rPr>
          <w:rFonts w:eastAsia="仿宋_GB2312"/>
          <w:sz w:val="32"/>
          <w:szCs w:val="32"/>
        </w:rPr>
        <w:t>2020年3月，评价报告上报省政府，获得省主要领导肯定。评价结果供各地各部门学习研究，为优化营商环境提供决策依据。</w:t>
      </w:r>
    </w:p>
    <w:p>
      <w:pPr>
        <w:spacing w:line="540" w:lineRule="exact"/>
        <w:ind w:firstLine="640" w:firstLineChars="200"/>
        <w:rPr>
          <w:rFonts w:eastAsia="仿宋_GB2312"/>
          <w:sz w:val="32"/>
          <w:szCs w:val="32"/>
        </w:rPr>
      </w:pPr>
      <w:r>
        <w:rPr>
          <w:rFonts w:eastAsia="仿宋_GB2312"/>
          <w:sz w:val="32"/>
          <w:szCs w:val="32"/>
        </w:rPr>
        <w:t>报告从评价背景，评价方法到评价结果等角度科学、客观地呈现了本次四川省营商环境评价工作的全过程与结果输出，总结提炼了评价中发现的首创经验和具备复制推广价值的典型做法，明确了全省营商环境进阶提升的短板制约所在，并以问题和目标为导向提出了针对性改进建议。评价成果为我省制定《四川省2020年营商环境指标提升方案》提供了强有力的数据和理论支撑，各地各部门借鉴学习评价梳理总结的典型案例，细化提升方案，形成竞相推进改革的生动局面。</w:t>
      </w:r>
    </w:p>
    <w:p>
      <w:pPr>
        <w:pStyle w:val="31"/>
        <w:numPr>
          <w:ilvl w:val="0"/>
          <w:numId w:val="5"/>
        </w:numPr>
        <w:spacing w:line="54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绩效评价分析</w:t>
      </w:r>
    </w:p>
    <w:p>
      <w:pPr>
        <w:pStyle w:val="31"/>
        <w:spacing w:line="540" w:lineRule="exact"/>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项目决策科学合理，实施规范有序，圆满完成了项目的预定目标。对比相关省份营商环境第三方评价情况，我省评价使用的财政资金最少。本项目的实施，能够帮助各地更加准确地了解自身的营商环境现状，有利于地方更加准确地查找影响办事创业的政策难点、执行堵点、监管盲点和服务痛点，对标国际国内先进水平，因地制宜、因城施策，出台更有针对性的改革举措，不断优化营商环境，增强城市竞争力、激发社会创造力。</w:t>
      </w:r>
    </w:p>
    <w:p>
      <w:pPr>
        <w:pStyle w:val="31"/>
        <w:numPr>
          <w:ilvl w:val="0"/>
          <w:numId w:val="5"/>
        </w:numPr>
        <w:spacing w:line="54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存在主要问题</w:t>
      </w:r>
    </w:p>
    <w:p>
      <w:pPr>
        <w:pStyle w:val="31"/>
        <w:spacing w:line="54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无</w:t>
      </w:r>
    </w:p>
    <w:p>
      <w:pPr>
        <w:pStyle w:val="31"/>
        <w:numPr>
          <w:ilvl w:val="0"/>
          <w:numId w:val="5"/>
        </w:numPr>
        <w:spacing w:line="54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相关措施建议</w:t>
      </w:r>
    </w:p>
    <w:p>
      <w:pPr>
        <w:pStyle w:val="31"/>
        <w:spacing w:line="54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无</w:t>
      </w:r>
    </w:p>
    <w:p>
      <w:pPr>
        <w:pStyle w:val="31"/>
        <w:spacing w:line="540" w:lineRule="exact"/>
        <w:ind w:firstLine="640" w:firstLineChars="200"/>
        <w:rPr>
          <w:rFonts w:ascii="Times New Roman" w:hAnsi="Times New Roman" w:eastAsia="仿宋_GB2312" w:cs="Times New Roman"/>
          <w:color w:val="auto"/>
          <w:kern w:val="2"/>
          <w:sz w:val="32"/>
          <w:szCs w:val="32"/>
        </w:rPr>
      </w:pPr>
    </w:p>
    <w:p>
      <w:pPr>
        <w:snapToGrid w:val="0"/>
        <w:spacing w:line="540" w:lineRule="exact"/>
        <w:jc w:val="center"/>
        <w:rPr>
          <w:rFonts w:eastAsia="方正小标宋简体"/>
          <w:sz w:val="32"/>
          <w:szCs w:val="32"/>
        </w:rPr>
      </w:pPr>
      <w:r>
        <w:rPr>
          <w:rFonts w:eastAsia="方正小标宋简体"/>
          <w:sz w:val="32"/>
          <w:szCs w:val="32"/>
        </w:rPr>
        <w:t>四川省营商环境第三方评价专项经费（上年结转）项目</w:t>
      </w:r>
    </w:p>
    <w:p>
      <w:pPr>
        <w:snapToGrid w:val="0"/>
        <w:spacing w:line="540" w:lineRule="exact"/>
        <w:jc w:val="center"/>
        <w:rPr>
          <w:rFonts w:eastAsia="方正小标宋简体"/>
          <w:sz w:val="32"/>
          <w:szCs w:val="32"/>
        </w:rPr>
      </w:pPr>
      <w:r>
        <w:rPr>
          <w:rFonts w:eastAsia="方正小标宋简体"/>
          <w:sz w:val="32"/>
          <w:szCs w:val="32"/>
        </w:rPr>
        <w:t>支出绩效自评表</w:t>
      </w:r>
    </w:p>
    <w:tbl>
      <w:tblPr>
        <w:tblStyle w:val="20"/>
        <w:tblpPr w:leftFromText="180" w:rightFromText="180" w:vertAnchor="text" w:horzAnchor="page" w:tblpX="1428" w:tblpY="404"/>
        <w:tblOverlap w:val="never"/>
        <w:tblW w:w="9660" w:type="dxa"/>
        <w:tblInd w:w="0" w:type="dxa"/>
        <w:tblLayout w:type="fixed"/>
        <w:tblCellMar>
          <w:top w:w="0" w:type="dxa"/>
          <w:left w:w="108" w:type="dxa"/>
          <w:bottom w:w="0" w:type="dxa"/>
          <w:right w:w="108" w:type="dxa"/>
        </w:tblCellMar>
      </w:tblPr>
      <w:tblGrid>
        <w:gridCol w:w="1380"/>
        <w:gridCol w:w="1980"/>
        <w:gridCol w:w="3960"/>
        <w:gridCol w:w="1089"/>
        <w:gridCol w:w="1251"/>
      </w:tblGrid>
      <w:tr>
        <w:tblPrEx>
          <w:tblCellMar>
            <w:top w:w="0" w:type="dxa"/>
            <w:left w:w="108" w:type="dxa"/>
            <w:bottom w:w="0" w:type="dxa"/>
            <w:right w:w="108" w:type="dxa"/>
          </w:tblCellMar>
        </w:tblPrEx>
        <w:trPr>
          <w:trHeight w:val="670"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0"/>
                <w:szCs w:val="20"/>
              </w:rPr>
            </w:pPr>
            <w:r>
              <w:rPr>
                <w:b/>
                <w:bCs/>
                <w:kern w:val="0"/>
                <w:sz w:val="20"/>
                <w:szCs w:val="20"/>
              </w:rPr>
              <w:t>一级指标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0"/>
                <w:szCs w:val="20"/>
              </w:rPr>
            </w:pPr>
            <w:r>
              <w:rPr>
                <w:b/>
                <w:bCs/>
                <w:kern w:val="0"/>
                <w:sz w:val="20"/>
                <w:szCs w:val="20"/>
              </w:rPr>
              <w:t>二级指标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0"/>
                <w:szCs w:val="20"/>
              </w:rPr>
            </w:pPr>
            <w:r>
              <w:rPr>
                <w:b/>
                <w:bCs/>
                <w:kern w:val="0"/>
                <w:sz w:val="20"/>
                <w:szCs w:val="20"/>
              </w:rPr>
              <w:t>三级指标</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0"/>
                <w:szCs w:val="20"/>
              </w:rPr>
            </w:pPr>
            <w:r>
              <w:rPr>
                <w:b/>
                <w:bCs/>
                <w:kern w:val="0"/>
                <w:sz w:val="20"/>
                <w:szCs w:val="20"/>
              </w:rPr>
              <w:t>分值</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sz w:val="20"/>
                <w:szCs w:val="20"/>
              </w:rPr>
            </w:pPr>
            <w:r>
              <w:rPr>
                <w:b/>
                <w:bCs/>
                <w:kern w:val="0"/>
                <w:sz w:val="20"/>
                <w:szCs w:val="20"/>
              </w:rPr>
              <w:t>自评得分</w:t>
            </w:r>
          </w:p>
        </w:tc>
      </w:tr>
      <w:tr>
        <w:tblPrEx>
          <w:tblCellMar>
            <w:top w:w="0" w:type="dxa"/>
            <w:left w:w="108" w:type="dxa"/>
            <w:bottom w:w="0" w:type="dxa"/>
            <w:right w:w="108" w:type="dxa"/>
          </w:tblCellMar>
        </w:tblPrEx>
        <w:trPr>
          <w:trHeight w:val="56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b/>
                <w:bCs/>
                <w:kern w:val="0"/>
                <w:sz w:val="20"/>
                <w:szCs w:val="20"/>
                <w:lang w:eastAsia="zh-CN"/>
              </w:rPr>
            </w:pPr>
            <w:r>
              <w:rPr>
                <w:b/>
                <w:bCs/>
                <w:kern w:val="0"/>
                <w:sz w:val="20"/>
                <w:szCs w:val="20"/>
              </w:rPr>
              <w:t>管理</w:t>
            </w:r>
          </w:p>
          <w:p>
            <w:pPr>
              <w:jc w:val="center"/>
              <w:textAlignment w:val="center"/>
              <w:rPr>
                <w:b/>
                <w:bCs/>
                <w:sz w:val="20"/>
                <w:szCs w:val="20"/>
              </w:rPr>
            </w:pPr>
            <w:r>
              <w:rPr>
                <w:b/>
                <w:bCs/>
                <w:kern w:val="0"/>
                <w:sz w:val="20"/>
                <w:szCs w:val="20"/>
              </w:rPr>
              <w:t>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项目管理指标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加强统筹管理</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47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资金管理指标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资金及时拨付到位</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4"/>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640"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b/>
                <w:bCs/>
                <w:kern w:val="0"/>
                <w:sz w:val="20"/>
                <w:szCs w:val="20"/>
                <w:lang w:eastAsia="zh-CN"/>
              </w:rPr>
            </w:pPr>
            <w:r>
              <w:rPr>
                <w:b/>
                <w:bCs/>
                <w:kern w:val="0"/>
                <w:sz w:val="20"/>
                <w:szCs w:val="20"/>
              </w:rPr>
              <w:t>完</w:t>
            </w:r>
          </w:p>
          <w:p>
            <w:pPr>
              <w:jc w:val="center"/>
              <w:textAlignment w:val="center"/>
              <w:rPr>
                <w:rFonts w:hint="eastAsia" w:eastAsia="宋体"/>
                <w:b/>
                <w:bCs/>
                <w:kern w:val="0"/>
                <w:sz w:val="20"/>
                <w:szCs w:val="20"/>
                <w:lang w:eastAsia="zh-CN"/>
              </w:rPr>
            </w:pPr>
            <w:r>
              <w:rPr>
                <w:b/>
                <w:bCs/>
                <w:kern w:val="0"/>
                <w:sz w:val="20"/>
                <w:szCs w:val="20"/>
              </w:rPr>
              <w:t>成</w:t>
            </w:r>
          </w:p>
          <w:p>
            <w:pPr>
              <w:jc w:val="center"/>
              <w:textAlignment w:val="center"/>
              <w:rPr>
                <w:rFonts w:hint="eastAsia" w:eastAsia="宋体"/>
                <w:b/>
                <w:bCs/>
                <w:kern w:val="0"/>
                <w:sz w:val="20"/>
                <w:szCs w:val="20"/>
                <w:lang w:eastAsia="zh-CN"/>
              </w:rPr>
            </w:pPr>
            <w:r>
              <w:rPr>
                <w:b/>
                <w:bCs/>
                <w:kern w:val="0"/>
                <w:sz w:val="20"/>
                <w:szCs w:val="20"/>
              </w:rPr>
              <w:t>指</w:t>
            </w:r>
          </w:p>
          <w:p>
            <w:pPr>
              <w:jc w:val="center"/>
              <w:textAlignment w:val="center"/>
              <w:rPr>
                <w:b/>
                <w:bCs/>
                <w:sz w:val="20"/>
                <w:szCs w:val="20"/>
              </w:rPr>
            </w:pPr>
            <w:r>
              <w:rPr>
                <w:b/>
                <w:bCs/>
                <w:kern w:val="0"/>
                <w:sz w:val="20"/>
                <w:szCs w:val="20"/>
              </w:rPr>
              <w:t>标</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p>
          <w:p>
            <w:pPr>
              <w:jc w:val="center"/>
              <w:textAlignment w:val="center"/>
              <w:rPr>
                <w:kern w:val="0"/>
                <w:sz w:val="20"/>
                <w:szCs w:val="20"/>
              </w:rPr>
            </w:pPr>
            <w:r>
              <w:rPr>
                <w:kern w:val="0"/>
                <w:sz w:val="20"/>
                <w:szCs w:val="20"/>
              </w:rPr>
              <w:t>数量指标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四川省营商环境评价报告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25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25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75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四川省营商环境评价报告—民营经济发展报告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66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质量指标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课题专家评审合格</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68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时效指标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按时完成</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5</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85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b/>
                <w:bCs/>
                <w:kern w:val="0"/>
                <w:sz w:val="20"/>
                <w:szCs w:val="20"/>
                <w:lang w:eastAsia="zh-CN"/>
              </w:rPr>
            </w:pPr>
            <w:r>
              <w:rPr>
                <w:b/>
                <w:bCs/>
                <w:kern w:val="0"/>
                <w:sz w:val="20"/>
                <w:szCs w:val="20"/>
              </w:rPr>
              <w:t>效</w:t>
            </w:r>
          </w:p>
          <w:p>
            <w:pPr>
              <w:jc w:val="center"/>
              <w:textAlignment w:val="center"/>
              <w:rPr>
                <w:rFonts w:hint="eastAsia" w:eastAsia="宋体"/>
                <w:b/>
                <w:bCs/>
                <w:kern w:val="0"/>
                <w:sz w:val="20"/>
                <w:szCs w:val="20"/>
                <w:lang w:eastAsia="zh-CN"/>
              </w:rPr>
            </w:pPr>
            <w:r>
              <w:rPr>
                <w:b/>
                <w:bCs/>
                <w:kern w:val="0"/>
                <w:sz w:val="20"/>
                <w:szCs w:val="20"/>
              </w:rPr>
              <w:t>益</w:t>
            </w:r>
          </w:p>
          <w:p>
            <w:pPr>
              <w:jc w:val="center"/>
              <w:textAlignment w:val="center"/>
              <w:rPr>
                <w:rFonts w:hint="eastAsia" w:eastAsia="宋体"/>
                <w:b/>
                <w:bCs/>
                <w:kern w:val="0"/>
                <w:sz w:val="20"/>
                <w:szCs w:val="20"/>
                <w:lang w:eastAsia="zh-CN"/>
              </w:rPr>
            </w:pPr>
            <w:r>
              <w:rPr>
                <w:b/>
                <w:bCs/>
                <w:kern w:val="0"/>
                <w:sz w:val="20"/>
                <w:szCs w:val="20"/>
              </w:rPr>
              <w:t>指</w:t>
            </w:r>
          </w:p>
          <w:p>
            <w:pPr>
              <w:jc w:val="center"/>
              <w:textAlignment w:val="center"/>
              <w:rPr>
                <w:b/>
                <w:bCs/>
                <w:sz w:val="20"/>
                <w:szCs w:val="20"/>
              </w:rPr>
            </w:pPr>
            <w:r>
              <w:rPr>
                <w:b/>
                <w:bCs/>
                <w:kern w:val="0"/>
                <w:sz w:val="20"/>
                <w:szCs w:val="20"/>
              </w:rPr>
              <w:t>标</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经济效益指标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总结提炼了典型做法，明确短板制约，提出了针对性改进建议</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75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社会效益指标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为各地各有关部门（单位）对标整改、优化提升提供重要参考。</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10分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0"/>
                <w:szCs w:val="20"/>
              </w:rPr>
            </w:pPr>
            <w:r>
              <w:rPr>
                <w:kern w:val="0"/>
                <w:sz w:val="20"/>
                <w:szCs w:val="20"/>
              </w:rPr>
              <w:t>10分</w:t>
            </w:r>
          </w:p>
        </w:tc>
      </w:tr>
      <w:tr>
        <w:tblPrEx>
          <w:tblCellMar>
            <w:top w:w="0" w:type="dxa"/>
            <w:left w:w="108" w:type="dxa"/>
            <w:bottom w:w="0" w:type="dxa"/>
            <w:right w:w="108" w:type="dxa"/>
          </w:tblCellMar>
        </w:tblPrEx>
        <w:trPr>
          <w:trHeight w:val="71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可持续影响指标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成果影响年限≥2年</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w:t>
            </w:r>
            <w:r>
              <w:rPr>
                <w:rStyle w:val="43"/>
                <w:rFonts w:hint="default" w:ascii="Times New Roman" w:hAnsi="Times New Roman" w:cs="Times New Roman"/>
                <w:color w:val="auto"/>
                <w:sz w:val="20"/>
                <w:szCs w:val="20"/>
              </w:rPr>
              <w:t>分</w:t>
            </w:r>
          </w:p>
        </w:tc>
      </w:tr>
      <w:tr>
        <w:tblPrEx>
          <w:tblCellMar>
            <w:top w:w="0" w:type="dxa"/>
            <w:left w:w="108" w:type="dxa"/>
            <w:bottom w:w="0" w:type="dxa"/>
            <w:right w:w="108" w:type="dxa"/>
          </w:tblCellMar>
        </w:tblPrEx>
        <w:trPr>
          <w:trHeight w:val="580" w:hRule="atLeast"/>
        </w:trPr>
        <w:tc>
          <w:tcPr>
            <w:tcW w:w="732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合计</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100分</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kern w:val="0"/>
                <w:sz w:val="20"/>
                <w:szCs w:val="20"/>
              </w:rPr>
              <w:t>100分</w:t>
            </w:r>
          </w:p>
        </w:tc>
      </w:tr>
    </w:tbl>
    <w:p>
      <w:pPr>
        <w:pStyle w:val="7"/>
        <w:spacing w:before="93" w:line="540" w:lineRule="exact"/>
        <w:rPr>
          <w:rFonts w:ascii="Times New Roman"/>
        </w:rPr>
      </w:pPr>
    </w:p>
    <w:p>
      <w:pPr>
        <w:snapToGrid w:val="0"/>
        <w:spacing w:line="540" w:lineRule="exact"/>
        <w:jc w:val="center"/>
        <w:rPr>
          <w:rFonts w:eastAsia="方正小标宋简体"/>
          <w:sz w:val="44"/>
          <w:szCs w:val="44"/>
        </w:rPr>
      </w:pPr>
      <w:r>
        <w:rPr>
          <w:rFonts w:eastAsia="方正小标宋简体"/>
          <w:sz w:val="44"/>
          <w:szCs w:val="44"/>
        </w:rPr>
        <w:t>2020年部门预算项目支出绩效自评报告</w:t>
      </w:r>
    </w:p>
    <w:p>
      <w:pPr>
        <w:snapToGrid w:val="0"/>
        <w:spacing w:line="540" w:lineRule="exact"/>
        <w:jc w:val="center"/>
        <w:rPr>
          <w:rFonts w:eastAsia="CESI小标宋-GB2312"/>
          <w:sz w:val="44"/>
          <w:szCs w:val="44"/>
        </w:rPr>
      </w:pPr>
      <w:r>
        <w:rPr>
          <w:rFonts w:eastAsia="仿宋_GB2312"/>
          <w:sz w:val="32"/>
          <w:szCs w:val="32"/>
        </w:rPr>
        <w:t>（四川省易地扶贫搬迁购买服务费用项目）</w:t>
      </w:r>
    </w:p>
    <w:p>
      <w:pPr>
        <w:spacing w:line="540" w:lineRule="exact"/>
        <w:ind w:firstLine="643" w:firstLineChars="200"/>
        <w:rPr>
          <w:b/>
          <w:sz w:val="32"/>
          <w:szCs w:val="32"/>
        </w:rPr>
      </w:pPr>
    </w:p>
    <w:p>
      <w:pPr>
        <w:pStyle w:val="45"/>
        <w:adjustRightInd w:val="0"/>
        <w:snapToGrid w:val="0"/>
        <w:spacing w:line="540" w:lineRule="exact"/>
        <w:ind w:firstLine="640" w:firstLineChars="200"/>
        <w:rPr>
          <w:rFonts w:eastAsia="黑体"/>
          <w:sz w:val="32"/>
          <w:szCs w:val="32"/>
        </w:rPr>
      </w:pPr>
      <w:r>
        <w:rPr>
          <w:rFonts w:eastAsia="黑体"/>
          <w:sz w:val="32"/>
          <w:szCs w:val="32"/>
        </w:rPr>
        <w:t>一、基本情况</w:t>
      </w:r>
    </w:p>
    <w:p>
      <w:pPr>
        <w:adjustRightInd w:val="0"/>
        <w:snapToGrid w:val="0"/>
        <w:spacing w:line="540" w:lineRule="exact"/>
        <w:ind w:firstLine="640" w:firstLineChars="200"/>
        <w:rPr>
          <w:rFonts w:eastAsia="仿宋_GB2312"/>
          <w:sz w:val="32"/>
          <w:szCs w:val="32"/>
        </w:rPr>
      </w:pPr>
      <w:r>
        <w:rPr>
          <w:rFonts w:eastAsia="仿宋_GB2312"/>
          <w:sz w:val="32"/>
          <w:szCs w:val="32"/>
        </w:rPr>
        <w:t>2017年4月，省政府第146次常务会议明确省国农公司是为完成易地扶贫搬迁专门设立的省级投融资平台公司，是单一的功能性平台公司，不得开展其它业务。同意由省发展改革委采取政府购买服务方式，向省国农公司购买易地扶贫搬迁项目投融资服务，所需购买服务费用，纳入省级财政年度预算；购买服务费用具体数额，由省发展改革委、财政厅、省国资委、省扶贫移民局，根据公司承担的易地扶贫搬迁投融资业务量、合理的人员设置、成本管理要求及有关省属国有公司的规定确定。依照经省政府领导同意的《关于政府购买易地扶贫搬迁服务费的请示》（四川省人民政府办公厅办文通知B〔2017〕4996-1号），从2017年至2020年，按485万元/年的额度纳入省级预算。</w:t>
      </w:r>
    </w:p>
    <w:p>
      <w:pPr>
        <w:adjustRightInd w:val="0"/>
        <w:snapToGrid w:val="0"/>
        <w:spacing w:line="540" w:lineRule="exact"/>
        <w:ind w:firstLine="640" w:firstLineChars="200"/>
        <w:rPr>
          <w:rFonts w:eastAsia="仿宋_GB2312"/>
          <w:sz w:val="32"/>
          <w:szCs w:val="32"/>
        </w:rPr>
      </w:pPr>
      <w:r>
        <w:rPr>
          <w:rFonts w:eastAsia="仿宋_GB2312"/>
          <w:sz w:val="32"/>
          <w:szCs w:val="32"/>
        </w:rPr>
        <w:t>2018年3月，为加强全省易地扶贫搬迁政府购买服务的规范化管理，保障资金安全，规范购买服务费支付流程，提高财政资金使用效益，省发展改革委研究制定了《四川省易地扶贫搬迁政府购买服务绩效评价办法》《四川易地扶贫搬迁政府购买服务费用支付规范》，针对易地扶贫搬迁工作实际和省国农公司职能职责，明确绩效评价指标主要包括5个方面：即资金承接</w:t>
      </w:r>
      <w:r>
        <w:rPr>
          <w:sz w:val="32"/>
          <w:szCs w:val="32"/>
        </w:rPr>
        <w:t>落实</w:t>
      </w:r>
      <w:r>
        <w:rPr>
          <w:rFonts w:eastAsia="仿宋_GB2312"/>
          <w:sz w:val="32"/>
          <w:szCs w:val="32"/>
        </w:rPr>
        <w:t>情况、资金归集偿还情况、规范化管理情况、其他交办任务完成情况、满意度评价情况。</w:t>
      </w:r>
    </w:p>
    <w:p>
      <w:pPr>
        <w:adjustRightInd w:val="0"/>
        <w:snapToGrid w:val="0"/>
        <w:spacing w:line="540" w:lineRule="exact"/>
        <w:ind w:firstLine="640" w:firstLineChars="200"/>
        <w:rPr>
          <w:rFonts w:eastAsia="仿宋_GB2312"/>
          <w:sz w:val="32"/>
          <w:szCs w:val="32"/>
        </w:rPr>
      </w:pPr>
      <w:r>
        <w:rPr>
          <w:rFonts w:eastAsia="仿宋_GB2312"/>
          <w:sz w:val="32"/>
          <w:szCs w:val="32"/>
        </w:rPr>
        <w:t>2020年底，省发展改革委在组织开展绩效评价后，向省国农公司完成支付易地扶贫搬迁购买服务费用485万元。</w:t>
      </w:r>
    </w:p>
    <w:p>
      <w:pPr>
        <w:adjustRightInd w:val="0"/>
        <w:snapToGrid w:val="0"/>
        <w:spacing w:line="540" w:lineRule="exact"/>
        <w:ind w:firstLine="640" w:firstLineChars="200"/>
        <w:rPr>
          <w:rFonts w:eastAsia="黑体"/>
          <w:sz w:val="32"/>
          <w:szCs w:val="32"/>
        </w:rPr>
      </w:pPr>
      <w:r>
        <w:rPr>
          <w:rFonts w:eastAsia="黑体"/>
          <w:sz w:val="32"/>
          <w:szCs w:val="32"/>
        </w:rPr>
        <w:t>二、评价工作开展情况</w:t>
      </w:r>
    </w:p>
    <w:p>
      <w:pPr>
        <w:adjustRightInd w:val="0"/>
        <w:snapToGrid w:val="0"/>
        <w:spacing w:line="540" w:lineRule="exact"/>
        <w:ind w:firstLine="640" w:firstLineChars="200"/>
        <w:rPr>
          <w:rFonts w:eastAsia="仿宋_GB2312"/>
          <w:sz w:val="32"/>
          <w:szCs w:val="32"/>
        </w:rPr>
      </w:pPr>
      <w:r>
        <w:rPr>
          <w:rFonts w:eastAsia="仿宋_GB2312"/>
          <w:sz w:val="32"/>
          <w:szCs w:val="32"/>
        </w:rPr>
        <w:t>2020年12月，省发展改革委会同省扶贫开发局、自然资源厅、人行成都分行等部门组成易地扶贫搬迁政府购买服务绩效评价工作组，通过听汇报、查资料、</w:t>
      </w:r>
      <w:r>
        <w:rPr>
          <w:sz w:val="32"/>
          <w:szCs w:val="32"/>
        </w:rPr>
        <w:t>开展</w:t>
      </w:r>
      <w:r>
        <w:rPr>
          <w:rFonts w:eastAsia="仿宋_GB2312"/>
          <w:sz w:val="32"/>
          <w:szCs w:val="32"/>
        </w:rPr>
        <w:t>市县满意度测评等方式，对省国农公司资金承接落实情况</w:t>
      </w:r>
      <w:r>
        <w:rPr>
          <w:sz w:val="32"/>
          <w:szCs w:val="32"/>
        </w:rPr>
        <w:t>、</w:t>
      </w:r>
      <w:r>
        <w:rPr>
          <w:rFonts w:eastAsia="仿宋_GB2312"/>
          <w:sz w:val="32"/>
          <w:szCs w:val="32"/>
        </w:rPr>
        <w:t>资金归集偿还情况、规范化管理情况、其他交办任务完成情况等</w:t>
      </w:r>
      <w:r>
        <w:rPr>
          <w:sz w:val="32"/>
          <w:szCs w:val="32"/>
        </w:rPr>
        <w:t>四</w:t>
      </w:r>
      <w:r>
        <w:rPr>
          <w:rFonts w:eastAsia="仿宋_GB2312"/>
          <w:sz w:val="32"/>
          <w:szCs w:val="32"/>
        </w:rPr>
        <w:t>个方面进行实地绩效评价</w:t>
      </w:r>
      <w:r>
        <w:rPr>
          <w:sz w:val="32"/>
          <w:szCs w:val="32"/>
        </w:rPr>
        <w:t>，</w:t>
      </w:r>
      <w:r>
        <w:rPr>
          <w:rFonts w:eastAsia="仿宋_GB2312"/>
          <w:sz w:val="32"/>
          <w:szCs w:val="32"/>
        </w:rPr>
        <w:t>并</w:t>
      </w:r>
      <w:r>
        <w:rPr>
          <w:sz w:val="32"/>
          <w:szCs w:val="32"/>
        </w:rPr>
        <w:t>抽取</w:t>
      </w:r>
      <w:r>
        <w:rPr>
          <w:rFonts w:eastAsia="仿宋_GB2312"/>
          <w:sz w:val="32"/>
          <w:szCs w:val="32"/>
        </w:rPr>
        <w:t>20个市（州）</w:t>
      </w:r>
      <w:r>
        <w:rPr>
          <w:sz w:val="32"/>
          <w:szCs w:val="32"/>
        </w:rPr>
        <w:t>或</w:t>
      </w:r>
      <w:r>
        <w:rPr>
          <w:rFonts w:eastAsia="仿宋_GB2312"/>
          <w:sz w:val="32"/>
          <w:szCs w:val="32"/>
        </w:rPr>
        <w:t>县（市）平台公司</w:t>
      </w:r>
      <w:r>
        <w:rPr>
          <w:sz w:val="32"/>
          <w:szCs w:val="32"/>
        </w:rPr>
        <w:t>以</w:t>
      </w:r>
      <w:r>
        <w:rPr>
          <w:rFonts w:eastAsia="仿宋_GB2312"/>
          <w:sz w:val="32"/>
          <w:szCs w:val="32"/>
        </w:rPr>
        <w:t>及</w:t>
      </w:r>
      <w:r>
        <w:rPr>
          <w:sz w:val="32"/>
          <w:szCs w:val="32"/>
        </w:rPr>
        <w:t>相关</w:t>
      </w:r>
      <w:r>
        <w:rPr>
          <w:rFonts w:eastAsia="仿宋_GB2312"/>
          <w:sz w:val="32"/>
          <w:szCs w:val="32"/>
        </w:rPr>
        <w:t>金融单位开展满意度测评</w:t>
      </w:r>
      <w:r>
        <w:rPr>
          <w:sz w:val="32"/>
          <w:szCs w:val="32"/>
        </w:rPr>
        <w:t>，</w:t>
      </w:r>
      <w:r>
        <w:rPr>
          <w:rFonts w:eastAsia="仿宋_GB2312"/>
          <w:sz w:val="32"/>
          <w:szCs w:val="32"/>
        </w:rPr>
        <w:t>出具了绩效评价报告。</w:t>
      </w:r>
    </w:p>
    <w:p>
      <w:pPr>
        <w:adjustRightInd w:val="0"/>
        <w:snapToGrid w:val="0"/>
        <w:spacing w:line="540" w:lineRule="exact"/>
        <w:ind w:firstLine="640" w:firstLineChars="200"/>
        <w:rPr>
          <w:rFonts w:eastAsia="黑体"/>
          <w:sz w:val="32"/>
          <w:szCs w:val="32"/>
        </w:rPr>
      </w:pPr>
      <w:r>
        <w:rPr>
          <w:rFonts w:eastAsia="黑体"/>
          <w:sz w:val="32"/>
          <w:szCs w:val="32"/>
        </w:rPr>
        <w:t>三、综合评价结论</w:t>
      </w:r>
    </w:p>
    <w:p>
      <w:pPr>
        <w:adjustRightInd w:val="0"/>
        <w:snapToGrid w:val="0"/>
        <w:spacing w:line="540" w:lineRule="exact"/>
        <w:ind w:firstLine="640" w:firstLineChars="200"/>
        <w:rPr>
          <w:rFonts w:eastAsia="仿宋_GB2312"/>
          <w:sz w:val="32"/>
          <w:szCs w:val="32"/>
        </w:rPr>
      </w:pPr>
      <w:r>
        <w:rPr>
          <w:rFonts w:eastAsia="仿宋_GB2312"/>
          <w:sz w:val="32"/>
          <w:szCs w:val="32"/>
        </w:rPr>
        <w:t>从检查情况看，省国农公司对易地扶贫搬迁投融资管理工作高度重视，定位准确，管理规范，制度健全，工作资料完备，工作成效明显，全面完成了2020年度投融资服务工作，较好地完成了省委、省政府及省级有关部门交办任务，地方平台公司评价满意度高。经工作组评价打分，绩效评价得分为99分。</w:t>
      </w:r>
    </w:p>
    <w:p>
      <w:pPr>
        <w:pStyle w:val="31"/>
        <w:spacing w:line="540" w:lineRule="exact"/>
        <w:ind w:firstLine="640" w:firstLineChars="200"/>
        <w:rPr>
          <w:rFonts w:ascii="Times New Roman" w:hAnsi="Times New Roman" w:cs="Times New Roman"/>
          <w:color w:val="auto"/>
        </w:rPr>
      </w:pPr>
      <w:r>
        <w:rPr>
          <w:rFonts w:ascii="Times New Roman" w:hAnsi="Times New Roman" w:eastAsia="黑体" w:cs="Times New Roman"/>
          <w:color w:val="auto"/>
          <w:kern w:val="2"/>
          <w:sz w:val="32"/>
          <w:szCs w:val="32"/>
        </w:rPr>
        <w:t>四、绩效评价分析</w:t>
      </w:r>
    </w:p>
    <w:p>
      <w:pPr>
        <w:adjustRightInd w:val="0"/>
        <w:snapToGrid w:val="0"/>
        <w:spacing w:line="540" w:lineRule="exact"/>
        <w:ind w:firstLine="643" w:firstLineChars="200"/>
        <w:rPr>
          <w:rFonts w:eastAsia="仿宋_GB2312"/>
          <w:sz w:val="32"/>
          <w:szCs w:val="32"/>
        </w:rPr>
      </w:pPr>
      <w:r>
        <w:rPr>
          <w:rFonts w:eastAsia="楷体_GB2312"/>
          <w:b/>
          <w:bCs/>
          <w:sz w:val="32"/>
          <w:szCs w:val="32"/>
        </w:rPr>
        <w:t>（一）资金归集偿还方面。</w:t>
      </w:r>
      <w:r>
        <w:rPr>
          <w:rFonts w:eastAsia="仿宋_GB2312"/>
          <w:b/>
          <w:bCs/>
          <w:sz w:val="32"/>
          <w:szCs w:val="32"/>
        </w:rPr>
        <w:t>一是</w:t>
      </w:r>
      <w:r>
        <w:rPr>
          <w:rFonts w:eastAsia="仿宋_GB2312"/>
          <w:sz w:val="32"/>
          <w:szCs w:val="32"/>
        </w:rPr>
        <w:t>完成易地扶贫搬迁长期贷款提前偿还工作。完成了相关5个市（州）、县（市、区）土地增减挂钩收益用于易地扶贫搬迁长期低息贷款提前偿还工作，偿还金额6.88亿元 ；根据10个市（州）、县（市、区）提前偿还长期低息贷款的申请，协调相关经办银行并报省级相关部门批准后，提前偿还易地扶贫搬迁长期低息贷款2.68亿元；按照《四川省财政厅关于印发易地扶贫搬迁长期低息贷款2020年前还款计划的通知》要求，提前偿还2017年7月14日以后承接易地扶贫搬迁长期低息贷款8.66亿元。2020年度，公司提前偿还易地扶贫搬迁长期贷款合计18.22亿元，其中：国开行7.89亿元，农发行10.33亿元。</w:t>
      </w:r>
      <w:r>
        <w:rPr>
          <w:b/>
          <w:bCs/>
          <w:sz w:val="32"/>
          <w:szCs w:val="32"/>
          <w:shd w:val="clear" w:color="auto" w:fill="FFFFFF"/>
        </w:rPr>
        <w:t>二是</w:t>
      </w:r>
      <w:r>
        <w:rPr>
          <w:rFonts w:eastAsia="仿宋_GB2312"/>
          <w:sz w:val="32"/>
          <w:szCs w:val="32"/>
        </w:rPr>
        <w:t>完成2020年度易地扶贫搬迁项目资金利息归集偿付工作。公司按季度开展易地扶贫搬迁项目资金利息归集及偿付工作，此项工作涉及21个市（州）、146个县（市、区）及平台公司，共归集偿付利息10.04亿元（其中，第一季度利息2.58亿元、第二季度利息2.52亿元、第三季度利息2.52亿元、第四季度利息2.45亿元）。</w:t>
      </w:r>
    </w:p>
    <w:p>
      <w:pPr>
        <w:adjustRightInd w:val="0"/>
        <w:snapToGrid w:val="0"/>
        <w:spacing w:line="540" w:lineRule="exact"/>
        <w:ind w:firstLine="643" w:firstLineChars="200"/>
        <w:rPr>
          <w:rFonts w:eastAsia="仿宋_GB2312"/>
          <w:sz w:val="32"/>
          <w:szCs w:val="32"/>
        </w:rPr>
      </w:pPr>
      <w:r>
        <w:rPr>
          <w:rFonts w:eastAsia="楷体_GB2312"/>
          <w:b/>
          <w:bCs/>
          <w:sz w:val="32"/>
          <w:szCs w:val="32"/>
        </w:rPr>
        <w:t>（二）规范化管理方面。</w:t>
      </w:r>
      <w:r>
        <w:rPr>
          <w:rFonts w:eastAsia="仿宋_GB2312"/>
          <w:b/>
          <w:bCs/>
          <w:sz w:val="32"/>
          <w:szCs w:val="32"/>
        </w:rPr>
        <w:t>一是</w:t>
      </w:r>
      <w:r>
        <w:rPr>
          <w:rFonts w:eastAsia="仿宋_GB2312"/>
          <w:sz w:val="32"/>
          <w:szCs w:val="32"/>
        </w:rPr>
        <w:t>修订和完善了《四川省国农投资管理有限责任公司“三重一大”制度实施办法》、《四川省国农投资管理有限责任公司党支部学习制度》和《四川省国农投资管理有限责任公司请（休）假制度》等10项内部管理制度，初步形成了较为科学完整的公司内部管理制度机制，为做好易地扶贫搬迁投融资服务工作奠定了良好基础。</w:t>
      </w:r>
      <w:r>
        <w:rPr>
          <w:rFonts w:eastAsia="仿宋_GB2312"/>
          <w:b/>
          <w:bCs/>
          <w:sz w:val="32"/>
          <w:szCs w:val="32"/>
        </w:rPr>
        <w:t>二是</w:t>
      </w:r>
      <w:r>
        <w:rPr>
          <w:rFonts w:eastAsia="仿宋_GB2312"/>
          <w:sz w:val="32"/>
          <w:szCs w:val="32"/>
        </w:rPr>
        <w:t>开展易地扶贫搬迁项目资金规范管理工作，根据《四川省易地扶贫搬迁有偿资金使用管理办法》，及时修定了相应的易地扶贫搬迁项目资金管理制度和办法，规范投融资管理，对易地扶贫搬迁项目资金管理规范进行调整，完成解除《政府购买服务协议》、完善《资金使用协议》相关工作。</w:t>
      </w:r>
      <w:r>
        <w:rPr>
          <w:rFonts w:eastAsia="仿宋_GB2312"/>
          <w:b/>
          <w:sz w:val="32"/>
          <w:szCs w:val="32"/>
        </w:rPr>
        <w:t>三是</w:t>
      </w:r>
      <w:r>
        <w:rPr>
          <w:rFonts w:eastAsia="仿宋_GB2312"/>
          <w:sz w:val="32"/>
          <w:szCs w:val="32"/>
        </w:rPr>
        <w:t>落实项目资金对账制度和通报制度。定期与经办银行和各地平台公司开展对账工作，统计汇总各地项目资金使用情况，并形成分析报告，上报省脱贫办、省发展改革委、财政厅、省扶贫开发局等有关部门和单位，截至2020年度，累计发送全省易地扶贫搬迁项目资金使用情况通报12期，全省易地扶贫搬迁项目资金利息的归集情况通报4期。</w:t>
      </w:r>
    </w:p>
    <w:p>
      <w:pPr>
        <w:adjustRightInd w:val="0"/>
        <w:snapToGrid w:val="0"/>
        <w:spacing w:line="540" w:lineRule="exact"/>
        <w:ind w:firstLine="643" w:firstLineChars="200"/>
        <w:rPr>
          <w:rFonts w:eastAsia="仿宋_GB2312"/>
          <w:sz w:val="32"/>
          <w:szCs w:val="32"/>
        </w:rPr>
      </w:pPr>
      <w:r>
        <w:rPr>
          <w:rFonts w:eastAsia="楷体_GB2312"/>
          <w:b/>
          <w:bCs/>
          <w:sz w:val="32"/>
          <w:szCs w:val="32"/>
        </w:rPr>
        <w:t>（三）其他交办任务完成方面。</w:t>
      </w:r>
      <w:r>
        <w:rPr>
          <w:rFonts w:eastAsia="仿宋_GB2312"/>
          <w:b/>
          <w:bCs/>
          <w:sz w:val="32"/>
          <w:szCs w:val="32"/>
        </w:rPr>
        <w:t>一是</w:t>
      </w:r>
      <w:r>
        <w:rPr>
          <w:rFonts w:eastAsia="仿宋_GB2312"/>
          <w:sz w:val="32"/>
          <w:szCs w:val="32"/>
        </w:rPr>
        <w:t>认真贯彻落实省脱贫攻坚领导小组工作部署，作为省脱贫攻坚领导小组成员单位，主要负责同志2020年度共参加省脱贫攻坚领导小组和省发展改革委组织召开的会议9次，组织公司全体员工认真学习省委省政府有关脱贫攻坚政策精神和决策部署共9次。</w:t>
      </w:r>
      <w:r>
        <w:rPr>
          <w:rFonts w:eastAsia="仿宋_GB2312"/>
          <w:b/>
          <w:bCs/>
          <w:sz w:val="32"/>
          <w:szCs w:val="32"/>
        </w:rPr>
        <w:t>二是</w:t>
      </w:r>
      <w:r>
        <w:rPr>
          <w:rFonts w:eastAsia="仿宋_GB2312"/>
          <w:sz w:val="32"/>
          <w:szCs w:val="32"/>
        </w:rPr>
        <w:t>推进专项建设基金提前偿还及减资工作。按照《研究省国农公司易地扶贫搬迁投融资有关工作座谈会会议纪要》（川发改阅〔2019〕46号），并征得省委相关领导批示同意，变更专项建设基金原有的投资回收方式，采取公司减少注册资本（以下简称“减资”）的方式进行回收暨以减资方式偿还银行融资债务中的专项建设基金项目。从2020年开始，公司每年开展一次“减资”工作。</w:t>
      </w:r>
      <w:r>
        <w:rPr>
          <w:rFonts w:eastAsia="仿宋_GB2312"/>
          <w:b/>
          <w:bCs/>
          <w:sz w:val="32"/>
          <w:szCs w:val="32"/>
        </w:rPr>
        <w:t>三是</w:t>
      </w:r>
      <w:r>
        <w:rPr>
          <w:rFonts w:eastAsia="仿宋_GB2312"/>
          <w:sz w:val="32"/>
          <w:szCs w:val="32"/>
        </w:rPr>
        <w:t>配合开展易地扶贫搬迁督查及调研工作。派出2名员工赴凉山州金阳县参加为期3个月的易地扶贫搬迁挂牌督战工作；配合省发展改革委赴泸州市叙永县开展易地扶贫搬迁全面评估核查现场督导工作；配合省发展改革委做好国家发展改革委调研组对广元市、南充市等区域的易地扶贫搬迁后续扶持调研工作；公司主动赴巴中市、通江县等地开展易地扶贫搬迁工作专题调研，应邀参加国家发展改革委主办的扶贫日易地扶贫搬迁论坛活动。</w:t>
      </w:r>
    </w:p>
    <w:p>
      <w:pPr>
        <w:spacing w:line="540" w:lineRule="exact"/>
        <w:ind w:firstLine="643" w:firstLineChars="200"/>
        <w:rPr>
          <w:rFonts w:eastAsia="仿宋_GB2312"/>
          <w:sz w:val="32"/>
          <w:szCs w:val="32"/>
        </w:rPr>
      </w:pPr>
      <w:r>
        <w:rPr>
          <w:rFonts w:eastAsia="楷体_GB2312"/>
          <w:b/>
          <w:bCs/>
          <w:sz w:val="32"/>
          <w:szCs w:val="32"/>
        </w:rPr>
        <w:t>（四）满意度测评方面。</w:t>
      </w:r>
      <w:r>
        <w:rPr>
          <w:rFonts w:eastAsia="仿宋_GB2312"/>
          <w:sz w:val="32"/>
          <w:szCs w:val="32"/>
        </w:rPr>
        <w:t>我们就公司2020年度易地扶贫搬迁投融资服务的满意程度，征求了9个市（州）、9个县（市、区）以及2家金融机构（国开行省分行、农发行省分行）的意见建议，20家单位反馈均为满意。</w:t>
      </w:r>
    </w:p>
    <w:p>
      <w:pPr>
        <w:pStyle w:val="31"/>
        <w:numPr>
          <w:ilvl w:val="0"/>
          <w:numId w:val="6"/>
        </w:numPr>
        <w:spacing w:line="54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存在主要问题</w:t>
      </w:r>
    </w:p>
    <w:p>
      <w:pPr>
        <w:adjustRightInd w:val="0"/>
        <w:snapToGrid w:val="0"/>
        <w:spacing w:line="540" w:lineRule="exact"/>
        <w:ind w:firstLine="640" w:firstLineChars="200"/>
        <w:rPr>
          <w:rFonts w:eastAsia="仿宋_GB2312"/>
          <w:sz w:val="32"/>
          <w:szCs w:val="32"/>
        </w:rPr>
      </w:pPr>
      <w:r>
        <w:rPr>
          <w:rFonts w:eastAsia="仿宋_GB2312"/>
          <w:sz w:val="32"/>
          <w:szCs w:val="32"/>
        </w:rPr>
        <w:t>通过绩效评价，我委发现</w:t>
      </w:r>
      <w:r>
        <w:rPr>
          <w:sz w:val="32"/>
          <w:szCs w:val="32"/>
        </w:rPr>
        <w:t>省国农</w:t>
      </w:r>
      <w:r>
        <w:rPr>
          <w:rFonts w:eastAsia="仿宋_GB2312"/>
          <w:sz w:val="32"/>
          <w:szCs w:val="32"/>
        </w:rPr>
        <w:t>公司</w:t>
      </w:r>
      <w:r>
        <w:rPr>
          <w:sz w:val="32"/>
          <w:szCs w:val="32"/>
        </w:rPr>
        <w:t>在易地扶贫搬迁购买服务中，存在</w:t>
      </w:r>
      <w:r>
        <w:rPr>
          <w:rFonts w:eastAsia="仿宋_GB2312"/>
          <w:sz w:val="32"/>
          <w:szCs w:val="32"/>
        </w:rPr>
        <w:t>资金偿还台账</w:t>
      </w:r>
      <w:r>
        <w:rPr>
          <w:sz w:val="32"/>
          <w:szCs w:val="32"/>
        </w:rPr>
        <w:t>还</w:t>
      </w:r>
      <w:r>
        <w:rPr>
          <w:rFonts w:eastAsia="仿宋_GB2312"/>
          <w:sz w:val="32"/>
          <w:szCs w:val="32"/>
        </w:rPr>
        <w:t>不够详细</w:t>
      </w:r>
      <w:r>
        <w:rPr>
          <w:sz w:val="32"/>
          <w:szCs w:val="32"/>
        </w:rPr>
        <w:t>和</w:t>
      </w:r>
      <w:r>
        <w:rPr>
          <w:rFonts w:eastAsia="仿宋_GB2312"/>
          <w:sz w:val="32"/>
          <w:szCs w:val="32"/>
        </w:rPr>
        <w:t>部分档案管理不</w:t>
      </w:r>
      <w:r>
        <w:rPr>
          <w:sz w:val="32"/>
          <w:szCs w:val="32"/>
        </w:rPr>
        <w:t>够</w:t>
      </w:r>
      <w:r>
        <w:rPr>
          <w:rFonts w:eastAsia="仿宋_GB2312"/>
          <w:sz w:val="32"/>
          <w:szCs w:val="32"/>
        </w:rPr>
        <w:t>规范</w:t>
      </w:r>
      <w:r>
        <w:rPr>
          <w:sz w:val="32"/>
          <w:szCs w:val="32"/>
        </w:rPr>
        <w:t>的</w:t>
      </w:r>
      <w:r>
        <w:rPr>
          <w:rFonts w:eastAsia="仿宋_GB2312"/>
          <w:sz w:val="32"/>
          <w:szCs w:val="32"/>
        </w:rPr>
        <w:t>现象。</w:t>
      </w:r>
    </w:p>
    <w:p>
      <w:pPr>
        <w:pStyle w:val="31"/>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kern w:val="2"/>
          <w:sz w:val="32"/>
          <w:szCs w:val="32"/>
        </w:rPr>
        <w:t>六、相关措施建议</w:t>
      </w:r>
    </w:p>
    <w:p>
      <w:pPr>
        <w:pStyle w:val="31"/>
        <w:spacing w:line="54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针对绩效评价工作中发现的问题，我委已向省国农公司印发《易地扶贫搬迁2020年政府购买服务绩效评价有关情况的通报》，要求省国农公司对照通报中反馈的有关问题，加紧完善整改，细化工作流程，加强全省易地扶贫搬迁政府购买服务的规范化管理，</w:t>
      </w:r>
      <w:r>
        <w:rPr>
          <w:rFonts w:ascii="Times New Roman" w:hAnsi="Times New Roman" w:eastAsia="仿宋_GB2312" w:cs="Times New Roman"/>
          <w:color w:val="auto"/>
          <w:kern w:val="2"/>
          <w:sz w:val="32"/>
          <w:szCs w:val="32"/>
        </w:rPr>
        <w:t>确保政府购买易地扶贫搬迁服务各项工作高质量完成。</w:t>
      </w:r>
    </w:p>
    <w:p>
      <w:pPr>
        <w:spacing w:line="540" w:lineRule="exact"/>
        <w:rPr>
          <w:rFonts w:eastAsia="方正小标宋简体"/>
          <w:sz w:val="44"/>
          <w:szCs w:val="44"/>
        </w:rPr>
      </w:pPr>
    </w:p>
    <w:p>
      <w:pPr>
        <w:pStyle w:val="2"/>
        <w:spacing w:line="540" w:lineRule="exact"/>
        <w:ind w:left="1300" w:hanging="880"/>
        <w:rPr>
          <w:rFonts w:eastAsia="方正小标宋简体"/>
          <w:sz w:val="44"/>
          <w:szCs w:val="44"/>
        </w:rPr>
      </w:pPr>
    </w:p>
    <w:p>
      <w:pPr>
        <w:spacing w:line="540" w:lineRule="exact"/>
        <w:rPr>
          <w:rFonts w:eastAsia="方正小标宋简体"/>
          <w:sz w:val="44"/>
          <w:szCs w:val="44"/>
        </w:rPr>
      </w:pPr>
    </w:p>
    <w:p>
      <w:pPr>
        <w:snapToGrid w:val="0"/>
        <w:spacing w:line="540" w:lineRule="exact"/>
        <w:jc w:val="center"/>
        <w:rPr>
          <w:rFonts w:eastAsia="方正小标宋简体"/>
          <w:sz w:val="32"/>
          <w:szCs w:val="32"/>
        </w:rPr>
      </w:pPr>
      <w:r>
        <w:rPr>
          <w:rFonts w:eastAsia="方正小标宋简体"/>
          <w:sz w:val="32"/>
          <w:szCs w:val="32"/>
        </w:rPr>
        <w:t>2020年度易地扶贫搬迁购买服务费用项目支出绩效自评表</w:t>
      </w:r>
    </w:p>
    <w:p>
      <w:pPr>
        <w:pStyle w:val="2"/>
        <w:spacing w:line="540" w:lineRule="exact"/>
        <w:ind w:left="840" w:hanging="420"/>
      </w:pPr>
    </w:p>
    <w:tbl>
      <w:tblPr>
        <w:tblStyle w:val="21"/>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2"/>
        <w:gridCol w:w="738"/>
        <w:gridCol w:w="2475"/>
        <w:gridCol w:w="2987"/>
        <w:gridCol w:w="9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50" w:type="dxa"/>
            <w:vAlign w:val="center"/>
          </w:tcPr>
          <w:p>
            <w:pPr>
              <w:jc w:val="center"/>
              <w:rPr>
                <w:rFonts w:eastAsia="黑体"/>
                <w:b/>
                <w:bCs/>
                <w:sz w:val="20"/>
                <w:szCs w:val="20"/>
              </w:rPr>
            </w:pPr>
            <w:r>
              <w:rPr>
                <w:rFonts w:eastAsia="黑体"/>
                <w:b/>
                <w:bCs/>
                <w:sz w:val="20"/>
                <w:szCs w:val="20"/>
              </w:rPr>
              <w:t>序号</w:t>
            </w:r>
          </w:p>
        </w:tc>
        <w:tc>
          <w:tcPr>
            <w:tcW w:w="862" w:type="dxa"/>
            <w:vAlign w:val="center"/>
          </w:tcPr>
          <w:p>
            <w:pPr>
              <w:jc w:val="center"/>
              <w:rPr>
                <w:rFonts w:eastAsia="黑体"/>
                <w:b/>
                <w:bCs/>
                <w:sz w:val="20"/>
                <w:szCs w:val="20"/>
              </w:rPr>
            </w:pPr>
            <w:r>
              <w:rPr>
                <w:rFonts w:eastAsia="黑体"/>
                <w:b/>
                <w:bCs/>
                <w:sz w:val="20"/>
                <w:szCs w:val="20"/>
              </w:rPr>
              <w:t>主要</w:t>
            </w:r>
          </w:p>
          <w:p>
            <w:pPr>
              <w:jc w:val="center"/>
              <w:rPr>
                <w:rFonts w:eastAsia="黑体"/>
                <w:b/>
                <w:bCs/>
                <w:sz w:val="20"/>
                <w:szCs w:val="20"/>
              </w:rPr>
            </w:pPr>
            <w:r>
              <w:rPr>
                <w:rFonts w:eastAsia="黑体"/>
                <w:b/>
                <w:bCs/>
                <w:sz w:val="20"/>
                <w:szCs w:val="20"/>
              </w:rPr>
              <w:t>指标</w:t>
            </w:r>
          </w:p>
        </w:tc>
        <w:tc>
          <w:tcPr>
            <w:tcW w:w="738" w:type="dxa"/>
            <w:vAlign w:val="center"/>
          </w:tcPr>
          <w:p>
            <w:pPr>
              <w:jc w:val="center"/>
              <w:rPr>
                <w:rFonts w:eastAsia="黑体"/>
                <w:b/>
                <w:bCs/>
                <w:sz w:val="20"/>
                <w:szCs w:val="20"/>
              </w:rPr>
            </w:pPr>
            <w:r>
              <w:rPr>
                <w:rFonts w:eastAsia="黑体"/>
                <w:b/>
                <w:bCs/>
                <w:sz w:val="20"/>
                <w:szCs w:val="20"/>
              </w:rPr>
              <w:t>分值</w:t>
            </w:r>
          </w:p>
        </w:tc>
        <w:tc>
          <w:tcPr>
            <w:tcW w:w="2475" w:type="dxa"/>
            <w:vAlign w:val="center"/>
          </w:tcPr>
          <w:p>
            <w:pPr>
              <w:jc w:val="center"/>
              <w:rPr>
                <w:rFonts w:eastAsia="黑体"/>
                <w:b/>
                <w:bCs/>
                <w:sz w:val="20"/>
                <w:szCs w:val="20"/>
              </w:rPr>
            </w:pPr>
            <w:r>
              <w:rPr>
                <w:rFonts w:eastAsia="黑体"/>
                <w:b/>
                <w:bCs/>
                <w:sz w:val="20"/>
                <w:szCs w:val="20"/>
              </w:rPr>
              <w:t>评价内容</w:t>
            </w:r>
          </w:p>
        </w:tc>
        <w:tc>
          <w:tcPr>
            <w:tcW w:w="2987" w:type="dxa"/>
            <w:vAlign w:val="center"/>
          </w:tcPr>
          <w:p>
            <w:pPr>
              <w:jc w:val="center"/>
              <w:rPr>
                <w:rFonts w:eastAsia="黑体"/>
                <w:b/>
                <w:bCs/>
                <w:sz w:val="20"/>
                <w:szCs w:val="20"/>
              </w:rPr>
            </w:pPr>
            <w:r>
              <w:rPr>
                <w:rFonts w:eastAsia="黑体"/>
                <w:b/>
                <w:bCs/>
                <w:sz w:val="20"/>
                <w:szCs w:val="20"/>
              </w:rPr>
              <w:t>得分标准</w:t>
            </w:r>
          </w:p>
        </w:tc>
        <w:tc>
          <w:tcPr>
            <w:tcW w:w="963" w:type="dxa"/>
            <w:vAlign w:val="center"/>
          </w:tcPr>
          <w:p>
            <w:pPr>
              <w:jc w:val="center"/>
              <w:rPr>
                <w:rFonts w:eastAsia="黑体"/>
                <w:b/>
                <w:bCs/>
                <w:sz w:val="20"/>
                <w:szCs w:val="20"/>
              </w:rPr>
            </w:pPr>
            <w:r>
              <w:rPr>
                <w:rFonts w:eastAsia="黑体"/>
                <w:b/>
                <w:bCs/>
                <w:sz w:val="20"/>
                <w:szCs w:val="20"/>
              </w:rPr>
              <w:t>自评</w:t>
            </w:r>
          </w:p>
          <w:p>
            <w:pPr>
              <w:jc w:val="center"/>
              <w:rPr>
                <w:rFonts w:eastAsia="黑体"/>
                <w:b/>
                <w:bCs/>
                <w:sz w:val="20"/>
                <w:szCs w:val="20"/>
              </w:rPr>
            </w:pPr>
            <w:r>
              <w:rPr>
                <w:rFonts w:eastAsia="黑体"/>
                <w:b/>
                <w:bCs/>
                <w:sz w:val="20"/>
                <w:szCs w:val="20"/>
              </w:rPr>
              <w:t>得分</w:t>
            </w:r>
          </w:p>
        </w:tc>
        <w:tc>
          <w:tcPr>
            <w:tcW w:w="750" w:type="dxa"/>
            <w:vAlign w:val="center"/>
          </w:tcPr>
          <w:p>
            <w:pPr>
              <w:jc w:val="center"/>
              <w:rPr>
                <w:rFonts w:eastAsia="黑体"/>
                <w:b/>
                <w:bCs/>
                <w:sz w:val="20"/>
                <w:szCs w:val="20"/>
              </w:rPr>
            </w:pPr>
            <w:r>
              <w:rPr>
                <w:rFonts w:eastAsia="黑体"/>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50" w:type="dxa"/>
            <w:vAlign w:val="center"/>
          </w:tcPr>
          <w:p>
            <w:pPr>
              <w:jc w:val="center"/>
              <w:rPr>
                <w:rFonts w:eastAsia="仿宋_GB2312"/>
                <w:sz w:val="20"/>
                <w:szCs w:val="20"/>
              </w:rPr>
            </w:pPr>
            <w:r>
              <w:rPr>
                <w:rFonts w:eastAsia="仿宋_GB2312"/>
                <w:sz w:val="20"/>
                <w:szCs w:val="20"/>
              </w:rPr>
              <w:t>1</w:t>
            </w:r>
          </w:p>
        </w:tc>
        <w:tc>
          <w:tcPr>
            <w:tcW w:w="862" w:type="dxa"/>
            <w:vAlign w:val="center"/>
          </w:tcPr>
          <w:p>
            <w:pPr>
              <w:jc w:val="center"/>
              <w:rPr>
                <w:rFonts w:eastAsia="仿宋_GB2312"/>
                <w:sz w:val="20"/>
                <w:szCs w:val="20"/>
              </w:rPr>
            </w:pPr>
            <w:r>
              <w:rPr>
                <w:rFonts w:eastAsia="仿宋_GB2312"/>
                <w:sz w:val="20"/>
                <w:szCs w:val="20"/>
              </w:rPr>
              <w:t>资金承接落实情况</w:t>
            </w:r>
          </w:p>
        </w:tc>
        <w:tc>
          <w:tcPr>
            <w:tcW w:w="738" w:type="dxa"/>
            <w:vAlign w:val="center"/>
          </w:tcPr>
          <w:p>
            <w:pPr>
              <w:jc w:val="center"/>
              <w:rPr>
                <w:rFonts w:eastAsia="仿宋_GB2312"/>
                <w:sz w:val="20"/>
                <w:szCs w:val="20"/>
              </w:rPr>
            </w:pPr>
            <w:r>
              <w:rPr>
                <w:rFonts w:eastAsia="仿宋_GB2312"/>
                <w:sz w:val="20"/>
                <w:szCs w:val="20"/>
              </w:rPr>
              <w:t>25</w:t>
            </w:r>
          </w:p>
        </w:tc>
        <w:tc>
          <w:tcPr>
            <w:tcW w:w="2475" w:type="dxa"/>
            <w:vAlign w:val="center"/>
          </w:tcPr>
          <w:p>
            <w:pPr>
              <w:rPr>
                <w:rFonts w:eastAsia="仿宋_GB2312"/>
                <w:sz w:val="20"/>
                <w:szCs w:val="20"/>
              </w:rPr>
            </w:pPr>
            <w:r>
              <w:rPr>
                <w:rFonts w:eastAsia="仿宋_GB2312"/>
                <w:sz w:val="20"/>
                <w:szCs w:val="20"/>
              </w:rPr>
              <w:t>根据省发展改革委、省扶贫开发局、财政厅和人行成都分行下达各地的资金调整计划，及时调整转拨至市（州）、县（市）投融资主体的完成情况。</w:t>
            </w:r>
          </w:p>
        </w:tc>
        <w:tc>
          <w:tcPr>
            <w:tcW w:w="2987" w:type="dxa"/>
            <w:vAlign w:val="center"/>
          </w:tcPr>
          <w:p>
            <w:pPr>
              <w:rPr>
                <w:rFonts w:eastAsia="仿宋_GB2312"/>
                <w:sz w:val="20"/>
                <w:szCs w:val="20"/>
              </w:rPr>
            </w:pPr>
            <w:r>
              <w:rPr>
                <w:rFonts w:eastAsia="仿宋_GB2312"/>
                <w:sz w:val="20"/>
                <w:szCs w:val="20"/>
              </w:rPr>
              <w:t>按时按质圆满完成资金调整任务得满分；未遵照省级部门通知开展资金调整拨付得0分；未下达通知后20个工作日内完成资金调整任务，存在1个市（州）或县（市）扣1分，扣完为止。</w:t>
            </w:r>
          </w:p>
        </w:tc>
        <w:tc>
          <w:tcPr>
            <w:tcW w:w="963" w:type="dxa"/>
            <w:vAlign w:val="center"/>
          </w:tcPr>
          <w:p>
            <w:pPr>
              <w:jc w:val="center"/>
              <w:rPr>
                <w:rFonts w:eastAsia="仿宋_GB2312"/>
                <w:sz w:val="20"/>
                <w:szCs w:val="20"/>
              </w:rPr>
            </w:pPr>
            <w:r>
              <w:rPr>
                <w:rFonts w:eastAsia="仿宋_GB2312"/>
                <w:sz w:val="20"/>
                <w:szCs w:val="20"/>
              </w:rPr>
              <w:t>25</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50" w:type="dxa"/>
            <w:vAlign w:val="center"/>
          </w:tcPr>
          <w:p>
            <w:pPr>
              <w:jc w:val="center"/>
              <w:rPr>
                <w:rFonts w:eastAsia="仿宋_GB2312"/>
                <w:sz w:val="20"/>
                <w:szCs w:val="20"/>
              </w:rPr>
            </w:pPr>
            <w:r>
              <w:rPr>
                <w:rFonts w:eastAsia="仿宋_GB2312"/>
                <w:sz w:val="20"/>
                <w:szCs w:val="20"/>
              </w:rPr>
              <w:t>2</w:t>
            </w:r>
          </w:p>
        </w:tc>
        <w:tc>
          <w:tcPr>
            <w:tcW w:w="862" w:type="dxa"/>
            <w:vAlign w:val="center"/>
          </w:tcPr>
          <w:p>
            <w:pPr>
              <w:jc w:val="center"/>
              <w:rPr>
                <w:rFonts w:eastAsia="仿宋_GB2312"/>
                <w:sz w:val="20"/>
                <w:szCs w:val="20"/>
              </w:rPr>
            </w:pPr>
            <w:r>
              <w:rPr>
                <w:rFonts w:eastAsia="仿宋_GB2312"/>
                <w:sz w:val="20"/>
                <w:szCs w:val="20"/>
              </w:rPr>
              <w:t>资金归集偿还情况</w:t>
            </w:r>
          </w:p>
        </w:tc>
        <w:tc>
          <w:tcPr>
            <w:tcW w:w="738" w:type="dxa"/>
            <w:vAlign w:val="center"/>
          </w:tcPr>
          <w:p>
            <w:pPr>
              <w:jc w:val="center"/>
              <w:rPr>
                <w:rFonts w:eastAsia="仿宋_GB2312"/>
                <w:sz w:val="20"/>
                <w:szCs w:val="20"/>
              </w:rPr>
            </w:pPr>
            <w:r>
              <w:rPr>
                <w:rFonts w:eastAsia="仿宋_GB2312"/>
                <w:sz w:val="20"/>
                <w:szCs w:val="20"/>
              </w:rPr>
              <w:t>25</w:t>
            </w:r>
          </w:p>
        </w:tc>
        <w:tc>
          <w:tcPr>
            <w:tcW w:w="2475" w:type="dxa"/>
            <w:vAlign w:val="center"/>
          </w:tcPr>
          <w:p>
            <w:pPr>
              <w:rPr>
                <w:rFonts w:eastAsia="仿宋_GB2312"/>
                <w:sz w:val="20"/>
                <w:szCs w:val="20"/>
              </w:rPr>
            </w:pPr>
            <w:r>
              <w:rPr>
                <w:rFonts w:eastAsia="仿宋_GB2312"/>
                <w:sz w:val="20"/>
                <w:szCs w:val="20"/>
              </w:rPr>
              <w:t>省国农公司落实银行约定，按期偿还易地扶贫搬迁长期低息贷款本金及利息、专项建设基金回购资金及投资收益的完成情况。</w:t>
            </w:r>
          </w:p>
        </w:tc>
        <w:tc>
          <w:tcPr>
            <w:tcW w:w="2987" w:type="dxa"/>
            <w:vAlign w:val="center"/>
          </w:tcPr>
          <w:p>
            <w:pPr>
              <w:rPr>
                <w:rFonts w:eastAsia="仿宋_GB2312"/>
                <w:sz w:val="20"/>
                <w:szCs w:val="20"/>
              </w:rPr>
            </w:pPr>
            <w:r>
              <w:rPr>
                <w:rFonts w:eastAsia="仿宋_GB2312"/>
                <w:sz w:val="20"/>
                <w:szCs w:val="20"/>
              </w:rPr>
              <w:t>按时完成年度项目资金本息归集偿还工作得满分，未完成年度项目资金本息归集偿还工作得0分；未按时足额偿还银行资金本息，一次扣5分。</w:t>
            </w:r>
          </w:p>
        </w:tc>
        <w:tc>
          <w:tcPr>
            <w:tcW w:w="963" w:type="dxa"/>
            <w:vAlign w:val="center"/>
          </w:tcPr>
          <w:p>
            <w:pPr>
              <w:jc w:val="center"/>
              <w:rPr>
                <w:rFonts w:eastAsia="仿宋_GB2312"/>
                <w:sz w:val="20"/>
                <w:szCs w:val="20"/>
              </w:rPr>
            </w:pPr>
            <w:r>
              <w:rPr>
                <w:rFonts w:eastAsia="仿宋_GB2312"/>
                <w:sz w:val="20"/>
                <w:szCs w:val="20"/>
              </w:rPr>
              <w:t>25</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750" w:type="dxa"/>
            <w:vAlign w:val="center"/>
          </w:tcPr>
          <w:p>
            <w:pPr>
              <w:jc w:val="center"/>
              <w:rPr>
                <w:rFonts w:eastAsia="仿宋_GB2312"/>
                <w:sz w:val="20"/>
                <w:szCs w:val="20"/>
              </w:rPr>
            </w:pPr>
            <w:r>
              <w:rPr>
                <w:rFonts w:eastAsia="仿宋_GB2312"/>
                <w:sz w:val="20"/>
                <w:szCs w:val="20"/>
              </w:rPr>
              <w:t>3</w:t>
            </w:r>
          </w:p>
        </w:tc>
        <w:tc>
          <w:tcPr>
            <w:tcW w:w="862" w:type="dxa"/>
            <w:vAlign w:val="center"/>
          </w:tcPr>
          <w:p>
            <w:pPr>
              <w:jc w:val="center"/>
              <w:rPr>
                <w:rFonts w:eastAsia="仿宋_GB2312"/>
                <w:sz w:val="20"/>
                <w:szCs w:val="20"/>
              </w:rPr>
            </w:pPr>
            <w:r>
              <w:rPr>
                <w:rFonts w:eastAsia="仿宋_GB2312"/>
                <w:sz w:val="20"/>
                <w:szCs w:val="20"/>
              </w:rPr>
              <w:t>规范化管理情况</w:t>
            </w:r>
          </w:p>
        </w:tc>
        <w:tc>
          <w:tcPr>
            <w:tcW w:w="738" w:type="dxa"/>
            <w:vAlign w:val="center"/>
          </w:tcPr>
          <w:p>
            <w:pPr>
              <w:jc w:val="center"/>
              <w:rPr>
                <w:rFonts w:eastAsia="仿宋_GB2312"/>
                <w:sz w:val="20"/>
                <w:szCs w:val="20"/>
              </w:rPr>
            </w:pPr>
            <w:r>
              <w:rPr>
                <w:rFonts w:eastAsia="仿宋_GB2312"/>
                <w:sz w:val="20"/>
                <w:szCs w:val="20"/>
              </w:rPr>
              <w:t>20</w:t>
            </w:r>
          </w:p>
        </w:tc>
        <w:tc>
          <w:tcPr>
            <w:tcW w:w="2475" w:type="dxa"/>
            <w:vAlign w:val="center"/>
          </w:tcPr>
          <w:p>
            <w:pPr>
              <w:rPr>
                <w:rFonts w:eastAsia="仿宋_GB2312"/>
                <w:sz w:val="20"/>
                <w:szCs w:val="20"/>
              </w:rPr>
            </w:pPr>
            <w:r>
              <w:rPr>
                <w:rFonts w:eastAsia="仿宋_GB2312"/>
                <w:sz w:val="20"/>
                <w:szCs w:val="20"/>
              </w:rPr>
              <w:t>省国农公司落实相关规定，对各市（州）、县（市）投融资主体及经办银行的资金借入、使用和偿还的投融资业务及财务等规范化管理情况。</w:t>
            </w:r>
          </w:p>
        </w:tc>
        <w:tc>
          <w:tcPr>
            <w:tcW w:w="2987" w:type="dxa"/>
            <w:vAlign w:val="center"/>
          </w:tcPr>
          <w:p>
            <w:pPr>
              <w:rPr>
                <w:rFonts w:eastAsia="仿宋_GB2312"/>
                <w:sz w:val="20"/>
                <w:szCs w:val="20"/>
              </w:rPr>
            </w:pPr>
            <w:r>
              <w:rPr>
                <w:rFonts w:eastAsia="仿宋_GB2312"/>
                <w:sz w:val="20"/>
                <w:szCs w:val="20"/>
              </w:rPr>
              <w:t>投融资规范化管理制度健全，有关项目资金承接拨付、本息归集偿付凭证和相关投融资协议等档料完整，管理规范无误得满分；投融资规范化管理制度存在明显缺陷扣5分；投融资保障中存在明显资料缺失，管理不规范等问题，涉及1个项目市（州）或县（市）扣1分。</w:t>
            </w:r>
          </w:p>
        </w:tc>
        <w:tc>
          <w:tcPr>
            <w:tcW w:w="963" w:type="dxa"/>
            <w:vAlign w:val="center"/>
          </w:tcPr>
          <w:p>
            <w:pPr>
              <w:jc w:val="center"/>
              <w:rPr>
                <w:rFonts w:eastAsia="仿宋_GB2312"/>
                <w:sz w:val="20"/>
                <w:szCs w:val="20"/>
              </w:rPr>
            </w:pPr>
            <w:r>
              <w:rPr>
                <w:rFonts w:eastAsia="仿宋_GB2312"/>
                <w:sz w:val="20"/>
                <w:szCs w:val="20"/>
              </w:rPr>
              <w:t>19</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750" w:type="dxa"/>
            <w:vAlign w:val="center"/>
          </w:tcPr>
          <w:p>
            <w:pPr>
              <w:jc w:val="center"/>
              <w:rPr>
                <w:rFonts w:eastAsia="仿宋_GB2312"/>
                <w:sz w:val="20"/>
                <w:szCs w:val="20"/>
              </w:rPr>
            </w:pPr>
            <w:r>
              <w:rPr>
                <w:rFonts w:eastAsia="仿宋_GB2312"/>
                <w:sz w:val="20"/>
                <w:szCs w:val="20"/>
              </w:rPr>
              <w:t>4</w:t>
            </w:r>
          </w:p>
        </w:tc>
        <w:tc>
          <w:tcPr>
            <w:tcW w:w="862" w:type="dxa"/>
            <w:vAlign w:val="center"/>
          </w:tcPr>
          <w:p>
            <w:pPr>
              <w:jc w:val="center"/>
              <w:rPr>
                <w:rFonts w:eastAsia="仿宋_GB2312"/>
                <w:sz w:val="20"/>
                <w:szCs w:val="20"/>
              </w:rPr>
            </w:pPr>
            <w:r>
              <w:rPr>
                <w:rFonts w:eastAsia="仿宋_GB2312"/>
                <w:sz w:val="20"/>
                <w:szCs w:val="20"/>
              </w:rPr>
              <w:t>其他交办任务完成情况</w:t>
            </w:r>
          </w:p>
        </w:tc>
        <w:tc>
          <w:tcPr>
            <w:tcW w:w="738" w:type="dxa"/>
            <w:vAlign w:val="center"/>
          </w:tcPr>
          <w:p>
            <w:pPr>
              <w:jc w:val="center"/>
              <w:rPr>
                <w:rFonts w:eastAsia="仿宋_GB2312"/>
                <w:sz w:val="20"/>
                <w:szCs w:val="20"/>
              </w:rPr>
            </w:pPr>
            <w:r>
              <w:rPr>
                <w:rFonts w:eastAsia="仿宋_GB2312"/>
                <w:sz w:val="20"/>
                <w:szCs w:val="20"/>
              </w:rPr>
              <w:t>15</w:t>
            </w:r>
          </w:p>
        </w:tc>
        <w:tc>
          <w:tcPr>
            <w:tcW w:w="2475" w:type="dxa"/>
            <w:vAlign w:val="center"/>
          </w:tcPr>
          <w:p>
            <w:pPr>
              <w:rPr>
                <w:rFonts w:eastAsia="仿宋_GB2312"/>
                <w:sz w:val="20"/>
                <w:szCs w:val="20"/>
              </w:rPr>
            </w:pPr>
            <w:r>
              <w:rPr>
                <w:rFonts w:eastAsia="仿宋_GB2312"/>
                <w:sz w:val="20"/>
                <w:szCs w:val="20"/>
              </w:rPr>
              <w:t>省国农公司按时按质完成省委、省政府及省发展改革委等相关部门交办的，与易地扶贫搬迁项目资金保障相关，未在购买服务协议中具体明确的工作任务情况。</w:t>
            </w:r>
          </w:p>
        </w:tc>
        <w:tc>
          <w:tcPr>
            <w:tcW w:w="2987" w:type="dxa"/>
            <w:vAlign w:val="center"/>
          </w:tcPr>
          <w:p>
            <w:pPr>
              <w:rPr>
                <w:rFonts w:eastAsia="仿宋_GB2312"/>
                <w:sz w:val="20"/>
                <w:szCs w:val="20"/>
              </w:rPr>
            </w:pPr>
            <w:r>
              <w:rPr>
                <w:rFonts w:eastAsia="仿宋_GB2312"/>
                <w:sz w:val="20"/>
                <w:szCs w:val="20"/>
              </w:rPr>
              <w:t>按时按质完成省委、省政府及省发展改革委等相关部门交办的工作任务得满分；未完成正式通知交办的工作任务，1次扣2分，扣完为止。</w:t>
            </w:r>
          </w:p>
        </w:tc>
        <w:tc>
          <w:tcPr>
            <w:tcW w:w="963" w:type="dxa"/>
            <w:vAlign w:val="center"/>
          </w:tcPr>
          <w:p>
            <w:pPr>
              <w:jc w:val="center"/>
              <w:rPr>
                <w:rFonts w:eastAsia="仿宋_GB2312"/>
                <w:sz w:val="20"/>
                <w:szCs w:val="20"/>
              </w:rPr>
            </w:pPr>
            <w:r>
              <w:rPr>
                <w:rFonts w:eastAsia="仿宋_GB2312"/>
                <w:sz w:val="20"/>
                <w:szCs w:val="20"/>
              </w:rPr>
              <w:t>15</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50" w:type="dxa"/>
            <w:vAlign w:val="center"/>
          </w:tcPr>
          <w:p>
            <w:pPr>
              <w:jc w:val="center"/>
              <w:rPr>
                <w:rFonts w:eastAsia="仿宋_GB2312"/>
                <w:sz w:val="20"/>
                <w:szCs w:val="20"/>
              </w:rPr>
            </w:pPr>
            <w:r>
              <w:rPr>
                <w:rFonts w:eastAsia="仿宋_GB2312"/>
                <w:sz w:val="20"/>
                <w:szCs w:val="20"/>
              </w:rPr>
              <w:t>5</w:t>
            </w:r>
          </w:p>
        </w:tc>
        <w:tc>
          <w:tcPr>
            <w:tcW w:w="862" w:type="dxa"/>
            <w:vAlign w:val="center"/>
          </w:tcPr>
          <w:p>
            <w:pPr>
              <w:jc w:val="center"/>
              <w:rPr>
                <w:rFonts w:eastAsia="仿宋_GB2312"/>
                <w:sz w:val="20"/>
                <w:szCs w:val="20"/>
              </w:rPr>
            </w:pPr>
            <w:r>
              <w:rPr>
                <w:rFonts w:eastAsia="仿宋_GB2312"/>
                <w:sz w:val="20"/>
                <w:szCs w:val="20"/>
              </w:rPr>
              <w:t>满意度测评情况</w:t>
            </w:r>
          </w:p>
        </w:tc>
        <w:tc>
          <w:tcPr>
            <w:tcW w:w="738" w:type="dxa"/>
            <w:vAlign w:val="center"/>
          </w:tcPr>
          <w:p>
            <w:pPr>
              <w:jc w:val="center"/>
              <w:rPr>
                <w:rFonts w:eastAsia="仿宋_GB2312"/>
                <w:sz w:val="20"/>
                <w:szCs w:val="20"/>
              </w:rPr>
            </w:pPr>
            <w:r>
              <w:rPr>
                <w:rFonts w:eastAsia="仿宋_GB2312"/>
                <w:sz w:val="20"/>
                <w:szCs w:val="20"/>
              </w:rPr>
              <w:t>15</w:t>
            </w:r>
          </w:p>
        </w:tc>
        <w:tc>
          <w:tcPr>
            <w:tcW w:w="2475" w:type="dxa"/>
            <w:vAlign w:val="center"/>
          </w:tcPr>
          <w:p>
            <w:pPr>
              <w:rPr>
                <w:rFonts w:eastAsia="仿宋_GB2312"/>
                <w:sz w:val="20"/>
                <w:szCs w:val="20"/>
              </w:rPr>
            </w:pPr>
            <w:r>
              <w:rPr>
                <w:rFonts w:eastAsia="仿宋_GB2312"/>
                <w:sz w:val="20"/>
                <w:szCs w:val="20"/>
              </w:rPr>
              <w:t>省国农公司在易地扶贫搬迁投融资服务过程中，有关银行和市（州）、县（市）平台公司对其投融资保障服务的满意度情况。</w:t>
            </w:r>
          </w:p>
          <w:p>
            <w:pPr>
              <w:jc w:val="center"/>
              <w:rPr>
                <w:rFonts w:eastAsia="仿宋_GB2312"/>
                <w:sz w:val="20"/>
                <w:szCs w:val="20"/>
              </w:rPr>
            </w:pPr>
          </w:p>
        </w:tc>
        <w:tc>
          <w:tcPr>
            <w:tcW w:w="2987" w:type="dxa"/>
            <w:vAlign w:val="center"/>
          </w:tcPr>
          <w:p>
            <w:pPr>
              <w:rPr>
                <w:rFonts w:eastAsia="仿宋_GB2312"/>
                <w:sz w:val="20"/>
                <w:szCs w:val="20"/>
              </w:rPr>
            </w:pPr>
            <w:r>
              <w:rPr>
                <w:rFonts w:eastAsia="仿宋_GB2312"/>
                <w:sz w:val="20"/>
                <w:szCs w:val="20"/>
              </w:rPr>
              <w:t>每年抽取20个有省国农公司资金承接拨付任务的相关银行及项目市（州）、县（市）平台公司，进行满意度测评，按满意为5分，基本满意为4分，不满意为0分标准计分，将20个公司的累计得分乘以15％，作为省国农公司满意度得分。</w:t>
            </w:r>
          </w:p>
        </w:tc>
        <w:tc>
          <w:tcPr>
            <w:tcW w:w="963" w:type="dxa"/>
            <w:vAlign w:val="center"/>
          </w:tcPr>
          <w:p>
            <w:pPr>
              <w:jc w:val="center"/>
              <w:rPr>
                <w:rFonts w:eastAsia="仿宋_GB2312"/>
                <w:sz w:val="20"/>
                <w:szCs w:val="20"/>
              </w:rPr>
            </w:pPr>
            <w:r>
              <w:rPr>
                <w:rFonts w:eastAsia="仿宋_GB2312"/>
                <w:sz w:val="20"/>
                <w:szCs w:val="20"/>
              </w:rPr>
              <w:t>15</w:t>
            </w:r>
          </w:p>
        </w:tc>
        <w:tc>
          <w:tcPr>
            <w:tcW w:w="750" w:type="dxa"/>
            <w:vAlign w:val="center"/>
          </w:tcPr>
          <w:p>
            <w:pPr>
              <w:rPr>
                <w:rFonts w:eastAsia="仿宋_GB2312"/>
                <w:sz w:val="20"/>
                <w:szCs w:val="20"/>
              </w:rPr>
            </w:pPr>
          </w:p>
        </w:tc>
      </w:tr>
    </w:tbl>
    <w:p>
      <w:pPr>
        <w:snapToGrid w:val="0"/>
        <w:spacing w:line="540" w:lineRule="exact"/>
        <w:jc w:val="center"/>
        <w:rPr>
          <w:rFonts w:eastAsia="方正小标宋简体"/>
          <w:sz w:val="44"/>
          <w:szCs w:val="44"/>
        </w:rPr>
      </w:pPr>
    </w:p>
    <w:p>
      <w:pPr>
        <w:snapToGrid w:val="0"/>
        <w:spacing w:line="540" w:lineRule="exact"/>
        <w:jc w:val="center"/>
        <w:rPr>
          <w:rFonts w:eastAsia="方正小标宋简体"/>
          <w:sz w:val="44"/>
          <w:szCs w:val="44"/>
        </w:rPr>
      </w:pPr>
      <w:r>
        <w:rPr>
          <w:rFonts w:eastAsia="方正小标宋简体"/>
          <w:sz w:val="44"/>
          <w:szCs w:val="44"/>
        </w:rPr>
        <w:t>2020年部门预算项目支出绩效自评报告</w:t>
      </w:r>
    </w:p>
    <w:p>
      <w:pPr>
        <w:tabs>
          <w:tab w:val="left" w:pos="3885"/>
        </w:tabs>
        <w:snapToGrid w:val="0"/>
        <w:spacing w:line="540" w:lineRule="exact"/>
        <w:jc w:val="center"/>
        <w:rPr>
          <w:rFonts w:eastAsia="仿宋_GB2312"/>
          <w:sz w:val="32"/>
          <w:szCs w:val="32"/>
        </w:rPr>
      </w:pPr>
      <w:r>
        <w:rPr>
          <w:rFonts w:eastAsia="仿宋_GB2312"/>
          <w:sz w:val="32"/>
          <w:szCs w:val="32"/>
        </w:rPr>
        <w:t>（委机关办公用房维护专项资金（上年结转）项目）</w:t>
      </w:r>
    </w:p>
    <w:p>
      <w:pPr>
        <w:tabs>
          <w:tab w:val="left" w:pos="3885"/>
        </w:tabs>
        <w:snapToGrid w:val="0"/>
        <w:spacing w:line="540" w:lineRule="exact"/>
        <w:jc w:val="left"/>
        <w:rPr>
          <w:rFonts w:eastAsia="黑体"/>
          <w:sz w:val="32"/>
          <w:szCs w:val="21"/>
        </w:rPr>
      </w:pPr>
    </w:p>
    <w:p>
      <w:pPr>
        <w:tabs>
          <w:tab w:val="left" w:pos="3885"/>
        </w:tabs>
        <w:snapToGrid w:val="0"/>
        <w:spacing w:line="540" w:lineRule="exact"/>
        <w:jc w:val="left"/>
        <w:rPr>
          <w:rFonts w:eastAsia="黑体"/>
          <w:sz w:val="32"/>
          <w:szCs w:val="21"/>
        </w:rPr>
      </w:pPr>
      <w:r>
        <w:rPr>
          <w:rFonts w:eastAsia="黑体"/>
          <w:sz w:val="32"/>
          <w:szCs w:val="21"/>
        </w:rPr>
        <w:t xml:space="preserve">    一、基本情况</w:t>
      </w:r>
    </w:p>
    <w:p>
      <w:pPr>
        <w:tabs>
          <w:tab w:val="left" w:pos="3885"/>
        </w:tabs>
        <w:snapToGrid w:val="0"/>
        <w:spacing w:line="540" w:lineRule="exact"/>
        <w:ind w:firstLine="640" w:firstLineChars="200"/>
        <w:jc w:val="left"/>
        <w:rPr>
          <w:rFonts w:eastAsia="仿宋_GB2312"/>
          <w:sz w:val="32"/>
          <w:szCs w:val="21"/>
        </w:rPr>
      </w:pPr>
      <w:r>
        <w:rPr>
          <w:rFonts w:eastAsia="仿宋_GB2312"/>
          <w:sz w:val="32"/>
          <w:szCs w:val="21"/>
        </w:rPr>
        <w:t>省发展改革委办公大楼发展大厦自投入使用以来，相关设施老化、损坏问题突出，加之经历汶川和芦山地震，大楼防水、玻璃幕墙、室内地砖、墙面、门扇等出现大面积不同程度损坏。2019年省机关事务管理安排资金207.81万元，主要对大楼平台、职工餐厅、办公室等区域的室内外防水处理、瓷砖更换、墙面修补等。</w:t>
      </w:r>
    </w:p>
    <w:p>
      <w:pPr>
        <w:spacing w:line="540" w:lineRule="exact"/>
        <w:ind w:firstLine="640"/>
        <w:jc w:val="left"/>
        <w:rPr>
          <w:rFonts w:eastAsia="仿宋_GB2312"/>
          <w:bCs/>
          <w:sz w:val="32"/>
          <w:szCs w:val="32"/>
        </w:rPr>
      </w:pPr>
      <w:r>
        <w:rPr>
          <w:rFonts w:eastAsia="仿宋_GB2312"/>
          <w:sz w:val="32"/>
          <w:szCs w:val="32"/>
        </w:rPr>
        <w:t>绩效目标为：一是解决委机关食堂厨房区域地面排水、及渗水等问题；二是改善食堂厨房环境，在原有基础上将墙面，顶棚及设备管线更换，整体达到卫生及安全使用要求；三是更换老化的办公室门；四是发展大厦大楼四楼六楼裙楼平台防水处理及更换瓷砖。</w:t>
      </w:r>
      <w:r>
        <w:rPr>
          <w:rFonts w:eastAsia="仿宋_GB2312"/>
          <w:bCs/>
          <w:sz w:val="32"/>
          <w:szCs w:val="32"/>
        </w:rPr>
        <w:t>项目绩效目标制定三级指标14个，其中数量指标8个，质量指标2个，可持续影响指标3个，满意度指标1个。</w:t>
      </w:r>
    </w:p>
    <w:p>
      <w:pPr>
        <w:spacing w:line="540" w:lineRule="exact"/>
        <w:ind w:firstLine="640"/>
        <w:jc w:val="left"/>
        <w:rPr>
          <w:rFonts w:eastAsia="仿宋_GB2312"/>
          <w:bCs/>
          <w:sz w:val="32"/>
          <w:szCs w:val="32"/>
        </w:rPr>
      </w:pPr>
      <w:r>
        <w:rPr>
          <w:rFonts w:eastAsia="仿宋_GB2312"/>
          <w:bCs/>
          <w:sz w:val="32"/>
          <w:szCs w:val="32"/>
        </w:rPr>
        <w:t>该项目预算金额207.81万元，实际支付183.36万元，预算执行88.23%；</w:t>
      </w:r>
    </w:p>
    <w:p>
      <w:pPr>
        <w:snapToGrid w:val="0"/>
        <w:spacing w:line="540" w:lineRule="exact"/>
        <w:ind w:firstLine="640" w:firstLineChars="200"/>
        <w:rPr>
          <w:rFonts w:eastAsia="仿宋_GB2312"/>
          <w:sz w:val="32"/>
          <w:szCs w:val="21"/>
        </w:rPr>
      </w:pPr>
      <w:r>
        <w:rPr>
          <w:rFonts w:eastAsia="黑体"/>
          <w:sz w:val="32"/>
          <w:szCs w:val="21"/>
        </w:rPr>
        <w:t>二、评价工作开展情况</w:t>
      </w:r>
    </w:p>
    <w:p>
      <w:pPr>
        <w:snapToGrid w:val="0"/>
        <w:spacing w:line="540" w:lineRule="exact"/>
        <w:ind w:firstLine="640" w:firstLineChars="200"/>
        <w:rPr>
          <w:rFonts w:eastAsia="仿宋_GB2312"/>
          <w:sz w:val="32"/>
          <w:szCs w:val="32"/>
        </w:rPr>
      </w:pPr>
      <w:r>
        <w:rPr>
          <w:rFonts w:eastAsia="仿宋_GB2312"/>
          <w:sz w:val="32"/>
          <w:szCs w:val="32"/>
        </w:rPr>
        <w:t>认真组织学习财政部《项目支出绩效评价管理办法》和财政厅《四川省省级项目支出绩效管理办法》，按照财政厅《关于开展2021年部门、政策和项目支出绩效评价工作的通知》要求，全面梳理项目决策、实施、资金使用、产出效益等相关情况，认真分析绩效实施情况。形成了自评报告。</w:t>
      </w:r>
    </w:p>
    <w:p>
      <w:pPr>
        <w:snapToGrid w:val="0"/>
        <w:spacing w:line="540" w:lineRule="exact"/>
        <w:ind w:firstLine="640" w:firstLineChars="200"/>
        <w:rPr>
          <w:rFonts w:eastAsia="黑体"/>
          <w:sz w:val="32"/>
          <w:szCs w:val="21"/>
        </w:rPr>
      </w:pPr>
      <w:r>
        <w:rPr>
          <w:rFonts w:eastAsia="黑体"/>
          <w:sz w:val="32"/>
          <w:szCs w:val="21"/>
        </w:rPr>
        <w:t>三、综合评价结论</w:t>
      </w:r>
    </w:p>
    <w:p>
      <w:pPr>
        <w:snapToGrid w:val="0"/>
        <w:spacing w:line="540" w:lineRule="exact"/>
        <w:ind w:firstLine="640" w:firstLineChars="200"/>
        <w:rPr>
          <w:rFonts w:eastAsia="仿宋_GB2312"/>
          <w:sz w:val="32"/>
          <w:szCs w:val="32"/>
        </w:rPr>
      </w:pPr>
      <w:r>
        <w:rPr>
          <w:rFonts w:eastAsia="仿宋_GB2312"/>
          <w:sz w:val="32"/>
          <w:szCs w:val="32"/>
        </w:rPr>
        <w:t>该项目严格落实预算管理制度，支出规范，按预期保质保量完成工程任务，基本实现了预期绩效目标。</w:t>
      </w:r>
    </w:p>
    <w:p>
      <w:pPr>
        <w:snapToGrid w:val="0"/>
        <w:spacing w:line="540" w:lineRule="exact"/>
        <w:ind w:firstLine="640" w:firstLineChars="200"/>
        <w:rPr>
          <w:rFonts w:eastAsia="黑体"/>
          <w:bCs/>
          <w:sz w:val="32"/>
          <w:szCs w:val="21"/>
        </w:rPr>
      </w:pPr>
      <w:r>
        <w:rPr>
          <w:rFonts w:eastAsia="黑体"/>
          <w:bCs/>
          <w:sz w:val="32"/>
          <w:szCs w:val="21"/>
        </w:rPr>
        <w:t>四、绩效评价分析</w:t>
      </w:r>
    </w:p>
    <w:p>
      <w:pPr>
        <w:snapToGrid w:val="0"/>
        <w:spacing w:line="540" w:lineRule="exact"/>
        <w:ind w:firstLine="640" w:firstLineChars="200"/>
        <w:rPr>
          <w:rFonts w:eastAsia="楷体_GB2312"/>
          <w:bCs/>
          <w:sz w:val="32"/>
          <w:szCs w:val="32"/>
        </w:rPr>
      </w:pPr>
      <w:r>
        <w:rPr>
          <w:rFonts w:eastAsia="楷体_GB2312"/>
          <w:bCs/>
          <w:sz w:val="32"/>
          <w:szCs w:val="32"/>
        </w:rPr>
        <w:t>（一）立项必要性</w:t>
      </w:r>
    </w:p>
    <w:p>
      <w:pPr>
        <w:snapToGrid w:val="0"/>
        <w:spacing w:line="540" w:lineRule="exact"/>
        <w:ind w:firstLine="640" w:firstLineChars="200"/>
        <w:rPr>
          <w:rFonts w:eastAsia="仿宋_GB2312"/>
          <w:bCs/>
          <w:sz w:val="32"/>
          <w:szCs w:val="32"/>
        </w:rPr>
      </w:pPr>
      <w:r>
        <w:rPr>
          <w:rFonts w:eastAsia="仿宋_GB2312"/>
          <w:bCs/>
          <w:sz w:val="32"/>
          <w:szCs w:val="32"/>
        </w:rPr>
        <w:t>通过此次办公用房维修改造：一是解决委机关食堂厨房区域地面排水、及渗水等问题；二是改善食堂厨房环境，在原有基础上将墙面，顶棚及设备管线更换，整体达到卫生及安全使用要求；三是更换老化的办公室门；四是发展大厦大楼四楼六楼裙楼平台防水处理及更换瓷砖。与部门职能职责相符。</w:t>
      </w:r>
    </w:p>
    <w:p>
      <w:pPr>
        <w:snapToGrid w:val="0"/>
        <w:spacing w:line="540" w:lineRule="exact"/>
        <w:ind w:firstLine="640" w:firstLineChars="200"/>
        <w:rPr>
          <w:rFonts w:eastAsia="楷体_GB2312"/>
          <w:bCs/>
          <w:sz w:val="32"/>
          <w:szCs w:val="32"/>
        </w:rPr>
      </w:pPr>
      <w:r>
        <w:rPr>
          <w:rFonts w:eastAsia="楷体_GB2312"/>
          <w:bCs/>
          <w:sz w:val="32"/>
          <w:szCs w:val="32"/>
        </w:rPr>
        <w:t>（二）预算科学性</w:t>
      </w:r>
    </w:p>
    <w:p>
      <w:pPr>
        <w:snapToGrid w:val="0"/>
        <w:spacing w:line="540" w:lineRule="exact"/>
        <w:ind w:firstLine="640" w:firstLineChars="200"/>
        <w:rPr>
          <w:rFonts w:eastAsia="仿宋_GB2312"/>
          <w:bCs/>
          <w:sz w:val="32"/>
          <w:szCs w:val="32"/>
        </w:rPr>
      </w:pPr>
      <w:r>
        <w:rPr>
          <w:rFonts w:eastAsia="仿宋_GB2312"/>
          <w:bCs/>
          <w:sz w:val="32"/>
          <w:szCs w:val="32"/>
        </w:rPr>
        <w:t>该专项项目资金未列入2020年初部门预算，后经《四川省财政厅关于下达省发展改革委经费预算的通知》（川财建﹝2020﹞136号）列入2020年中期调整预算，预算金额</w:t>
      </w:r>
      <w:r>
        <w:rPr>
          <w:rFonts w:eastAsia="仿宋_GB2312"/>
          <w:sz w:val="32"/>
          <w:szCs w:val="32"/>
        </w:rPr>
        <w:t>207.81</w:t>
      </w:r>
      <w:r>
        <w:rPr>
          <w:rFonts w:eastAsia="仿宋_GB2312"/>
          <w:bCs/>
          <w:sz w:val="32"/>
          <w:szCs w:val="32"/>
        </w:rPr>
        <w:t>万元（委机关）；申报预算测算依据为项目建设内容、规模等。用于办公用房维修改造，边界清晰，与其他项目不存在重叠交叉现象。</w:t>
      </w:r>
    </w:p>
    <w:p>
      <w:pPr>
        <w:spacing w:beforeLines="20" w:afterLines="10" w:line="540" w:lineRule="exact"/>
        <w:ind w:firstLine="640" w:firstLineChars="200"/>
        <w:rPr>
          <w:rFonts w:eastAsia="楷体_GB2312"/>
          <w:bCs/>
          <w:sz w:val="32"/>
          <w:szCs w:val="32"/>
        </w:rPr>
      </w:pPr>
      <w:r>
        <w:rPr>
          <w:rFonts w:eastAsia="楷体_GB2312"/>
          <w:bCs/>
          <w:sz w:val="32"/>
          <w:szCs w:val="32"/>
        </w:rPr>
        <w:t xml:space="preserve">（三）绩效目标编制质量 </w:t>
      </w:r>
    </w:p>
    <w:p>
      <w:pPr>
        <w:spacing w:beforeLines="20" w:afterLines="10" w:line="540" w:lineRule="exact"/>
        <w:ind w:firstLine="640" w:firstLineChars="200"/>
        <w:rPr>
          <w:rFonts w:eastAsia="仿宋_GB2312"/>
          <w:bCs/>
          <w:sz w:val="32"/>
          <w:szCs w:val="32"/>
        </w:rPr>
      </w:pPr>
      <w:r>
        <w:rPr>
          <w:rFonts w:eastAsia="仿宋_GB2312"/>
          <w:bCs/>
          <w:sz w:val="32"/>
          <w:szCs w:val="32"/>
        </w:rPr>
        <w:t>该项目绩效目标制定三级指标14个，其中数量指标8个，质量指标2个，可持续影响指标3个，满意度指标1个。</w:t>
      </w:r>
    </w:p>
    <w:p>
      <w:pPr>
        <w:spacing w:beforeLines="20" w:afterLines="10" w:line="540" w:lineRule="exact"/>
        <w:ind w:firstLine="640" w:firstLineChars="200"/>
        <w:rPr>
          <w:rFonts w:eastAsia="仿宋_GB2312"/>
          <w:bCs/>
          <w:sz w:val="32"/>
          <w:szCs w:val="32"/>
        </w:rPr>
      </w:pPr>
      <w:r>
        <w:rPr>
          <w:rFonts w:eastAsia="仿宋_GB2312"/>
          <w:bCs/>
          <w:sz w:val="32"/>
          <w:szCs w:val="32"/>
        </w:rPr>
        <w:t>上述绩效目标体现了项目功能与服务产出数量、质量；项目目标一定程度上体现了成本效益原则，目标设计具备可考核性；项目大体有分阶段实施计划和目标；绩效目标与项目预计解决的问题、现实需求比较匹配，目标具有绩效促进作用；绩效指标比较细化量化。</w:t>
      </w:r>
    </w:p>
    <w:p>
      <w:pPr>
        <w:numPr>
          <w:ilvl w:val="0"/>
          <w:numId w:val="7"/>
        </w:numPr>
        <w:adjustRightInd w:val="0"/>
        <w:snapToGrid w:val="0"/>
        <w:spacing w:beforeLines="20" w:afterLines="10" w:line="540" w:lineRule="exact"/>
        <w:ind w:firstLine="640" w:firstLineChars="200"/>
        <w:rPr>
          <w:rFonts w:eastAsia="楷体_GB2312"/>
          <w:bCs/>
          <w:sz w:val="32"/>
          <w:szCs w:val="32"/>
        </w:rPr>
      </w:pPr>
      <w:r>
        <w:rPr>
          <w:rFonts w:eastAsia="楷体_GB2312"/>
          <w:bCs/>
          <w:sz w:val="32"/>
          <w:szCs w:val="32"/>
        </w:rPr>
        <w:t>项目实施情况</w:t>
      </w:r>
    </w:p>
    <w:p>
      <w:pPr>
        <w:tabs>
          <w:tab w:val="left" w:pos="1524"/>
        </w:tabs>
        <w:spacing w:line="540" w:lineRule="exact"/>
        <w:jc w:val="left"/>
        <w:rPr>
          <w:rFonts w:eastAsia="仿宋_GB2312"/>
          <w:bCs/>
          <w:sz w:val="32"/>
          <w:szCs w:val="32"/>
        </w:rPr>
      </w:pPr>
      <w:r>
        <w:rPr>
          <w:bCs/>
          <w:sz w:val="32"/>
          <w:szCs w:val="32"/>
        </w:rPr>
        <w:t xml:space="preserve">    1.</w:t>
      </w:r>
      <w:r>
        <w:rPr>
          <w:rFonts w:eastAsia="仿宋_GB2312"/>
          <w:bCs/>
          <w:sz w:val="32"/>
          <w:szCs w:val="32"/>
        </w:rPr>
        <w:t>制度执行情况</w:t>
      </w:r>
      <w:r>
        <w:rPr>
          <w:bCs/>
          <w:sz w:val="32"/>
          <w:szCs w:val="32"/>
        </w:rPr>
        <w:t>。</w:t>
      </w:r>
      <w:r>
        <w:rPr>
          <w:rFonts w:eastAsia="仿宋_GB2312"/>
          <w:bCs/>
          <w:sz w:val="32"/>
          <w:szCs w:val="32"/>
        </w:rPr>
        <w:t>该专项项目履行了财政要求的申报及调整评估程序，项目申报及调整有效执行了本部门的申报及调整制度。</w:t>
      </w:r>
    </w:p>
    <w:p>
      <w:pPr>
        <w:adjustRightInd w:val="0"/>
        <w:snapToGrid w:val="0"/>
        <w:spacing w:beforeLines="20" w:afterLines="10" w:line="540" w:lineRule="exact"/>
        <w:ind w:firstLine="640" w:firstLineChars="200"/>
        <w:rPr>
          <w:rFonts w:eastAsia="仿宋_GB2312"/>
          <w:bCs/>
          <w:sz w:val="32"/>
          <w:szCs w:val="32"/>
        </w:rPr>
      </w:pPr>
      <w:r>
        <w:rPr>
          <w:bCs/>
          <w:sz w:val="32"/>
          <w:szCs w:val="32"/>
        </w:rPr>
        <w:t>2.</w:t>
      </w:r>
      <w:r>
        <w:rPr>
          <w:rFonts w:eastAsia="仿宋_GB2312"/>
          <w:bCs/>
          <w:sz w:val="32"/>
          <w:szCs w:val="32"/>
        </w:rPr>
        <w:t>项目匹配情况</w:t>
      </w:r>
      <w:r>
        <w:rPr>
          <w:bCs/>
          <w:sz w:val="32"/>
          <w:szCs w:val="32"/>
        </w:rPr>
        <w:t>。</w:t>
      </w:r>
      <w:r>
        <w:rPr>
          <w:rFonts w:eastAsia="仿宋_GB2312"/>
          <w:bCs/>
          <w:sz w:val="32"/>
          <w:szCs w:val="32"/>
        </w:rPr>
        <w:t>根据项目绩效目标申报及财政预算批复，该项目预算金额207.81万元，实际支付183.36万元；实际列支内容与项目绩效目标设置方向相符。</w:t>
      </w:r>
    </w:p>
    <w:p>
      <w:pPr>
        <w:adjustRightInd w:val="0"/>
        <w:snapToGrid w:val="0"/>
        <w:spacing w:line="540" w:lineRule="exact"/>
        <w:ind w:right="-130" w:rightChars="-62" w:firstLine="640" w:firstLineChars="200"/>
        <w:rPr>
          <w:rFonts w:eastAsia="仿宋_GB2312"/>
          <w:bCs/>
          <w:sz w:val="32"/>
          <w:szCs w:val="32"/>
        </w:rPr>
      </w:pPr>
      <w:r>
        <w:rPr>
          <w:bCs/>
          <w:sz w:val="32"/>
          <w:szCs w:val="32"/>
        </w:rPr>
        <w:t>3.</w:t>
      </w:r>
      <w:r>
        <w:rPr>
          <w:rFonts w:eastAsia="仿宋_GB2312"/>
          <w:bCs/>
          <w:sz w:val="32"/>
          <w:szCs w:val="32"/>
        </w:rPr>
        <w:t>费用开支情况</w:t>
      </w:r>
      <w:r>
        <w:rPr>
          <w:bCs/>
          <w:sz w:val="32"/>
          <w:szCs w:val="32"/>
        </w:rPr>
        <w:t>。</w:t>
      </w:r>
      <w:r>
        <w:rPr>
          <w:rFonts w:eastAsia="仿宋_GB2312"/>
          <w:bCs/>
          <w:sz w:val="32"/>
          <w:szCs w:val="32"/>
        </w:rPr>
        <w:t>在项目中列支“维修（护）费”等项目支出183.36万元，占项目实际总支出的100%。该项目</w:t>
      </w:r>
      <w:r>
        <w:rPr>
          <w:bCs/>
          <w:sz w:val="32"/>
          <w:szCs w:val="32"/>
        </w:rPr>
        <w:t>未</w:t>
      </w:r>
      <w:r>
        <w:rPr>
          <w:rFonts w:eastAsia="仿宋_GB2312"/>
          <w:bCs/>
          <w:sz w:val="32"/>
          <w:szCs w:val="32"/>
        </w:rPr>
        <w:t>列支办公费、差旅费、培训费等应在公用经费中列支的16项支出</w:t>
      </w:r>
      <w:r>
        <w:rPr>
          <w:bCs/>
          <w:sz w:val="32"/>
          <w:szCs w:val="32"/>
        </w:rPr>
        <w:t>。</w:t>
      </w:r>
    </w:p>
    <w:p>
      <w:pPr>
        <w:adjustRightInd w:val="0"/>
        <w:snapToGrid w:val="0"/>
        <w:spacing w:beforeLines="20" w:afterLines="10" w:line="540" w:lineRule="exact"/>
        <w:ind w:firstLine="640" w:firstLineChars="200"/>
        <w:rPr>
          <w:rFonts w:eastAsia="楷体_GB2312"/>
          <w:bCs/>
          <w:sz w:val="32"/>
          <w:szCs w:val="32"/>
        </w:rPr>
      </w:pPr>
      <w:r>
        <w:rPr>
          <w:rFonts w:eastAsia="楷体_GB2312"/>
          <w:bCs/>
          <w:sz w:val="32"/>
          <w:szCs w:val="32"/>
        </w:rPr>
        <w:t>（五）预算完成结果情况</w:t>
      </w:r>
    </w:p>
    <w:p>
      <w:pPr>
        <w:adjustRightInd w:val="0"/>
        <w:snapToGrid w:val="0"/>
        <w:spacing w:beforeLines="20" w:afterLines="10" w:line="540" w:lineRule="exact"/>
        <w:ind w:firstLine="640" w:firstLineChars="200"/>
        <w:rPr>
          <w:rFonts w:eastAsia="仿宋_GB2312"/>
          <w:bCs/>
          <w:sz w:val="32"/>
          <w:szCs w:val="32"/>
        </w:rPr>
      </w:pPr>
      <w:r>
        <w:rPr>
          <w:rFonts w:eastAsia="仿宋_GB2312"/>
          <w:bCs/>
          <w:sz w:val="32"/>
          <w:szCs w:val="32"/>
        </w:rPr>
        <w:t>该项目预算207.81万元，实际执行183.36万元，预算执行率88.23%；项目资金年末由财政收回24.45万元。注消比例11.76%。</w:t>
      </w:r>
    </w:p>
    <w:p>
      <w:pPr>
        <w:adjustRightInd w:val="0"/>
        <w:snapToGrid w:val="0"/>
        <w:spacing w:beforeLines="20" w:afterLines="10" w:line="540" w:lineRule="exact"/>
        <w:ind w:firstLine="640" w:firstLineChars="200"/>
        <w:rPr>
          <w:rFonts w:eastAsia="楷体_GB2312"/>
          <w:bCs/>
          <w:sz w:val="32"/>
          <w:szCs w:val="32"/>
        </w:rPr>
      </w:pPr>
      <w:r>
        <w:rPr>
          <w:rFonts w:eastAsia="楷体_GB2312"/>
          <w:bCs/>
          <w:sz w:val="32"/>
          <w:szCs w:val="32"/>
        </w:rPr>
        <w:t>（六）目标完成情况</w:t>
      </w:r>
    </w:p>
    <w:p>
      <w:pPr>
        <w:adjustRightInd w:val="0"/>
        <w:snapToGrid w:val="0"/>
        <w:spacing w:beforeLines="20" w:afterLines="10" w:line="540" w:lineRule="exact"/>
        <w:ind w:firstLine="640" w:firstLineChars="200"/>
        <w:rPr>
          <w:rFonts w:eastAsia="仿宋_GB2312"/>
          <w:bCs/>
          <w:sz w:val="32"/>
          <w:szCs w:val="32"/>
        </w:rPr>
      </w:pPr>
      <w:r>
        <w:rPr>
          <w:rFonts w:eastAsia="仿宋_GB2312"/>
          <w:bCs/>
          <w:sz w:val="32"/>
          <w:szCs w:val="32"/>
        </w:rPr>
        <w:t>数量指标完成率=6（实际完成数量指标个数）/</w:t>
      </w:r>
      <w:r>
        <w:rPr>
          <w:bCs/>
          <w:sz w:val="32"/>
          <w:szCs w:val="32"/>
        </w:rPr>
        <w:t>8</w:t>
      </w:r>
      <w:r>
        <w:rPr>
          <w:rFonts w:eastAsia="仿宋_GB2312"/>
          <w:bCs/>
          <w:sz w:val="32"/>
          <w:szCs w:val="32"/>
        </w:rPr>
        <w:t>（项目绩效目标设定数量指标个数）×100%=</w:t>
      </w:r>
      <w:r>
        <w:rPr>
          <w:bCs/>
          <w:sz w:val="32"/>
          <w:szCs w:val="32"/>
        </w:rPr>
        <w:t>75</w:t>
      </w:r>
      <w:r>
        <w:rPr>
          <w:rFonts w:eastAsia="仿宋_GB2312"/>
          <w:bCs/>
          <w:sz w:val="32"/>
          <w:szCs w:val="32"/>
        </w:rPr>
        <w:t>%。</w:t>
      </w:r>
    </w:p>
    <w:p>
      <w:pPr>
        <w:snapToGrid w:val="0"/>
        <w:spacing w:line="540" w:lineRule="exact"/>
        <w:ind w:firstLine="640" w:firstLineChars="200"/>
        <w:rPr>
          <w:rFonts w:eastAsia="黑体"/>
          <w:sz w:val="32"/>
          <w:szCs w:val="21"/>
        </w:rPr>
      </w:pPr>
      <w:r>
        <w:rPr>
          <w:rFonts w:eastAsia="黑体"/>
          <w:sz w:val="32"/>
          <w:szCs w:val="21"/>
        </w:rPr>
        <w:t>五、存在主要问题</w:t>
      </w:r>
    </w:p>
    <w:p>
      <w:pPr>
        <w:snapToGrid w:val="0"/>
        <w:spacing w:line="540" w:lineRule="exact"/>
        <w:ind w:firstLine="640" w:firstLineChars="200"/>
        <w:rPr>
          <w:rFonts w:eastAsia="仿宋_GB2312"/>
          <w:sz w:val="32"/>
          <w:szCs w:val="32"/>
        </w:rPr>
      </w:pPr>
      <w:r>
        <w:rPr>
          <w:rFonts w:eastAsia="仿宋_GB2312"/>
          <w:bCs/>
          <w:sz w:val="32"/>
          <w:szCs w:val="32"/>
        </w:rPr>
        <w:t>部分预期指标值设置不科学，实际完成指标值与预期指标值差异较大，如：踢脚改造面砖踢脚及硬木踢脚，预期指标值：改造建筑面积约为306平方米；实际完成指标值：55平方米。设置指标时应以需改造的踢脚面积为指标值，而不应该以房屋面积为指标值。</w:t>
      </w:r>
    </w:p>
    <w:p>
      <w:pPr>
        <w:snapToGrid w:val="0"/>
        <w:spacing w:line="540" w:lineRule="exact"/>
        <w:ind w:firstLine="640" w:firstLineChars="200"/>
        <w:rPr>
          <w:rFonts w:eastAsia="黑体"/>
          <w:sz w:val="32"/>
          <w:szCs w:val="21"/>
        </w:rPr>
      </w:pPr>
      <w:r>
        <w:rPr>
          <w:rFonts w:eastAsia="黑体"/>
          <w:sz w:val="32"/>
          <w:szCs w:val="21"/>
        </w:rPr>
        <w:t>六、相关措施建议</w:t>
      </w:r>
    </w:p>
    <w:p>
      <w:pPr>
        <w:snapToGrid w:val="0"/>
        <w:spacing w:line="540" w:lineRule="exact"/>
        <w:ind w:firstLine="640" w:firstLineChars="200"/>
        <w:rPr>
          <w:rFonts w:eastAsia="仿宋_GB2312"/>
          <w:sz w:val="32"/>
          <w:szCs w:val="32"/>
        </w:rPr>
      </w:pPr>
      <w:r>
        <w:rPr>
          <w:rFonts w:eastAsia="仿宋_GB2312"/>
          <w:bCs/>
          <w:sz w:val="32"/>
          <w:szCs w:val="32"/>
        </w:rPr>
        <w:t>一是加强绩效目标编制工作。</w:t>
      </w:r>
      <w:r>
        <w:rPr>
          <w:rFonts w:eastAsia="仿宋_GB2312"/>
          <w:sz w:val="32"/>
          <w:szCs w:val="32"/>
        </w:rPr>
        <w:t>结合实际科学合理设定绩效目标预期值，避免目标值过低或过高而导致不能准确反映资金投入、产出、效率和效益情况。</w:t>
      </w:r>
    </w:p>
    <w:p>
      <w:pPr>
        <w:snapToGrid w:val="0"/>
        <w:spacing w:line="540" w:lineRule="exact"/>
        <w:ind w:firstLine="640" w:firstLineChars="200"/>
        <w:rPr>
          <w:rFonts w:eastAsia="仿宋_GB2312"/>
          <w:sz w:val="32"/>
          <w:szCs w:val="32"/>
        </w:rPr>
      </w:pPr>
      <w:r>
        <w:rPr>
          <w:rFonts w:eastAsia="仿宋_GB2312"/>
          <w:bCs/>
          <w:sz w:val="32"/>
          <w:szCs w:val="32"/>
        </w:rPr>
        <w:t>二是加强绩效目标动态管理、</w:t>
      </w:r>
      <w:r>
        <w:rPr>
          <w:rFonts w:eastAsia="仿宋_GB2312"/>
          <w:sz w:val="32"/>
          <w:szCs w:val="32"/>
        </w:rPr>
        <w:t>根据设定的绩效目标，对项目进度、预算执行、投入产出、各项效益的阶段性完成情况进行动态跟踪监控，发现问题及时采取正确的处理措施，确保目标运行方向正确、进展顺利。应及时调整绩效目标或取消项目，同时相应的调整或取消预算，提高财政资金使用效率。</w:t>
      </w:r>
    </w:p>
    <w:p>
      <w:pPr>
        <w:snapToGrid w:val="0"/>
        <w:spacing w:line="540" w:lineRule="exact"/>
        <w:ind w:firstLine="640" w:firstLineChars="200"/>
        <w:rPr>
          <w:rFonts w:eastAsia="仿宋_GB2312"/>
          <w:sz w:val="32"/>
          <w:szCs w:val="32"/>
        </w:rPr>
      </w:pPr>
      <w:r>
        <w:rPr>
          <w:rFonts w:eastAsia="仿宋_GB2312"/>
          <w:sz w:val="32"/>
          <w:szCs w:val="32"/>
        </w:rPr>
        <w:t>三是加强预算管理，提高预算执行力。</w:t>
      </w:r>
    </w:p>
    <w:p>
      <w:pPr>
        <w:pStyle w:val="2"/>
        <w:spacing w:line="540" w:lineRule="exact"/>
        <w:ind w:left="840" w:hanging="420"/>
        <w:rPr>
          <w:szCs w:val="32"/>
        </w:rPr>
      </w:pPr>
    </w:p>
    <w:p>
      <w:pPr>
        <w:spacing w:line="540" w:lineRule="exact"/>
        <w:jc w:val="center"/>
        <w:rPr>
          <w:rFonts w:eastAsia="方正小标宋简体"/>
          <w:sz w:val="32"/>
          <w:szCs w:val="32"/>
        </w:rPr>
      </w:pPr>
      <w:r>
        <w:rPr>
          <w:rFonts w:eastAsia="方正小标宋简体"/>
          <w:sz w:val="32"/>
          <w:szCs w:val="32"/>
        </w:rPr>
        <w:t>委机关办公用房维护专项资金（上年结转）项目</w:t>
      </w:r>
    </w:p>
    <w:p>
      <w:pPr>
        <w:spacing w:line="540" w:lineRule="exact"/>
        <w:jc w:val="center"/>
        <w:rPr>
          <w:rFonts w:eastAsia="方正小标宋简体"/>
        </w:rPr>
      </w:pPr>
      <w:r>
        <w:rPr>
          <w:rFonts w:eastAsia="方正小标宋简体"/>
          <w:sz w:val="32"/>
          <w:szCs w:val="32"/>
        </w:rPr>
        <w:t>支出绩效自评表</w:t>
      </w:r>
    </w:p>
    <w:p>
      <w:pPr>
        <w:pStyle w:val="2"/>
        <w:spacing w:line="540" w:lineRule="exact"/>
        <w:ind w:left="840" w:hanging="420"/>
        <w:rPr>
          <w:szCs w:val="32"/>
        </w:rPr>
      </w:pPr>
    </w:p>
    <w:tbl>
      <w:tblPr>
        <w:tblStyle w:val="21"/>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2"/>
        <w:gridCol w:w="738"/>
        <w:gridCol w:w="2475"/>
        <w:gridCol w:w="2987"/>
        <w:gridCol w:w="9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50" w:type="dxa"/>
            <w:vAlign w:val="center"/>
          </w:tcPr>
          <w:p>
            <w:pPr>
              <w:jc w:val="center"/>
              <w:rPr>
                <w:rFonts w:eastAsia="黑体"/>
                <w:b/>
                <w:bCs/>
                <w:sz w:val="24"/>
              </w:rPr>
            </w:pPr>
            <w:r>
              <w:rPr>
                <w:rFonts w:eastAsia="黑体"/>
                <w:b/>
                <w:bCs/>
                <w:sz w:val="24"/>
              </w:rPr>
              <w:t>序号</w:t>
            </w:r>
          </w:p>
        </w:tc>
        <w:tc>
          <w:tcPr>
            <w:tcW w:w="862" w:type="dxa"/>
            <w:vAlign w:val="center"/>
          </w:tcPr>
          <w:p>
            <w:pPr>
              <w:jc w:val="center"/>
              <w:rPr>
                <w:rFonts w:eastAsia="黑体"/>
                <w:b/>
                <w:bCs/>
                <w:sz w:val="24"/>
              </w:rPr>
            </w:pPr>
            <w:r>
              <w:rPr>
                <w:rFonts w:eastAsia="黑体"/>
                <w:b/>
                <w:bCs/>
                <w:sz w:val="24"/>
              </w:rPr>
              <w:t>主要</w:t>
            </w:r>
          </w:p>
          <w:p>
            <w:pPr>
              <w:jc w:val="center"/>
              <w:rPr>
                <w:rFonts w:eastAsia="黑体"/>
                <w:b/>
                <w:bCs/>
                <w:sz w:val="24"/>
              </w:rPr>
            </w:pPr>
            <w:r>
              <w:rPr>
                <w:rFonts w:eastAsia="黑体"/>
                <w:b/>
                <w:bCs/>
                <w:sz w:val="24"/>
              </w:rPr>
              <w:t>指标</w:t>
            </w:r>
          </w:p>
        </w:tc>
        <w:tc>
          <w:tcPr>
            <w:tcW w:w="738" w:type="dxa"/>
            <w:vAlign w:val="center"/>
          </w:tcPr>
          <w:p>
            <w:pPr>
              <w:jc w:val="center"/>
              <w:rPr>
                <w:rFonts w:eastAsia="黑体"/>
                <w:b/>
                <w:bCs/>
                <w:sz w:val="24"/>
              </w:rPr>
            </w:pPr>
            <w:r>
              <w:rPr>
                <w:rFonts w:eastAsia="黑体"/>
                <w:b/>
                <w:bCs/>
                <w:sz w:val="24"/>
              </w:rPr>
              <w:t>分值</w:t>
            </w:r>
          </w:p>
        </w:tc>
        <w:tc>
          <w:tcPr>
            <w:tcW w:w="2475" w:type="dxa"/>
            <w:vAlign w:val="center"/>
          </w:tcPr>
          <w:p>
            <w:pPr>
              <w:jc w:val="center"/>
              <w:rPr>
                <w:rFonts w:eastAsia="黑体"/>
                <w:b/>
                <w:bCs/>
                <w:sz w:val="24"/>
              </w:rPr>
            </w:pPr>
            <w:r>
              <w:rPr>
                <w:rFonts w:eastAsia="黑体"/>
                <w:b/>
                <w:bCs/>
                <w:sz w:val="24"/>
              </w:rPr>
              <w:t>评价内容</w:t>
            </w:r>
          </w:p>
        </w:tc>
        <w:tc>
          <w:tcPr>
            <w:tcW w:w="2987" w:type="dxa"/>
            <w:vAlign w:val="center"/>
          </w:tcPr>
          <w:p>
            <w:pPr>
              <w:jc w:val="center"/>
              <w:rPr>
                <w:rFonts w:eastAsia="黑体"/>
                <w:b/>
                <w:bCs/>
                <w:sz w:val="24"/>
              </w:rPr>
            </w:pPr>
            <w:r>
              <w:rPr>
                <w:rFonts w:eastAsia="黑体"/>
                <w:b/>
                <w:bCs/>
                <w:sz w:val="24"/>
              </w:rPr>
              <w:t>评分标准</w:t>
            </w:r>
          </w:p>
        </w:tc>
        <w:tc>
          <w:tcPr>
            <w:tcW w:w="963" w:type="dxa"/>
            <w:vAlign w:val="center"/>
          </w:tcPr>
          <w:p>
            <w:pPr>
              <w:jc w:val="center"/>
              <w:rPr>
                <w:rFonts w:eastAsia="黑体"/>
                <w:b/>
                <w:bCs/>
                <w:sz w:val="24"/>
              </w:rPr>
            </w:pPr>
            <w:r>
              <w:rPr>
                <w:rFonts w:eastAsia="黑体"/>
                <w:b/>
                <w:bCs/>
                <w:sz w:val="24"/>
              </w:rPr>
              <w:t>自评</w:t>
            </w:r>
          </w:p>
          <w:p>
            <w:pPr>
              <w:jc w:val="center"/>
              <w:rPr>
                <w:rFonts w:eastAsia="黑体"/>
                <w:b/>
                <w:bCs/>
                <w:sz w:val="24"/>
              </w:rPr>
            </w:pPr>
            <w:r>
              <w:rPr>
                <w:rFonts w:eastAsia="黑体"/>
                <w:b/>
                <w:bCs/>
                <w:sz w:val="24"/>
              </w:rPr>
              <w:t>得分</w:t>
            </w:r>
          </w:p>
        </w:tc>
        <w:tc>
          <w:tcPr>
            <w:tcW w:w="750" w:type="dxa"/>
            <w:vAlign w:val="center"/>
          </w:tcPr>
          <w:p>
            <w:pPr>
              <w:jc w:val="center"/>
              <w:rPr>
                <w:rFonts w:eastAsia="黑体"/>
                <w:b/>
                <w:bCs/>
                <w:sz w:val="24"/>
              </w:rPr>
            </w:pPr>
            <w:r>
              <w:rPr>
                <w:rFonts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0" w:type="dxa"/>
            <w:vAlign w:val="center"/>
          </w:tcPr>
          <w:p>
            <w:pPr>
              <w:jc w:val="center"/>
              <w:rPr>
                <w:rFonts w:eastAsia="仿宋_GB2312"/>
                <w:sz w:val="20"/>
                <w:szCs w:val="20"/>
              </w:rPr>
            </w:pPr>
            <w:r>
              <w:rPr>
                <w:rFonts w:eastAsia="仿宋_GB2312"/>
                <w:sz w:val="20"/>
                <w:szCs w:val="20"/>
              </w:rPr>
              <w:t>1</w:t>
            </w:r>
          </w:p>
        </w:tc>
        <w:tc>
          <w:tcPr>
            <w:tcW w:w="862" w:type="dxa"/>
            <w:vAlign w:val="center"/>
          </w:tcPr>
          <w:p>
            <w:pPr>
              <w:jc w:val="center"/>
              <w:rPr>
                <w:rFonts w:eastAsia="仿宋_GB2312"/>
                <w:sz w:val="20"/>
                <w:szCs w:val="20"/>
              </w:rPr>
            </w:pPr>
            <w:r>
              <w:rPr>
                <w:sz w:val="20"/>
                <w:szCs w:val="20"/>
              </w:rPr>
              <w:t>立项必要性</w:t>
            </w:r>
          </w:p>
        </w:tc>
        <w:tc>
          <w:tcPr>
            <w:tcW w:w="738" w:type="dxa"/>
            <w:vAlign w:val="center"/>
          </w:tcPr>
          <w:p>
            <w:pPr>
              <w:jc w:val="center"/>
              <w:rPr>
                <w:rFonts w:eastAsia="仿宋_GB2312"/>
                <w:sz w:val="20"/>
                <w:szCs w:val="20"/>
              </w:rPr>
            </w:pPr>
            <w:r>
              <w:rPr>
                <w:sz w:val="20"/>
                <w:szCs w:val="20"/>
              </w:rPr>
              <w:t>10</w:t>
            </w:r>
          </w:p>
        </w:tc>
        <w:tc>
          <w:tcPr>
            <w:tcW w:w="2475" w:type="dxa"/>
            <w:vAlign w:val="center"/>
          </w:tcPr>
          <w:p>
            <w:pPr>
              <w:rPr>
                <w:rFonts w:eastAsia="仿宋_GB2312"/>
                <w:sz w:val="20"/>
                <w:szCs w:val="20"/>
              </w:rPr>
            </w:pPr>
            <w:r>
              <w:rPr>
                <w:sz w:val="20"/>
                <w:szCs w:val="20"/>
              </w:rPr>
              <w:t>对项目的立项必要性进行评价</w:t>
            </w:r>
          </w:p>
        </w:tc>
        <w:tc>
          <w:tcPr>
            <w:tcW w:w="2987" w:type="dxa"/>
            <w:vAlign w:val="center"/>
          </w:tcPr>
          <w:p>
            <w:pPr>
              <w:rPr>
                <w:rFonts w:eastAsia="仿宋_GB2312"/>
                <w:sz w:val="20"/>
                <w:szCs w:val="20"/>
              </w:rPr>
            </w:pPr>
            <w:r>
              <w:rPr>
                <w:sz w:val="20"/>
                <w:szCs w:val="20"/>
              </w:rPr>
              <w:t>与部门（单位）职能职责不符则扣5分，立项依据不充分扣5分。</w:t>
            </w:r>
          </w:p>
        </w:tc>
        <w:tc>
          <w:tcPr>
            <w:tcW w:w="963" w:type="dxa"/>
            <w:vAlign w:val="center"/>
          </w:tcPr>
          <w:p>
            <w:pPr>
              <w:jc w:val="center"/>
              <w:rPr>
                <w:rFonts w:eastAsia="仿宋_GB2312"/>
                <w:sz w:val="20"/>
                <w:szCs w:val="20"/>
              </w:rPr>
            </w:pPr>
            <w:r>
              <w:rPr>
                <w:sz w:val="20"/>
                <w:szCs w:val="20"/>
              </w:rPr>
              <w:t>10</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50" w:type="dxa"/>
            <w:vAlign w:val="center"/>
          </w:tcPr>
          <w:p>
            <w:pPr>
              <w:jc w:val="center"/>
              <w:rPr>
                <w:rFonts w:eastAsia="仿宋_GB2312"/>
                <w:sz w:val="20"/>
                <w:szCs w:val="20"/>
              </w:rPr>
            </w:pPr>
            <w:r>
              <w:rPr>
                <w:rFonts w:eastAsia="仿宋_GB2312"/>
                <w:sz w:val="20"/>
                <w:szCs w:val="20"/>
              </w:rPr>
              <w:t>2</w:t>
            </w:r>
          </w:p>
        </w:tc>
        <w:tc>
          <w:tcPr>
            <w:tcW w:w="862" w:type="dxa"/>
            <w:vAlign w:val="center"/>
          </w:tcPr>
          <w:p>
            <w:pPr>
              <w:jc w:val="center"/>
              <w:rPr>
                <w:rFonts w:eastAsia="仿宋_GB2312"/>
                <w:sz w:val="20"/>
                <w:szCs w:val="20"/>
              </w:rPr>
            </w:pPr>
            <w:r>
              <w:rPr>
                <w:sz w:val="20"/>
                <w:szCs w:val="20"/>
              </w:rPr>
              <w:t>预算科学性</w:t>
            </w:r>
          </w:p>
        </w:tc>
        <w:tc>
          <w:tcPr>
            <w:tcW w:w="738" w:type="dxa"/>
            <w:vAlign w:val="center"/>
          </w:tcPr>
          <w:p>
            <w:pPr>
              <w:jc w:val="center"/>
              <w:rPr>
                <w:rFonts w:eastAsia="仿宋_GB2312"/>
                <w:sz w:val="20"/>
                <w:szCs w:val="20"/>
              </w:rPr>
            </w:pPr>
            <w:r>
              <w:rPr>
                <w:sz w:val="20"/>
                <w:szCs w:val="20"/>
              </w:rPr>
              <w:t>10</w:t>
            </w:r>
          </w:p>
        </w:tc>
        <w:tc>
          <w:tcPr>
            <w:tcW w:w="2475" w:type="dxa"/>
            <w:vAlign w:val="center"/>
          </w:tcPr>
          <w:p>
            <w:pPr>
              <w:rPr>
                <w:rFonts w:eastAsia="仿宋_GB2312"/>
                <w:sz w:val="20"/>
                <w:szCs w:val="20"/>
              </w:rPr>
            </w:pPr>
            <w:r>
              <w:rPr>
                <w:sz w:val="20"/>
                <w:szCs w:val="20"/>
              </w:rPr>
              <w:t>对预算编制进行评价</w:t>
            </w:r>
          </w:p>
        </w:tc>
        <w:tc>
          <w:tcPr>
            <w:tcW w:w="2987" w:type="dxa"/>
            <w:vAlign w:val="center"/>
          </w:tcPr>
          <w:p>
            <w:pPr>
              <w:rPr>
                <w:rFonts w:eastAsia="仿宋_GB2312"/>
                <w:sz w:val="20"/>
                <w:szCs w:val="20"/>
              </w:rPr>
            </w:pPr>
            <w:r>
              <w:rPr>
                <w:sz w:val="20"/>
                <w:szCs w:val="20"/>
              </w:rPr>
              <w:t>预算程序不规范扣2分，预算项目与其他项目有重叠交叉内容的，每1处扣2分，扣完为止。</w:t>
            </w:r>
          </w:p>
        </w:tc>
        <w:tc>
          <w:tcPr>
            <w:tcW w:w="963" w:type="dxa"/>
            <w:vAlign w:val="center"/>
          </w:tcPr>
          <w:p>
            <w:pPr>
              <w:jc w:val="center"/>
              <w:rPr>
                <w:rFonts w:eastAsia="仿宋_GB2312"/>
                <w:sz w:val="20"/>
                <w:szCs w:val="20"/>
              </w:rPr>
            </w:pPr>
            <w:r>
              <w:rPr>
                <w:sz w:val="20"/>
                <w:szCs w:val="20"/>
              </w:rPr>
              <w:t>10</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50" w:type="dxa"/>
            <w:vAlign w:val="center"/>
          </w:tcPr>
          <w:p>
            <w:pPr>
              <w:jc w:val="center"/>
              <w:rPr>
                <w:rFonts w:eastAsia="仿宋_GB2312"/>
                <w:sz w:val="20"/>
                <w:szCs w:val="20"/>
              </w:rPr>
            </w:pPr>
            <w:r>
              <w:rPr>
                <w:rFonts w:eastAsia="仿宋_GB2312"/>
                <w:sz w:val="20"/>
                <w:szCs w:val="20"/>
              </w:rPr>
              <w:t>3</w:t>
            </w:r>
          </w:p>
        </w:tc>
        <w:tc>
          <w:tcPr>
            <w:tcW w:w="862" w:type="dxa"/>
            <w:vAlign w:val="center"/>
          </w:tcPr>
          <w:p>
            <w:pPr>
              <w:jc w:val="center"/>
              <w:rPr>
                <w:rFonts w:eastAsia="仿宋_GB2312"/>
                <w:sz w:val="20"/>
                <w:szCs w:val="20"/>
              </w:rPr>
            </w:pPr>
            <w:r>
              <w:rPr>
                <w:sz w:val="20"/>
                <w:szCs w:val="20"/>
              </w:rPr>
              <w:t>绩效目标编制质量</w:t>
            </w:r>
          </w:p>
        </w:tc>
        <w:tc>
          <w:tcPr>
            <w:tcW w:w="738" w:type="dxa"/>
            <w:vAlign w:val="center"/>
          </w:tcPr>
          <w:p>
            <w:pPr>
              <w:jc w:val="center"/>
              <w:rPr>
                <w:rFonts w:eastAsia="仿宋_GB2312"/>
                <w:sz w:val="20"/>
                <w:szCs w:val="20"/>
              </w:rPr>
            </w:pPr>
            <w:r>
              <w:rPr>
                <w:sz w:val="20"/>
                <w:szCs w:val="20"/>
              </w:rPr>
              <w:t>20</w:t>
            </w:r>
          </w:p>
        </w:tc>
        <w:tc>
          <w:tcPr>
            <w:tcW w:w="2475" w:type="dxa"/>
            <w:vAlign w:val="center"/>
          </w:tcPr>
          <w:p>
            <w:pPr>
              <w:rPr>
                <w:rFonts w:eastAsia="仿宋_GB2312"/>
                <w:sz w:val="20"/>
                <w:szCs w:val="20"/>
              </w:rPr>
            </w:pPr>
            <w:r>
              <w:rPr>
                <w:sz w:val="20"/>
                <w:szCs w:val="20"/>
              </w:rPr>
              <w:t>对绩效目标质量进行评价</w:t>
            </w:r>
          </w:p>
        </w:tc>
        <w:tc>
          <w:tcPr>
            <w:tcW w:w="2987" w:type="dxa"/>
            <w:vAlign w:val="center"/>
          </w:tcPr>
          <w:p>
            <w:pPr>
              <w:rPr>
                <w:rFonts w:eastAsia="仿宋_GB2312"/>
                <w:sz w:val="20"/>
                <w:szCs w:val="20"/>
              </w:rPr>
            </w:pPr>
            <w:r>
              <w:rPr>
                <w:sz w:val="20"/>
                <w:szCs w:val="20"/>
              </w:rPr>
              <w:t>绩效目标编制不合理，每1个指标扣2分</w:t>
            </w:r>
          </w:p>
        </w:tc>
        <w:tc>
          <w:tcPr>
            <w:tcW w:w="963" w:type="dxa"/>
            <w:vAlign w:val="center"/>
          </w:tcPr>
          <w:p>
            <w:pPr>
              <w:jc w:val="center"/>
              <w:rPr>
                <w:rFonts w:eastAsia="仿宋_GB2312"/>
                <w:sz w:val="20"/>
                <w:szCs w:val="20"/>
              </w:rPr>
            </w:pPr>
            <w:r>
              <w:rPr>
                <w:sz w:val="20"/>
                <w:szCs w:val="20"/>
              </w:rPr>
              <w:t>18</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50" w:type="dxa"/>
            <w:vAlign w:val="center"/>
          </w:tcPr>
          <w:p>
            <w:pPr>
              <w:jc w:val="center"/>
              <w:rPr>
                <w:rFonts w:eastAsia="仿宋_GB2312"/>
                <w:sz w:val="20"/>
                <w:szCs w:val="20"/>
              </w:rPr>
            </w:pPr>
            <w:r>
              <w:rPr>
                <w:rFonts w:eastAsia="仿宋_GB2312"/>
                <w:sz w:val="20"/>
                <w:szCs w:val="20"/>
              </w:rPr>
              <w:t>4</w:t>
            </w:r>
          </w:p>
        </w:tc>
        <w:tc>
          <w:tcPr>
            <w:tcW w:w="862" w:type="dxa"/>
            <w:vAlign w:val="center"/>
          </w:tcPr>
          <w:p>
            <w:pPr>
              <w:jc w:val="center"/>
              <w:rPr>
                <w:rFonts w:eastAsia="仿宋_GB2312"/>
                <w:sz w:val="20"/>
                <w:szCs w:val="20"/>
              </w:rPr>
            </w:pPr>
            <w:r>
              <w:rPr>
                <w:sz w:val="20"/>
                <w:szCs w:val="20"/>
              </w:rPr>
              <w:t>项目实施情况</w:t>
            </w:r>
          </w:p>
        </w:tc>
        <w:tc>
          <w:tcPr>
            <w:tcW w:w="738" w:type="dxa"/>
            <w:vAlign w:val="center"/>
          </w:tcPr>
          <w:p>
            <w:pPr>
              <w:jc w:val="center"/>
              <w:rPr>
                <w:rFonts w:eastAsia="仿宋_GB2312"/>
                <w:sz w:val="20"/>
                <w:szCs w:val="20"/>
              </w:rPr>
            </w:pPr>
            <w:r>
              <w:rPr>
                <w:sz w:val="20"/>
                <w:szCs w:val="20"/>
              </w:rPr>
              <w:t>20</w:t>
            </w:r>
          </w:p>
        </w:tc>
        <w:tc>
          <w:tcPr>
            <w:tcW w:w="2475" w:type="dxa"/>
            <w:vAlign w:val="center"/>
          </w:tcPr>
          <w:p>
            <w:pPr>
              <w:rPr>
                <w:rFonts w:eastAsia="仿宋_GB2312"/>
                <w:sz w:val="20"/>
                <w:szCs w:val="20"/>
              </w:rPr>
            </w:pPr>
            <w:r>
              <w:rPr>
                <w:sz w:val="20"/>
                <w:szCs w:val="20"/>
              </w:rPr>
              <w:t>对项目实施情况进行评价</w:t>
            </w:r>
          </w:p>
        </w:tc>
        <w:tc>
          <w:tcPr>
            <w:tcW w:w="2987" w:type="dxa"/>
            <w:vAlign w:val="center"/>
          </w:tcPr>
          <w:p>
            <w:pPr>
              <w:rPr>
                <w:rFonts w:eastAsia="仿宋_GB2312"/>
                <w:sz w:val="20"/>
                <w:szCs w:val="20"/>
              </w:rPr>
            </w:pPr>
            <w:r>
              <w:rPr>
                <w:sz w:val="20"/>
                <w:szCs w:val="20"/>
              </w:rPr>
              <w:t>若未履行项目的事前、事中、事后绩效评价，每项扣5分。经费支出中与项目不符的，每笔扣5分。</w:t>
            </w:r>
          </w:p>
        </w:tc>
        <w:tc>
          <w:tcPr>
            <w:tcW w:w="963" w:type="dxa"/>
            <w:vAlign w:val="center"/>
          </w:tcPr>
          <w:p>
            <w:pPr>
              <w:jc w:val="center"/>
              <w:rPr>
                <w:rFonts w:eastAsia="仿宋_GB2312"/>
                <w:sz w:val="20"/>
                <w:szCs w:val="20"/>
              </w:rPr>
            </w:pPr>
            <w:r>
              <w:rPr>
                <w:sz w:val="20"/>
                <w:szCs w:val="20"/>
              </w:rPr>
              <w:t>20</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50" w:type="dxa"/>
            <w:vAlign w:val="center"/>
          </w:tcPr>
          <w:p>
            <w:pPr>
              <w:jc w:val="center"/>
              <w:rPr>
                <w:rFonts w:eastAsia="仿宋_GB2312"/>
                <w:sz w:val="20"/>
                <w:szCs w:val="20"/>
              </w:rPr>
            </w:pPr>
            <w:r>
              <w:rPr>
                <w:rFonts w:eastAsia="仿宋_GB2312"/>
                <w:sz w:val="20"/>
                <w:szCs w:val="20"/>
              </w:rPr>
              <w:t>5</w:t>
            </w:r>
          </w:p>
        </w:tc>
        <w:tc>
          <w:tcPr>
            <w:tcW w:w="862" w:type="dxa"/>
            <w:vAlign w:val="center"/>
          </w:tcPr>
          <w:p>
            <w:pPr>
              <w:jc w:val="center"/>
              <w:rPr>
                <w:rFonts w:eastAsia="仿宋_GB2312"/>
                <w:sz w:val="20"/>
                <w:szCs w:val="20"/>
              </w:rPr>
            </w:pPr>
            <w:r>
              <w:rPr>
                <w:sz w:val="20"/>
                <w:szCs w:val="20"/>
              </w:rPr>
              <w:t>预算完成结果情况</w:t>
            </w:r>
          </w:p>
        </w:tc>
        <w:tc>
          <w:tcPr>
            <w:tcW w:w="738" w:type="dxa"/>
            <w:vAlign w:val="center"/>
          </w:tcPr>
          <w:p>
            <w:pPr>
              <w:jc w:val="center"/>
              <w:rPr>
                <w:rFonts w:eastAsia="仿宋_GB2312"/>
                <w:sz w:val="20"/>
                <w:szCs w:val="20"/>
              </w:rPr>
            </w:pPr>
            <w:r>
              <w:rPr>
                <w:sz w:val="20"/>
                <w:szCs w:val="20"/>
              </w:rPr>
              <w:t>20</w:t>
            </w:r>
          </w:p>
        </w:tc>
        <w:tc>
          <w:tcPr>
            <w:tcW w:w="2475" w:type="dxa"/>
            <w:vAlign w:val="center"/>
          </w:tcPr>
          <w:p>
            <w:pPr>
              <w:jc w:val="center"/>
              <w:rPr>
                <w:rFonts w:eastAsia="仿宋_GB2312"/>
                <w:sz w:val="20"/>
                <w:szCs w:val="20"/>
              </w:rPr>
            </w:pPr>
            <w:r>
              <w:rPr>
                <w:sz w:val="20"/>
                <w:szCs w:val="20"/>
              </w:rPr>
              <w:t>对预算执行进行评价</w:t>
            </w:r>
          </w:p>
        </w:tc>
        <w:tc>
          <w:tcPr>
            <w:tcW w:w="2987" w:type="dxa"/>
            <w:vAlign w:val="center"/>
          </w:tcPr>
          <w:p>
            <w:pPr>
              <w:rPr>
                <w:rFonts w:eastAsia="仿宋_GB2312"/>
                <w:sz w:val="20"/>
                <w:szCs w:val="20"/>
              </w:rPr>
            </w:pPr>
            <w:r>
              <w:rPr>
                <w:sz w:val="20"/>
                <w:szCs w:val="20"/>
              </w:rPr>
              <w:t>根据预算执行情况，扣分=20*（1-预算执行率），若超预算执行，则扣分=20*（预算执行率-1）</w:t>
            </w:r>
          </w:p>
        </w:tc>
        <w:tc>
          <w:tcPr>
            <w:tcW w:w="963" w:type="dxa"/>
            <w:vAlign w:val="center"/>
          </w:tcPr>
          <w:p>
            <w:pPr>
              <w:jc w:val="center"/>
              <w:rPr>
                <w:rFonts w:eastAsia="仿宋_GB2312"/>
                <w:sz w:val="20"/>
                <w:szCs w:val="20"/>
              </w:rPr>
            </w:pPr>
            <w:r>
              <w:rPr>
                <w:sz w:val="20"/>
                <w:szCs w:val="20"/>
              </w:rPr>
              <w:t>17.65</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50" w:type="dxa"/>
            <w:vAlign w:val="center"/>
          </w:tcPr>
          <w:p>
            <w:pPr>
              <w:jc w:val="center"/>
              <w:rPr>
                <w:rFonts w:eastAsia="仿宋_GB2312"/>
                <w:sz w:val="20"/>
                <w:szCs w:val="20"/>
              </w:rPr>
            </w:pPr>
            <w:r>
              <w:rPr>
                <w:sz w:val="20"/>
                <w:szCs w:val="20"/>
              </w:rPr>
              <w:t>6</w:t>
            </w:r>
          </w:p>
        </w:tc>
        <w:tc>
          <w:tcPr>
            <w:tcW w:w="862" w:type="dxa"/>
            <w:vAlign w:val="center"/>
          </w:tcPr>
          <w:p>
            <w:pPr>
              <w:jc w:val="center"/>
              <w:rPr>
                <w:sz w:val="20"/>
                <w:szCs w:val="20"/>
              </w:rPr>
            </w:pPr>
            <w:r>
              <w:rPr>
                <w:sz w:val="20"/>
                <w:szCs w:val="20"/>
              </w:rPr>
              <w:t>目标完成情况</w:t>
            </w:r>
          </w:p>
        </w:tc>
        <w:tc>
          <w:tcPr>
            <w:tcW w:w="738" w:type="dxa"/>
            <w:vAlign w:val="center"/>
          </w:tcPr>
          <w:p>
            <w:pPr>
              <w:jc w:val="center"/>
              <w:rPr>
                <w:rFonts w:eastAsia="仿宋_GB2312"/>
                <w:sz w:val="20"/>
                <w:szCs w:val="20"/>
              </w:rPr>
            </w:pPr>
            <w:r>
              <w:rPr>
                <w:sz w:val="20"/>
                <w:szCs w:val="20"/>
              </w:rPr>
              <w:t>20</w:t>
            </w:r>
          </w:p>
        </w:tc>
        <w:tc>
          <w:tcPr>
            <w:tcW w:w="2475" w:type="dxa"/>
            <w:vAlign w:val="center"/>
          </w:tcPr>
          <w:p>
            <w:pPr>
              <w:jc w:val="center"/>
              <w:rPr>
                <w:rFonts w:eastAsia="仿宋_GB2312"/>
                <w:sz w:val="20"/>
                <w:szCs w:val="20"/>
              </w:rPr>
            </w:pPr>
            <w:r>
              <w:rPr>
                <w:sz w:val="20"/>
                <w:szCs w:val="20"/>
              </w:rPr>
              <w:t>对绩效目标完成情况进行评价</w:t>
            </w:r>
          </w:p>
        </w:tc>
        <w:tc>
          <w:tcPr>
            <w:tcW w:w="2987" w:type="dxa"/>
            <w:vAlign w:val="center"/>
          </w:tcPr>
          <w:p>
            <w:pPr>
              <w:rPr>
                <w:rFonts w:eastAsia="仿宋_GB2312"/>
                <w:sz w:val="20"/>
                <w:szCs w:val="20"/>
              </w:rPr>
            </w:pPr>
            <w:r>
              <w:rPr>
                <w:sz w:val="20"/>
                <w:szCs w:val="20"/>
              </w:rPr>
              <w:t>得分=20*实际完成数量指标数/所有数量指标数</w:t>
            </w:r>
          </w:p>
        </w:tc>
        <w:tc>
          <w:tcPr>
            <w:tcW w:w="963" w:type="dxa"/>
            <w:vAlign w:val="center"/>
          </w:tcPr>
          <w:p>
            <w:pPr>
              <w:jc w:val="center"/>
              <w:rPr>
                <w:rFonts w:eastAsia="仿宋_GB2312"/>
                <w:sz w:val="20"/>
                <w:szCs w:val="20"/>
              </w:rPr>
            </w:pPr>
            <w:r>
              <w:rPr>
                <w:sz w:val="20"/>
                <w:szCs w:val="20"/>
              </w:rPr>
              <w:t>15</w:t>
            </w:r>
          </w:p>
        </w:tc>
        <w:tc>
          <w:tcPr>
            <w:tcW w:w="750" w:type="dxa"/>
            <w:vAlign w:val="center"/>
          </w:tcPr>
          <w:p>
            <w:pP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12" w:type="dxa"/>
            <w:gridSpan w:val="2"/>
            <w:vAlign w:val="center"/>
          </w:tcPr>
          <w:p>
            <w:pPr>
              <w:jc w:val="center"/>
              <w:rPr>
                <w:sz w:val="20"/>
                <w:szCs w:val="20"/>
              </w:rPr>
            </w:pPr>
            <w:r>
              <w:rPr>
                <w:sz w:val="20"/>
                <w:szCs w:val="20"/>
              </w:rPr>
              <w:t>合  计</w:t>
            </w:r>
          </w:p>
        </w:tc>
        <w:tc>
          <w:tcPr>
            <w:tcW w:w="738" w:type="dxa"/>
            <w:vAlign w:val="center"/>
          </w:tcPr>
          <w:p>
            <w:pPr>
              <w:jc w:val="center"/>
              <w:rPr>
                <w:sz w:val="20"/>
                <w:szCs w:val="20"/>
              </w:rPr>
            </w:pPr>
            <w:r>
              <w:rPr>
                <w:sz w:val="20"/>
                <w:szCs w:val="20"/>
              </w:rPr>
              <w:t>100</w:t>
            </w:r>
          </w:p>
        </w:tc>
        <w:tc>
          <w:tcPr>
            <w:tcW w:w="2475" w:type="dxa"/>
            <w:vAlign w:val="center"/>
          </w:tcPr>
          <w:p>
            <w:pPr>
              <w:jc w:val="center"/>
              <w:rPr>
                <w:rFonts w:eastAsia="仿宋_GB2312"/>
                <w:sz w:val="20"/>
                <w:szCs w:val="20"/>
              </w:rPr>
            </w:pPr>
          </w:p>
        </w:tc>
        <w:tc>
          <w:tcPr>
            <w:tcW w:w="2987" w:type="dxa"/>
            <w:vAlign w:val="center"/>
          </w:tcPr>
          <w:p>
            <w:pPr>
              <w:rPr>
                <w:rFonts w:eastAsia="仿宋_GB2312"/>
                <w:sz w:val="20"/>
                <w:szCs w:val="20"/>
              </w:rPr>
            </w:pPr>
          </w:p>
        </w:tc>
        <w:tc>
          <w:tcPr>
            <w:tcW w:w="963" w:type="dxa"/>
            <w:vAlign w:val="center"/>
          </w:tcPr>
          <w:p>
            <w:pPr>
              <w:jc w:val="center"/>
              <w:rPr>
                <w:rFonts w:eastAsia="仿宋_GB2312"/>
                <w:sz w:val="20"/>
                <w:szCs w:val="20"/>
              </w:rPr>
            </w:pPr>
            <w:r>
              <w:rPr>
                <w:sz w:val="20"/>
                <w:szCs w:val="20"/>
              </w:rPr>
              <w:t>90.65</w:t>
            </w:r>
          </w:p>
        </w:tc>
        <w:tc>
          <w:tcPr>
            <w:tcW w:w="750" w:type="dxa"/>
            <w:vAlign w:val="center"/>
          </w:tcPr>
          <w:p>
            <w:pPr>
              <w:rPr>
                <w:rFonts w:eastAsia="仿宋_GB2312"/>
                <w:sz w:val="20"/>
                <w:szCs w:val="20"/>
              </w:rPr>
            </w:pPr>
          </w:p>
        </w:tc>
      </w:tr>
    </w:tbl>
    <w:p>
      <w:pPr>
        <w:spacing w:line="540" w:lineRule="exact"/>
        <w:rPr>
          <w:rFonts w:eastAsia="方正小标宋简体"/>
          <w:sz w:val="44"/>
          <w:szCs w:val="44"/>
        </w:rPr>
      </w:pPr>
    </w:p>
    <w:p>
      <w:pPr>
        <w:spacing w:line="540" w:lineRule="exact"/>
        <w:jc w:val="center"/>
        <w:outlineLvl w:val="0"/>
        <w:rPr>
          <w:rFonts w:eastAsia="黑体"/>
          <w:sz w:val="44"/>
          <w:szCs w:val="44"/>
        </w:rPr>
      </w:pPr>
      <w:bookmarkStart w:id="86" w:name="_Toc15396618"/>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p>
    <w:p>
      <w:pPr>
        <w:spacing w:line="540" w:lineRule="exact"/>
        <w:jc w:val="center"/>
        <w:outlineLvl w:val="0"/>
        <w:rPr>
          <w:rFonts w:eastAsia="黑体"/>
          <w:sz w:val="44"/>
          <w:szCs w:val="44"/>
        </w:rPr>
      </w:pPr>
      <w:bookmarkStart w:id="87" w:name="_Toc3580"/>
    </w:p>
    <w:p>
      <w:pPr>
        <w:spacing w:line="540" w:lineRule="exact"/>
        <w:jc w:val="center"/>
        <w:outlineLvl w:val="0"/>
        <w:rPr>
          <w:rStyle w:val="33"/>
          <w:rFonts w:eastAsia="黑体"/>
          <w:b w:val="0"/>
        </w:rPr>
      </w:pPr>
      <w:r>
        <w:rPr>
          <w:rFonts w:eastAsia="黑体"/>
          <w:sz w:val="44"/>
          <w:szCs w:val="44"/>
        </w:rPr>
        <w:t>第</w:t>
      </w:r>
      <w:r>
        <w:rPr>
          <w:rStyle w:val="33"/>
          <w:rFonts w:eastAsia="黑体"/>
          <w:b w:val="0"/>
        </w:rPr>
        <w:t>五部分 附表</w:t>
      </w:r>
      <w:bookmarkEnd w:id="84"/>
      <w:bookmarkEnd w:id="86"/>
      <w:bookmarkEnd w:id="87"/>
      <w:bookmarkStart w:id="88" w:name="_Toc15396619"/>
    </w:p>
    <w:p>
      <w:pPr>
        <w:pStyle w:val="4"/>
        <w:keepNext w:val="0"/>
        <w:keepLines w:val="0"/>
        <w:spacing w:before="0" w:after="0" w:line="540" w:lineRule="exact"/>
        <w:rPr>
          <w:rFonts w:ascii="Times New Roman" w:hAnsi="Times New Roman" w:eastAsia="仿宋" w:cs="Times New Roman"/>
          <w:b w:val="0"/>
        </w:rPr>
      </w:pPr>
    </w:p>
    <w:p>
      <w:pPr>
        <w:pStyle w:val="4"/>
        <w:keepNext w:val="0"/>
        <w:keepLines w:val="0"/>
        <w:spacing w:before="0" w:after="0" w:line="540" w:lineRule="exact"/>
        <w:rPr>
          <w:rFonts w:ascii="Times New Roman" w:hAnsi="Times New Roman" w:eastAsia="仿宋" w:cs="Times New Roman"/>
        </w:rPr>
      </w:pPr>
      <w:bookmarkStart w:id="89" w:name="_Toc32353"/>
      <w:r>
        <w:rPr>
          <w:rFonts w:ascii="Times New Roman" w:hAnsi="Times New Roman" w:eastAsia="仿宋" w:cs="Times New Roman"/>
          <w:b w:val="0"/>
        </w:rPr>
        <w:t>一、收</w:t>
      </w:r>
      <w:r>
        <w:rPr>
          <w:rStyle w:val="34"/>
          <w:rFonts w:ascii="Times New Roman" w:hAnsi="Times New Roman" w:eastAsia="仿宋" w:cs="Times New Roman"/>
          <w:b w:val="0"/>
          <w:bCs w:val="0"/>
        </w:rPr>
        <w:t>入支出决算总表</w:t>
      </w:r>
      <w:bookmarkEnd w:id="88"/>
      <w:bookmarkEnd w:id="89"/>
    </w:p>
    <w:p>
      <w:pPr>
        <w:pStyle w:val="4"/>
        <w:keepNext w:val="0"/>
        <w:keepLines w:val="0"/>
        <w:spacing w:before="0" w:after="0" w:line="540" w:lineRule="exact"/>
        <w:rPr>
          <w:rFonts w:ascii="Times New Roman" w:hAnsi="Times New Roman" w:eastAsia="仿宋" w:cs="Times New Roman"/>
        </w:rPr>
      </w:pPr>
      <w:bookmarkStart w:id="90" w:name="_Toc15993"/>
      <w:bookmarkStart w:id="91" w:name="_Toc15396620"/>
      <w:r>
        <w:rPr>
          <w:rFonts w:ascii="Times New Roman" w:hAnsi="Times New Roman" w:eastAsia="仿宋" w:cs="Times New Roman"/>
          <w:b w:val="0"/>
        </w:rPr>
        <w:t>二、收</w:t>
      </w:r>
      <w:r>
        <w:rPr>
          <w:rStyle w:val="34"/>
          <w:rFonts w:ascii="Times New Roman" w:hAnsi="Times New Roman" w:eastAsia="仿宋" w:cs="Times New Roman"/>
          <w:b w:val="0"/>
          <w:bCs w:val="0"/>
        </w:rPr>
        <w:t>入决算表</w:t>
      </w:r>
      <w:bookmarkEnd w:id="90"/>
      <w:bookmarkEnd w:id="91"/>
    </w:p>
    <w:p>
      <w:pPr>
        <w:pStyle w:val="4"/>
        <w:keepNext w:val="0"/>
        <w:keepLines w:val="0"/>
        <w:spacing w:before="0" w:after="0" w:line="540" w:lineRule="exact"/>
        <w:rPr>
          <w:rFonts w:ascii="Times New Roman" w:hAnsi="Times New Roman" w:eastAsia="仿宋" w:cs="Times New Roman"/>
        </w:rPr>
      </w:pPr>
      <w:bookmarkStart w:id="92" w:name="_Toc15396621"/>
      <w:bookmarkStart w:id="93" w:name="_Toc9806"/>
      <w:r>
        <w:rPr>
          <w:rStyle w:val="34"/>
          <w:rFonts w:ascii="Times New Roman" w:hAnsi="Times New Roman" w:eastAsia="仿宋" w:cs="Times New Roman"/>
          <w:b w:val="0"/>
          <w:bCs w:val="0"/>
        </w:rPr>
        <w:t>三、</w:t>
      </w:r>
      <w:r>
        <w:rPr>
          <w:rFonts w:ascii="Times New Roman" w:hAnsi="Times New Roman" w:eastAsia="仿宋" w:cs="Times New Roman"/>
          <w:b w:val="0"/>
        </w:rPr>
        <w:t>支</w:t>
      </w:r>
      <w:r>
        <w:rPr>
          <w:rStyle w:val="34"/>
          <w:rFonts w:ascii="Times New Roman" w:hAnsi="Times New Roman" w:eastAsia="仿宋" w:cs="Times New Roman"/>
          <w:b w:val="0"/>
          <w:bCs w:val="0"/>
        </w:rPr>
        <w:t>出决算表</w:t>
      </w:r>
      <w:bookmarkEnd w:id="92"/>
      <w:bookmarkEnd w:id="93"/>
    </w:p>
    <w:p>
      <w:pPr>
        <w:pStyle w:val="4"/>
        <w:keepNext w:val="0"/>
        <w:keepLines w:val="0"/>
        <w:spacing w:before="0" w:after="0" w:line="540" w:lineRule="exact"/>
        <w:rPr>
          <w:rFonts w:ascii="Times New Roman" w:hAnsi="Times New Roman" w:eastAsia="仿宋" w:cs="Times New Roman"/>
          <w:b w:val="0"/>
        </w:rPr>
      </w:pPr>
      <w:bookmarkStart w:id="94" w:name="_Toc15396622"/>
      <w:bookmarkStart w:id="95" w:name="_Toc8870"/>
      <w:r>
        <w:rPr>
          <w:rStyle w:val="34"/>
          <w:rFonts w:ascii="Times New Roman" w:hAnsi="Times New Roman" w:eastAsia="仿宋" w:cs="Times New Roman"/>
          <w:b w:val="0"/>
          <w:bCs w:val="0"/>
        </w:rPr>
        <w:t>四、</w:t>
      </w:r>
      <w:r>
        <w:rPr>
          <w:rFonts w:ascii="Times New Roman" w:hAnsi="Times New Roman" w:eastAsia="仿宋" w:cs="Times New Roman"/>
          <w:b w:val="0"/>
        </w:rPr>
        <w:t>财</w:t>
      </w:r>
      <w:r>
        <w:rPr>
          <w:rStyle w:val="34"/>
          <w:rFonts w:ascii="Times New Roman" w:hAnsi="Times New Roman" w:eastAsia="仿宋" w:cs="Times New Roman"/>
          <w:b w:val="0"/>
          <w:bCs w:val="0"/>
        </w:rPr>
        <w:t>政拨款收入支出决算总表</w:t>
      </w:r>
      <w:bookmarkEnd w:id="94"/>
      <w:bookmarkEnd w:id="95"/>
    </w:p>
    <w:p>
      <w:pPr>
        <w:pStyle w:val="4"/>
        <w:keepNext w:val="0"/>
        <w:keepLines w:val="0"/>
        <w:spacing w:before="0" w:after="0" w:line="540" w:lineRule="exact"/>
        <w:rPr>
          <w:rStyle w:val="34"/>
          <w:rFonts w:ascii="Times New Roman" w:hAnsi="Times New Roman" w:eastAsia="仿宋" w:cs="Times New Roman"/>
          <w:b w:val="0"/>
          <w:bCs w:val="0"/>
        </w:rPr>
      </w:pPr>
      <w:bookmarkStart w:id="96" w:name="_Toc15396623"/>
      <w:bookmarkStart w:id="97" w:name="_Toc19847"/>
      <w:r>
        <w:rPr>
          <w:rStyle w:val="34"/>
          <w:rFonts w:ascii="Times New Roman" w:hAnsi="Times New Roman" w:eastAsia="仿宋" w:cs="Times New Roman"/>
          <w:b w:val="0"/>
          <w:bCs w:val="0"/>
        </w:rPr>
        <w:t>五、</w:t>
      </w:r>
      <w:r>
        <w:rPr>
          <w:rFonts w:ascii="Times New Roman" w:hAnsi="Times New Roman" w:eastAsia="仿宋" w:cs="Times New Roman"/>
          <w:b w:val="0"/>
        </w:rPr>
        <w:t>财</w:t>
      </w:r>
      <w:r>
        <w:rPr>
          <w:rStyle w:val="34"/>
          <w:rFonts w:ascii="Times New Roman" w:hAnsi="Times New Roman" w:eastAsia="仿宋" w:cs="Times New Roman"/>
          <w:b w:val="0"/>
          <w:bCs w:val="0"/>
        </w:rPr>
        <w:t>政拨款支出决算明细表</w:t>
      </w:r>
      <w:bookmarkEnd w:id="96"/>
      <w:bookmarkEnd w:id="97"/>
      <w:bookmarkStart w:id="98" w:name="_Toc15396624"/>
    </w:p>
    <w:p>
      <w:pPr>
        <w:pStyle w:val="4"/>
        <w:keepNext w:val="0"/>
        <w:keepLines w:val="0"/>
        <w:spacing w:before="0" w:after="0" w:line="540" w:lineRule="exact"/>
        <w:rPr>
          <w:rFonts w:ascii="Times New Roman" w:hAnsi="Times New Roman" w:eastAsia="仿宋" w:cs="Times New Roman"/>
        </w:rPr>
      </w:pPr>
      <w:bookmarkStart w:id="99" w:name="_Toc31453"/>
      <w:r>
        <w:rPr>
          <w:rStyle w:val="34"/>
          <w:rFonts w:ascii="Times New Roman" w:hAnsi="Times New Roman" w:eastAsia="仿宋" w:cs="Times New Roman"/>
          <w:b w:val="0"/>
          <w:bCs w:val="0"/>
        </w:rPr>
        <w:t>六、</w:t>
      </w:r>
      <w:r>
        <w:rPr>
          <w:rFonts w:ascii="Times New Roman" w:hAnsi="Times New Roman" w:eastAsia="仿宋" w:cs="Times New Roman"/>
          <w:b w:val="0"/>
        </w:rPr>
        <w:t>一</w:t>
      </w:r>
      <w:r>
        <w:rPr>
          <w:rStyle w:val="34"/>
          <w:rFonts w:ascii="Times New Roman" w:hAnsi="Times New Roman" w:eastAsia="仿宋" w:cs="Times New Roman"/>
          <w:b w:val="0"/>
          <w:bCs w:val="0"/>
        </w:rPr>
        <w:t>般公共预算财政拨款支出决算表</w:t>
      </w:r>
      <w:bookmarkEnd w:id="98"/>
      <w:bookmarkEnd w:id="99"/>
    </w:p>
    <w:p>
      <w:pPr>
        <w:pStyle w:val="4"/>
        <w:keepNext w:val="0"/>
        <w:keepLines w:val="0"/>
        <w:spacing w:before="0" w:after="0" w:line="540" w:lineRule="exact"/>
        <w:rPr>
          <w:rFonts w:ascii="Times New Roman" w:hAnsi="Times New Roman" w:eastAsia="仿宋" w:cs="Times New Roman"/>
        </w:rPr>
      </w:pPr>
      <w:bookmarkStart w:id="100" w:name="_Toc15396625"/>
      <w:bookmarkStart w:id="101" w:name="_Toc32735"/>
      <w:r>
        <w:rPr>
          <w:rStyle w:val="34"/>
          <w:rFonts w:ascii="Times New Roman" w:hAnsi="Times New Roman" w:eastAsia="仿宋" w:cs="Times New Roman"/>
          <w:b w:val="0"/>
          <w:bCs w:val="0"/>
        </w:rPr>
        <w:t>七、</w:t>
      </w:r>
      <w:r>
        <w:rPr>
          <w:rFonts w:ascii="Times New Roman" w:hAnsi="Times New Roman" w:eastAsia="仿宋" w:cs="Times New Roman"/>
          <w:b w:val="0"/>
        </w:rPr>
        <w:t>一</w:t>
      </w:r>
      <w:r>
        <w:rPr>
          <w:rStyle w:val="34"/>
          <w:rFonts w:ascii="Times New Roman" w:hAnsi="Times New Roman" w:eastAsia="仿宋" w:cs="Times New Roman"/>
          <w:b w:val="0"/>
          <w:bCs w:val="0"/>
        </w:rPr>
        <w:t>般公共预算财政拨款支出决算明细表</w:t>
      </w:r>
      <w:bookmarkEnd w:id="100"/>
      <w:bookmarkEnd w:id="101"/>
    </w:p>
    <w:p>
      <w:pPr>
        <w:pStyle w:val="4"/>
        <w:keepNext w:val="0"/>
        <w:keepLines w:val="0"/>
        <w:spacing w:before="0" w:after="0" w:line="540" w:lineRule="exact"/>
        <w:rPr>
          <w:rFonts w:ascii="Times New Roman" w:hAnsi="Times New Roman" w:eastAsia="仿宋" w:cs="Times New Roman"/>
        </w:rPr>
      </w:pPr>
      <w:bookmarkStart w:id="102" w:name="_Toc17659"/>
      <w:bookmarkStart w:id="103" w:name="_Toc15396626"/>
      <w:r>
        <w:rPr>
          <w:rStyle w:val="34"/>
          <w:rFonts w:ascii="Times New Roman" w:hAnsi="Times New Roman" w:eastAsia="仿宋" w:cs="Times New Roman"/>
          <w:b w:val="0"/>
          <w:bCs w:val="0"/>
        </w:rPr>
        <w:t>八、</w:t>
      </w:r>
      <w:r>
        <w:rPr>
          <w:rFonts w:ascii="Times New Roman" w:hAnsi="Times New Roman" w:eastAsia="仿宋" w:cs="Times New Roman"/>
          <w:b w:val="0"/>
        </w:rPr>
        <w:t>一</w:t>
      </w:r>
      <w:r>
        <w:rPr>
          <w:rStyle w:val="34"/>
          <w:rFonts w:ascii="Times New Roman" w:hAnsi="Times New Roman" w:eastAsia="仿宋" w:cs="Times New Roman"/>
          <w:b w:val="0"/>
          <w:bCs w:val="0"/>
        </w:rPr>
        <w:t>般公共预算财政拨款基本支出决算表</w:t>
      </w:r>
      <w:bookmarkEnd w:id="102"/>
      <w:bookmarkEnd w:id="103"/>
    </w:p>
    <w:p>
      <w:pPr>
        <w:pStyle w:val="4"/>
        <w:keepNext w:val="0"/>
        <w:keepLines w:val="0"/>
        <w:spacing w:before="0" w:after="0" w:line="540" w:lineRule="exact"/>
        <w:rPr>
          <w:rFonts w:ascii="Times New Roman" w:hAnsi="Times New Roman" w:eastAsia="仿宋" w:cs="Times New Roman"/>
        </w:rPr>
      </w:pPr>
      <w:bookmarkStart w:id="104" w:name="_Toc18355"/>
      <w:bookmarkStart w:id="105" w:name="_Toc15396627"/>
      <w:r>
        <w:rPr>
          <w:rStyle w:val="34"/>
          <w:rFonts w:ascii="Times New Roman" w:hAnsi="Times New Roman" w:eastAsia="仿宋" w:cs="Times New Roman"/>
          <w:b w:val="0"/>
          <w:bCs w:val="0"/>
        </w:rPr>
        <w:t>九、</w:t>
      </w:r>
      <w:r>
        <w:rPr>
          <w:rFonts w:ascii="Times New Roman" w:hAnsi="Times New Roman" w:eastAsia="仿宋" w:cs="Times New Roman"/>
          <w:b w:val="0"/>
        </w:rPr>
        <w:t>一</w:t>
      </w:r>
      <w:r>
        <w:rPr>
          <w:rStyle w:val="34"/>
          <w:rFonts w:ascii="Times New Roman" w:hAnsi="Times New Roman" w:eastAsia="仿宋" w:cs="Times New Roman"/>
          <w:b w:val="0"/>
          <w:bCs w:val="0"/>
        </w:rPr>
        <w:t>般公共预算财政拨款项目支出决算表</w:t>
      </w:r>
      <w:bookmarkEnd w:id="104"/>
      <w:bookmarkEnd w:id="105"/>
    </w:p>
    <w:p>
      <w:pPr>
        <w:pStyle w:val="4"/>
        <w:keepNext w:val="0"/>
        <w:keepLines w:val="0"/>
        <w:spacing w:before="0" w:after="0" w:line="540" w:lineRule="exact"/>
        <w:rPr>
          <w:rFonts w:ascii="Times New Roman" w:hAnsi="Times New Roman" w:eastAsia="仿宋" w:cs="Times New Roman"/>
        </w:rPr>
      </w:pPr>
      <w:bookmarkStart w:id="106" w:name="_Toc7698"/>
      <w:bookmarkStart w:id="107" w:name="_Toc15396628"/>
      <w:r>
        <w:rPr>
          <w:rStyle w:val="34"/>
          <w:rFonts w:ascii="Times New Roman" w:hAnsi="Times New Roman" w:eastAsia="仿宋" w:cs="Times New Roman"/>
          <w:b w:val="0"/>
          <w:bCs w:val="0"/>
        </w:rPr>
        <w:t>十、</w:t>
      </w:r>
      <w:r>
        <w:rPr>
          <w:rFonts w:ascii="Times New Roman" w:hAnsi="Times New Roman" w:eastAsia="仿宋" w:cs="Times New Roman"/>
          <w:b w:val="0"/>
        </w:rPr>
        <w:t>一</w:t>
      </w:r>
      <w:r>
        <w:rPr>
          <w:rStyle w:val="34"/>
          <w:rFonts w:ascii="Times New Roman" w:hAnsi="Times New Roman" w:eastAsia="仿宋" w:cs="Times New Roman"/>
          <w:b w:val="0"/>
          <w:bCs w:val="0"/>
        </w:rPr>
        <w:t>般公共预算财政拨款“三公”经费支出决算表</w:t>
      </w:r>
      <w:bookmarkEnd w:id="106"/>
      <w:bookmarkEnd w:id="107"/>
    </w:p>
    <w:p>
      <w:pPr>
        <w:pStyle w:val="4"/>
        <w:keepNext w:val="0"/>
        <w:keepLines w:val="0"/>
        <w:spacing w:before="0" w:after="0" w:line="540" w:lineRule="exact"/>
        <w:rPr>
          <w:rFonts w:ascii="Times New Roman" w:hAnsi="Times New Roman" w:eastAsia="仿宋" w:cs="Times New Roman"/>
        </w:rPr>
      </w:pPr>
      <w:bookmarkStart w:id="108" w:name="_Toc15396629"/>
      <w:bookmarkStart w:id="109" w:name="_Toc16717"/>
      <w:r>
        <w:rPr>
          <w:rStyle w:val="34"/>
          <w:rFonts w:ascii="Times New Roman" w:hAnsi="Times New Roman" w:eastAsia="仿宋" w:cs="Times New Roman"/>
          <w:b w:val="0"/>
          <w:bCs w:val="0"/>
        </w:rPr>
        <w:t>十一、</w:t>
      </w:r>
      <w:r>
        <w:rPr>
          <w:rFonts w:ascii="Times New Roman" w:hAnsi="Times New Roman" w:eastAsia="仿宋" w:cs="Times New Roman"/>
          <w:b w:val="0"/>
        </w:rPr>
        <w:t>政</w:t>
      </w:r>
      <w:r>
        <w:rPr>
          <w:rStyle w:val="34"/>
          <w:rFonts w:ascii="Times New Roman" w:hAnsi="Times New Roman" w:eastAsia="仿宋" w:cs="Times New Roman"/>
          <w:b w:val="0"/>
          <w:bCs w:val="0"/>
        </w:rPr>
        <w:t>府性基金预算财政拨款收入支出决算表</w:t>
      </w:r>
      <w:bookmarkEnd w:id="108"/>
      <w:bookmarkEnd w:id="109"/>
    </w:p>
    <w:p>
      <w:pPr>
        <w:pStyle w:val="4"/>
        <w:keepNext w:val="0"/>
        <w:keepLines w:val="0"/>
        <w:spacing w:before="0" w:after="0" w:line="540" w:lineRule="exact"/>
        <w:rPr>
          <w:rFonts w:ascii="Times New Roman" w:hAnsi="Times New Roman" w:eastAsia="仿宋" w:cs="Times New Roman"/>
        </w:rPr>
      </w:pPr>
      <w:bookmarkStart w:id="110" w:name="_Toc15396630"/>
      <w:bookmarkStart w:id="111" w:name="_Toc24258"/>
      <w:r>
        <w:rPr>
          <w:rStyle w:val="34"/>
          <w:rFonts w:ascii="Times New Roman" w:hAnsi="Times New Roman" w:eastAsia="仿宋" w:cs="Times New Roman"/>
          <w:b w:val="0"/>
          <w:bCs w:val="0"/>
        </w:rPr>
        <w:t>十二、</w:t>
      </w:r>
      <w:r>
        <w:rPr>
          <w:rFonts w:ascii="Times New Roman" w:hAnsi="Times New Roman" w:eastAsia="仿宋" w:cs="Times New Roman"/>
          <w:b w:val="0"/>
        </w:rPr>
        <w:t>政</w:t>
      </w:r>
      <w:r>
        <w:rPr>
          <w:rStyle w:val="34"/>
          <w:rFonts w:ascii="Times New Roman" w:hAnsi="Times New Roman" w:eastAsia="仿宋" w:cs="Times New Roman"/>
          <w:b w:val="0"/>
          <w:bCs w:val="0"/>
        </w:rPr>
        <w:t>府性基金预算财政拨款“三公”经费支出决算表</w:t>
      </w:r>
      <w:bookmarkEnd w:id="110"/>
      <w:bookmarkEnd w:id="111"/>
    </w:p>
    <w:p>
      <w:pPr>
        <w:pStyle w:val="4"/>
        <w:keepNext w:val="0"/>
        <w:keepLines w:val="0"/>
        <w:spacing w:before="0" w:after="0" w:line="540" w:lineRule="exact"/>
        <w:rPr>
          <w:rStyle w:val="34"/>
          <w:rFonts w:ascii="Times New Roman" w:hAnsi="Times New Roman" w:eastAsia="仿宋" w:cs="Times New Roman"/>
          <w:b w:val="0"/>
          <w:bCs w:val="0"/>
        </w:rPr>
      </w:pPr>
      <w:bookmarkStart w:id="112" w:name="_Toc16995"/>
      <w:bookmarkStart w:id="113" w:name="_Toc15396631"/>
      <w:r>
        <w:rPr>
          <w:rStyle w:val="34"/>
          <w:rFonts w:ascii="Times New Roman" w:hAnsi="Times New Roman" w:eastAsia="仿宋" w:cs="Times New Roman"/>
          <w:b w:val="0"/>
          <w:bCs w:val="0"/>
        </w:rPr>
        <w:t>十三、</w:t>
      </w:r>
      <w:r>
        <w:rPr>
          <w:rFonts w:ascii="Times New Roman" w:hAnsi="Times New Roman" w:eastAsia="仿宋" w:cs="Times New Roman"/>
          <w:b w:val="0"/>
        </w:rPr>
        <w:t>国</w:t>
      </w:r>
      <w:r>
        <w:rPr>
          <w:rStyle w:val="34"/>
          <w:rFonts w:ascii="Times New Roman" w:hAnsi="Times New Roman" w:eastAsia="仿宋" w:cs="Times New Roman"/>
          <w:b w:val="0"/>
          <w:bCs w:val="0"/>
        </w:rPr>
        <w:t>有资本经营预算财政拨款收入支出决算表</w:t>
      </w:r>
      <w:bookmarkEnd w:id="112"/>
      <w:bookmarkEnd w:id="113"/>
    </w:p>
    <w:p>
      <w:pPr>
        <w:spacing w:line="540" w:lineRule="exact"/>
        <w:rPr>
          <w:rFonts w:eastAsia="仿宋"/>
        </w:rPr>
      </w:pPr>
      <w:bookmarkStart w:id="114" w:name="_Toc12083"/>
      <w:r>
        <w:rPr>
          <w:rStyle w:val="34"/>
          <w:rFonts w:ascii="Times New Roman" w:hAnsi="Times New Roman" w:eastAsia="仿宋" w:cs="Times New Roman"/>
          <w:b w:val="0"/>
          <w:bCs w:val="0"/>
        </w:rPr>
        <w:t>十四、国有资本经营预算财政拨款支出决算表</w:t>
      </w:r>
      <w:bookmarkEnd w:id="114"/>
    </w:p>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小标宋-GB2312">
    <w:altName w:val="宋体"/>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v:textbox>
        </v:shape>
      </w:pic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6CFD287"/>
    <w:multiLevelType w:val="singleLevel"/>
    <w:tmpl w:val="D6CFD287"/>
    <w:lvl w:ilvl="0" w:tentative="0">
      <w:start w:val="5"/>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BDCCA1B"/>
    <w:multiLevelType w:val="singleLevel"/>
    <w:tmpl w:val="FBDCCA1B"/>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CB197B"/>
    <w:multiLevelType w:val="singleLevel"/>
    <w:tmpl w:val="38CB197B"/>
    <w:lvl w:ilvl="0" w:tentative="0">
      <w:start w:val="2"/>
      <w:numFmt w:val="chineseCounting"/>
      <w:suff w:val="nothing"/>
      <w:lvlText w:val="%1、"/>
      <w:lvlJc w:val="left"/>
      <w:rPr>
        <w:rFonts w:hint="eastAsia"/>
      </w:rPr>
    </w:lvl>
  </w:abstractNum>
  <w:abstractNum w:abstractNumId="6">
    <w:nsid w:val="612712F2"/>
    <w:multiLevelType w:val="singleLevel"/>
    <w:tmpl w:val="612712F2"/>
    <w:lvl w:ilvl="0" w:tentative="0">
      <w:start w:val="4"/>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wNWYzN2VlZGU4ZWZkZWNmMjczM2QzYjA5MmU4OW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6E2"/>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77872"/>
    <w:rsid w:val="0018106D"/>
    <w:rsid w:val="001877A7"/>
    <w:rsid w:val="00191536"/>
    <w:rsid w:val="00196687"/>
    <w:rsid w:val="001C0962"/>
    <w:rsid w:val="001D7531"/>
    <w:rsid w:val="001E2FE5"/>
    <w:rsid w:val="001E737D"/>
    <w:rsid w:val="001F0592"/>
    <w:rsid w:val="001F0A2E"/>
    <w:rsid w:val="001F7506"/>
    <w:rsid w:val="002006CD"/>
    <w:rsid w:val="00202B36"/>
    <w:rsid w:val="00204B7A"/>
    <w:rsid w:val="00204CDE"/>
    <w:rsid w:val="0021101A"/>
    <w:rsid w:val="002126A1"/>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A46"/>
    <w:rsid w:val="00380C92"/>
    <w:rsid w:val="003A0651"/>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BA7"/>
    <w:rsid w:val="00434489"/>
    <w:rsid w:val="00437085"/>
    <w:rsid w:val="00443880"/>
    <w:rsid w:val="004464F4"/>
    <w:rsid w:val="00471401"/>
    <w:rsid w:val="00473F31"/>
    <w:rsid w:val="0048263A"/>
    <w:rsid w:val="00487E5D"/>
    <w:rsid w:val="004A711F"/>
    <w:rsid w:val="004B1040"/>
    <w:rsid w:val="004B199D"/>
    <w:rsid w:val="004B4690"/>
    <w:rsid w:val="004E0A2D"/>
    <w:rsid w:val="004E206B"/>
    <w:rsid w:val="004E6DF7"/>
    <w:rsid w:val="004F0FBD"/>
    <w:rsid w:val="004F757B"/>
    <w:rsid w:val="00505A47"/>
    <w:rsid w:val="00512FDA"/>
    <w:rsid w:val="00520DA0"/>
    <w:rsid w:val="00541E25"/>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7B9B"/>
    <w:rsid w:val="006A3141"/>
    <w:rsid w:val="006A5E34"/>
    <w:rsid w:val="006A6B7A"/>
    <w:rsid w:val="006B2422"/>
    <w:rsid w:val="006B2B9A"/>
    <w:rsid w:val="006C1937"/>
    <w:rsid w:val="006F020C"/>
    <w:rsid w:val="007127B7"/>
    <w:rsid w:val="0071798E"/>
    <w:rsid w:val="007416B6"/>
    <w:rsid w:val="00746F48"/>
    <w:rsid w:val="0075404D"/>
    <w:rsid w:val="00757388"/>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3207"/>
    <w:rsid w:val="008253BB"/>
    <w:rsid w:val="0083706E"/>
    <w:rsid w:val="008408F6"/>
    <w:rsid w:val="008423A5"/>
    <w:rsid w:val="00850625"/>
    <w:rsid w:val="00853032"/>
    <w:rsid w:val="00853718"/>
    <w:rsid w:val="00855221"/>
    <w:rsid w:val="00860645"/>
    <w:rsid w:val="00871F71"/>
    <w:rsid w:val="00872FD8"/>
    <w:rsid w:val="00875697"/>
    <w:rsid w:val="00885AF4"/>
    <w:rsid w:val="008939CD"/>
    <w:rsid w:val="008A757E"/>
    <w:rsid w:val="008B768C"/>
    <w:rsid w:val="008C4DB1"/>
    <w:rsid w:val="008C4EAF"/>
    <w:rsid w:val="008C5176"/>
    <w:rsid w:val="008C7FD0"/>
    <w:rsid w:val="008E12FC"/>
    <w:rsid w:val="008E1DE7"/>
    <w:rsid w:val="008E707C"/>
    <w:rsid w:val="00900B08"/>
    <w:rsid w:val="00902155"/>
    <w:rsid w:val="00902FA3"/>
    <w:rsid w:val="00905DFB"/>
    <w:rsid w:val="009128E5"/>
    <w:rsid w:val="00923564"/>
    <w:rsid w:val="0092392E"/>
    <w:rsid w:val="009315F9"/>
    <w:rsid w:val="00933499"/>
    <w:rsid w:val="00935C98"/>
    <w:rsid w:val="00946945"/>
    <w:rsid w:val="00951248"/>
    <w:rsid w:val="0095152F"/>
    <w:rsid w:val="00954C49"/>
    <w:rsid w:val="00955E37"/>
    <w:rsid w:val="0097099F"/>
    <w:rsid w:val="00971997"/>
    <w:rsid w:val="009719CF"/>
    <w:rsid w:val="00971FFC"/>
    <w:rsid w:val="0098660A"/>
    <w:rsid w:val="009931C3"/>
    <w:rsid w:val="009B2C43"/>
    <w:rsid w:val="009B4EAE"/>
    <w:rsid w:val="009B7573"/>
    <w:rsid w:val="009C22F4"/>
    <w:rsid w:val="009C2A4B"/>
    <w:rsid w:val="009C2E98"/>
    <w:rsid w:val="009D3447"/>
    <w:rsid w:val="009D4711"/>
    <w:rsid w:val="009E67F4"/>
    <w:rsid w:val="009F1185"/>
    <w:rsid w:val="009F18CD"/>
    <w:rsid w:val="009F2A13"/>
    <w:rsid w:val="009F34B1"/>
    <w:rsid w:val="009F7527"/>
    <w:rsid w:val="00A04EB0"/>
    <w:rsid w:val="00A13CC1"/>
    <w:rsid w:val="00A16847"/>
    <w:rsid w:val="00A206E1"/>
    <w:rsid w:val="00A237D8"/>
    <w:rsid w:val="00A24709"/>
    <w:rsid w:val="00A268C4"/>
    <w:rsid w:val="00A307CD"/>
    <w:rsid w:val="00A331C8"/>
    <w:rsid w:val="00A379A9"/>
    <w:rsid w:val="00A40A00"/>
    <w:rsid w:val="00A4142F"/>
    <w:rsid w:val="00A422EB"/>
    <w:rsid w:val="00A45BB7"/>
    <w:rsid w:val="00A56DF2"/>
    <w:rsid w:val="00A56E6E"/>
    <w:rsid w:val="00A67AB5"/>
    <w:rsid w:val="00A733B2"/>
    <w:rsid w:val="00A741C2"/>
    <w:rsid w:val="00A83431"/>
    <w:rsid w:val="00A91760"/>
    <w:rsid w:val="00A93B00"/>
    <w:rsid w:val="00A93C21"/>
    <w:rsid w:val="00A96B8E"/>
    <w:rsid w:val="00AB4331"/>
    <w:rsid w:val="00AB64C9"/>
    <w:rsid w:val="00AC3C6A"/>
    <w:rsid w:val="00AD5620"/>
    <w:rsid w:val="00AD656B"/>
    <w:rsid w:val="00AD7C1B"/>
    <w:rsid w:val="00AE16BA"/>
    <w:rsid w:val="00AE1C9F"/>
    <w:rsid w:val="00AE1EBE"/>
    <w:rsid w:val="00B00E67"/>
    <w:rsid w:val="00B03C9D"/>
    <w:rsid w:val="00B060AE"/>
    <w:rsid w:val="00B10517"/>
    <w:rsid w:val="00B14E76"/>
    <w:rsid w:val="00B161B8"/>
    <w:rsid w:val="00B2048C"/>
    <w:rsid w:val="00B310B9"/>
    <w:rsid w:val="00B35F3F"/>
    <w:rsid w:val="00B36CBB"/>
    <w:rsid w:val="00B425E0"/>
    <w:rsid w:val="00B42AD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220"/>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14AB"/>
    <w:rsid w:val="00D00095"/>
    <w:rsid w:val="00D114F0"/>
    <w:rsid w:val="00D20620"/>
    <w:rsid w:val="00D254F7"/>
    <w:rsid w:val="00D26091"/>
    <w:rsid w:val="00D2685C"/>
    <w:rsid w:val="00D34E7C"/>
    <w:rsid w:val="00D35489"/>
    <w:rsid w:val="00D36AFE"/>
    <w:rsid w:val="00D440E6"/>
    <w:rsid w:val="00D51276"/>
    <w:rsid w:val="00D7035F"/>
    <w:rsid w:val="00D80D34"/>
    <w:rsid w:val="00D825A5"/>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3AAD"/>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6B80"/>
    <w:rsid w:val="00FD3CC1"/>
    <w:rsid w:val="00FF1E02"/>
    <w:rsid w:val="00FF30B4"/>
    <w:rsid w:val="0A2032A3"/>
    <w:rsid w:val="0E350EF0"/>
    <w:rsid w:val="0F8C532C"/>
    <w:rsid w:val="10C055FF"/>
    <w:rsid w:val="10EC7AC1"/>
    <w:rsid w:val="118107EC"/>
    <w:rsid w:val="132271B3"/>
    <w:rsid w:val="144164A8"/>
    <w:rsid w:val="16930D49"/>
    <w:rsid w:val="16BB723D"/>
    <w:rsid w:val="18015F3F"/>
    <w:rsid w:val="1BE8440E"/>
    <w:rsid w:val="1D155CEE"/>
    <w:rsid w:val="20F57F95"/>
    <w:rsid w:val="240371BF"/>
    <w:rsid w:val="267136F6"/>
    <w:rsid w:val="29FD04D3"/>
    <w:rsid w:val="2ABE7A3E"/>
    <w:rsid w:val="2E2D3488"/>
    <w:rsid w:val="31952167"/>
    <w:rsid w:val="319F7F4E"/>
    <w:rsid w:val="33464E72"/>
    <w:rsid w:val="33C82491"/>
    <w:rsid w:val="34E46F6F"/>
    <w:rsid w:val="3ACA5504"/>
    <w:rsid w:val="3C0C0783"/>
    <w:rsid w:val="496F39ED"/>
    <w:rsid w:val="4A250820"/>
    <w:rsid w:val="4BE068DB"/>
    <w:rsid w:val="4BF6002B"/>
    <w:rsid w:val="4C0126FD"/>
    <w:rsid w:val="4ECE2238"/>
    <w:rsid w:val="5F192A3E"/>
    <w:rsid w:val="60780D59"/>
    <w:rsid w:val="636B57B8"/>
    <w:rsid w:val="64CA39A1"/>
    <w:rsid w:val="6BBB6A6F"/>
    <w:rsid w:val="6C4A05C8"/>
    <w:rsid w:val="6CFB3C55"/>
    <w:rsid w:val="717E14B2"/>
    <w:rsid w:val="72734D90"/>
    <w:rsid w:val="76E056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ind w:left="200" w:leftChars="200" w:hanging="200" w:hangingChars="200"/>
      <w:textAlignment w:val="baseline"/>
    </w:pPr>
  </w:style>
  <w:style w:type="paragraph" w:styleId="6">
    <w:name w:val="toc 7"/>
    <w:basedOn w:val="1"/>
    <w:next w:val="1"/>
    <w:unhideWhenUsed/>
    <w:qFormat/>
    <w:uiPriority w:val="39"/>
    <w:pPr>
      <w:ind w:left="2520" w:leftChars="1200"/>
    </w:pPr>
  </w:style>
  <w:style w:type="paragraph" w:styleId="7">
    <w:name w:val="Body Text"/>
    <w:basedOn w:val="1"/>
    <w:link w:val="30"/>
    <w:qFormat/>
    <w:uiPriority w:val="99"/>
    <w:pPr>
      <w:spacing w:beforeLines="30"/>
    </w:pPr>
    <w:rPr>
      <w:rFonts w:ascii="仿宋_GB2312" w:eastAsia="仿宋_GB2312"/>
      <w:kern w:val="0"/>
      <w:sz w:val="30"/>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6"/>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HTML Preformatted"/>
    <w:basedOn w:val="1"/>
    <w:link w:val="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rPr>
  </w:style>
  <w:style w:type="character" w:customStyle="1" w:styleId="25">
    <w:name w:val="Header Char"/>
    <w:basedOn w:val="22"/>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22"/>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22"/>
    <w:semiHidden/>
    <w:qFormat/>
    <w:uiPriority w:val="99"/>
    <w:rPr>
      <w:rFonts w:ascii="Times New Roman" w:hAnsi="Times New Roman"/>
      <w:szCs w:val="24"/>
    </w:rPr>
  </w:style>
  <w:style w:type="character" w:customStyle="1" w:styleId="30">
    <w:name w:val="正文文本 Char"/>
    <w:link w:val="7"/>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列出段落1"/>
    <w:basedOn w:val="1"/>
    <w:qFormat/>
    <w:uiPriority w:val="34"/>
    <w:pPr>
      <w:ind w:firstLine="420" w:firstLineChars="200"/>
    </w:pPr>
  </w:style>
  <w:style w:type="character" w:customStyle="1" w:styleId="33">
    <w:name w:val="标题 1 Char"/>
    <w:basedOn w:val="22"/>
    <w:link w:val="3"/>
    <w:qFormat/>
    <w:uiPriority w:val="9"/>
    <w:rPr>
      <w:rFonts w:ascii="Times New Roman" w:hAnsi="Times New Roman"/>
      <w:b/>
      <w:bCs/>
      <w:kern w:val="44"/>
      <w:sz w:val="44"/>
      <w:szCs w:val="44"/>
    </w:rPr>
  </w:style>
  <w:style w:type="character" w:customStyle="1" w:styleId="34">
    <w:name w:val="标题 2 Char"/>
    <w:basedOn w:val="22"/>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批注框文本 Char"/>
    <w:basedOn w:val="22"/>
    <w:link w:val="11"/>
    <w:semiHidden/>
    <w:qFormat/>
    <w:uiPriority w:val="99"/>
    <w:rPr>
      <w:rFonts w:ascii="Times New Roman" w:hAnsi="Times New Roman"/>
      <w:kern w:val="2"/>
      <w:sz w:val="18"/>
      <w:szCs w:val="18"/>
    </w:rPr>
  </w:style>
  <w:style w:type="character" w:customStyle="1" w:styleId="37">
    <w:name w:val="标题 3 Char"/>
    <w:basedOn w:val="22"/>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HTML 预设格式 Char"/>
    <w:basedOn w:val="22"/>
    <w:link w:val="19"/>
    <w:qFormat/>
    <w:uiPriority w:val="0"/>
    <w:rPr>
      <w:rFonts w:ascii="宋体" w:hAnsi="宋体" w:eastAsia="宋体" w:cs="Times New Roman"/>
      <w:sz w:val="24"/>
      <w:szCs w:val="24"/>
    </w:rPr>
  </w:style>
  <w:style w:type="paragraph" w:customStyle="1" w:styleId="40">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43">
    <w:name w:val="font11"/>
    <w:basedOn w:val="22"/>
    <w:qFormat/>
    <w:uiPriority w:val="0"/>
    <w:rPr>
      <w:rFonts w:hint="eastAsia" w:ascii="宋体" w:hAnsi="宋体" w:eastAsia="宋体" w:cs="宋体"/>
      <w:color w:val="000000"/>
      <w:sz w:val="28"/>
      <w:szCs w:val="28"/>
      <w:u w:val="none"/>
    </w:rPr>
  </w:style>
  <w:style w:type="character" w:customStyle="1" w:styleId="44">
    <w:name w:val="font01"/>
    <w:basedOn w:val="22"/>
    <w:qFormat/>
    <w:uiPriority w:val="0"/>
    <w:rPr>
      <w:rFonts w:hint="eastAsia" w:ascii="宋体" w:hAnsi="宋体" w:eastAsia="宋体" w:cs="宋体"/>
      <w:color w:val="000000"/>
      <w:sz w:val="28"/>
      <w:szCs w:val="28"/>
      <w:u w:val="none"/>
    </w:rPr>
  </w:style>
  <w:style w:type="paragraph" w:customStyle="1" w:styleId="45">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收、支决算总计变动情况图</a:t>
            </a:r>
            <a:endParaRPr lang="zh-CN" altLang="en-US"/>
          </a:p>
        </c:rich>
      </c:tx>
      <c:layout/>
      <c:overlay val="0"/>
    </c:title>
    <c:autoTitleDeleted val="0"/>
    <c:plotArea>
      <c:layout/>
      <c:barChart>
        <c:barDir val="col"/>
        <c:grouping val="clustered"/>
        <c:varyColors val="0"/>
        <c:ser>
          <c:idx val="0"/>
          <c:order val="0"/>
          <c:invertIfNegative val="0"/>
          <c:dLbls>
            <c:delete val="1"/>
          </c:dLbls>
          <c:cat>
            <c:strRef>
              <c:f>Sheet1!$A$2:$A$3</c:f>
              <c:strCache>
                <c:ptCount val="2"/>
                <c:pt idx="0">
                  <c:v>2020年</c:v>
                </c:pt>
                <c:pt idx="1">
                  <c:v>2019年</c:v>
                </c:pt>
              </c:strCache>
            </c:strRef>
          </c:cat>
          <c:val>
            <c:numRef>
              <c:f>Sheet1!$B$2:$B$3</c:f>
              <c:numCache>
                <c:formatCode>#,##0.00</c:formatCode>
                <c:ptCount val="2"/>
                <c:pt idx="0">
                  <c:v>13744.47</c:v>
                </c:pt>
                <c:pt idx="1">
                  <c:v>12296.13</c:v>
                </c:pt>
              </c:numCache>
            </c:numRef>
          </c:val>
        </c:ser>
        <c:dLbls>
          <c:showLegendKey val="0"/>
          <c:showVal val="0"/>
          <c:showCatName val="0"/>
          <c:showSerName val="0"/>
          <c:showPercent val="0"/>
          <c:showBubbleSize val="0"/>
        </c:dLbls>
        <c:gapWidth val="150"/>
        <c:axId val="268409088"/>
        <c:axId val="284062848"/>
      </c:barChart>
      <c:catAx>
        <c:axId val="2684090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062848"/>
        <c:crosses val="autoZero"/>
        <c:auto val="1"/>
        <c:lblAlgn val="ctr"/>
        <c:lblOffset val="100"/>
        <c:noMultiLvlLbl val="0"/>
      </c:catAx>
      <c:valAx>
        <c:axId val="284062848"/>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40908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收入决算结构图</a:t>
            </a:r>
            <a:endParaRPr lang="en-US" altLang="en-US"/>
          </a:p>
        </c:rich>
      </c:tx>
      <c:layout/>
      <c:overlay val="0"/>
    </c:title>
    <c:autoTitleDeleted val="0"/>
    <c:plotArea>
      <c:layout/>
      <c:pieChart>
        <c:varyColors val="1"/>
        <c:ser>
          <c:idx val="0"/>
          <c:order val="0"/>
          <c:tx>
            <c:strRef>
              <c:f>Sheet1!$B$62</c:f>
              <c:strCache>
                <c:ptCount val="1"/>
                <c:pt idx="0">
                  <c:v>13,744.47</c:v>
                </c:pt>
              </c:strCache>
            </c:strRef>
          </c:tx>
          <c:explosion val="0"/>
          <c:dPt>
            <c:idx val="0"/>
            <c:bubble3D val="0"/>
          </c:dPt>
          <c:dLbls>
            <c:delete val="1"/>
          </c:dLbls>
          <c:cat>
            <c:strRef>
              <c:f>Sheet1!$A$62</c:f>
              <c:strCache>
                <c:ptCount val="1"/>
                <c:pt idx="0">
                  <c:v>一般公共预算财政拨款收入</c:v>
                </c:pt>
              </c:strCache>
            </c:strRef>
          </c:cat>
          <c:val>
            <c:numRef>
              <c:f>Sheet1!$B$62</c:f>
              <c:numCache>
                <c:formatCode>#,##0.00</c:formatCode>
                <c:ptCount val="1"/>
                <c:pt idx="0">
                  <c:v>13744.47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支出决算结构图</a:t>
            </a:r>
            <a:endParaRPr lang="zh-CN" altLang="en-US"/>
          </a:p>
        </c:rich>
      </c:tx>
      <c:layout/>
      <c:overlay val="0"/>
    </c:title>
    <c:autoTitleDeleted val="0"/>
    <c:plotArea>
      <c:layout/>
      <c:pieChart>
        <c:varyColors val="1"/>
        <c:ser>
          <c:idx val="0"/>
          <c:order val="0"/>
          <c:explosion val="0"/>
          <c:dPt>
            <c:idx val="0"/>
            <c:bubble3D val="0"/>
          </c:dPt>
          <c:dPt>
            <c:idx val="1"/>
            <c:bubble3D val="0"/>
          </c:dPt>
          <c:dLbls>
            <c:delete val="1"/>
          </c:dLbls>
          <c:cat>
            <c:strRef>
              <c:f>Sheet1!$A$30:$A$31</c:f>
              <c:strCache>
                <c:ptCount val="2"/>
                <c:pt idx="0">
                  <c:v>基本支出</c:v>
                </c:pt>
                <c:pt idx="1">
                  <c:v>项目支出</c:v>
                </c:pt>
              </c:strCache>
            </c:strRef>
          </c:cat>
          <c:val>
            <c:numRef>
              <c:f>Sheet1!$B$30:$B$31</c:f>
              <c:numCache>
                <c:formatCode>#,##0.00</c:formatCode>
                <c:ptCount val="2"/>
                <c:pt idx="0">
                  <c:v>9576.78</c:v>
                </c:pt>
                <c:pt idx="1">
                  <c:v>4167.7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财政拨款收、支决算总计变动情况</a:t>
            </a:r>
            <a:endParaRPr lang="zh-CN" altLang="en-US"/>
          </a:p>
        </c:rich>
      </c:tx>
      <c:layout/>
      <c:overlay val="0"/>
    </c:title>
    <c:autoTitleDeleted val="0"/>
    <c:plotArea>
      <c:layout/>
      <c:barChart>
        <c:barDir val="col"/>
        <c:grouping val="clustered"/>
        <c:varyColors val="0"/>
        <c:ser>
          <c:idx val="0"/>
          <c:order val="0"/>
          <c:invertIfNegative val="0"/>
          <c:dLbls>
            <c:delete val="1"/>
          </c:dLbls>
          <c:cat>
            <c:strRef>
              <c:f>Sheet1!$A$2:$A$3</c:f>
              <c:strCache>
                <c:ptCount val="2"/>
                <c:pt idx="0">
                  <c:v>2020年</c:v>
                </c:pt>
                <c:pt idx="1">
                  <c:v>2019年</c:v>
                </c:pt>
              </c:strCache>
            </c:strRef>
          </c:cat>
          <c:val>
            <c:numRef>
              <c:f>Sheet1!$B$2:$B$3</c:f>
              <c:numCache>
                <c:formatCode>#,##0.00</c:formatCode>
                <c:ptCount val="2"/>
                <c:pt idx="0">
                  <c:v>13744.47</c:v>
                </c:pt>
                <c:pt idx="1">
                  <c:v>12296.13</c:v>
                </c:pt>
              </c:numCache>
            </c:numRef>
          </c:val>
        </c:ser>
        <c:dLbls>
          <c:showLegendKey val="0"/>
          <c:showVal val="0"/>
          <c:showCatName val="0"/>
          <c:showSerName val="0"/>
          <c:showPercent val="0"/>
          <c:showBubbleSize val="0"/>
        </c:dLbls>
        <c:gapWidth val="150"/>
        <c:axId val="323251200"/>
        <c:axId val="323265280"/>
      </c:barChart>
      <c:catAx>
        <c:axId val="3232512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265280"/>
        <c:crosses val="autoZero"/>
        <c:auto val="1"/>
        <c:lblAlgn val="ctr"/>
        <c:lblOffset val="100"/>
        <c:noMultiLvlLbl val="0"/>
      </c:catAx>
      <c:valAx>
        <c:axId val="323265280"/>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25120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overlay val="0"/>
    </c:title>
    <c:autoTitleDeleted val="0"/>
    <c:plotArea>
      <c:layout/>
      <c:barChart>
        <c:barDir val="col"/>
        <c:grouping val="clustered"/>
        <c:varyColors val="0"/>
        <c:ser>
          <c:idx val="0"/>
          <c:order val="0"/>
          <c:invertIfNegative val="0"/>
          <c:dLbls>
            <c:delete val="1"/>
          </c:dLbls>
          <c:cat>
            <c:strRef>
              <c:f>Sheet1!$A$2:$A$3</c:f>
              <c:strCache>
                <c:ptCount val="2"/>
                <c:pt idx="0">
                  <c:v>2020年</c:v>
                </c:pt>
                <c:pt idx="1">
                  <c:v>2019年</c:v>
                </c:pt>
              </c:strCache>
            </c:strRef>
          </c:cat>
          <c:val>
            <c:numRef>
              <c:f>Sheet1!$B$2:$B$3</c:f>
              <c:numCache>
                <c:formatCode>#,##0.00</c:formatCode>
                <c:ptCount val="2"/>
                <c:pt idx="0">
                  <c:v>13744.47</c:v>
                </c:pt>
                <c:pt idx="1">
                  <c:v>12296.13</c:v>
                </c:pt>
              </c:numCache>
            </c:numRef>
          </c:val>
        </c:ser>
        <c:dLbls>
          <c:showLegendKey val="0"/>
          <c:showVal val="0"/>
          <c:showCatName val="0"/>
          <c:showSerName val="0"/>
          <c:showPercent val="0"/>
          <c:showBubbleSize val="0"/>
        </c:dLbls>
        <c:gapWidth val="150"/>
        <c:axId val="323279872"/>
        <c:axId val="66126592"/>
      </c:barChart>
      <c:catAx>
        <c:axId val="3232798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126592"/>
        <c:crosses val="autoZero"/>
        <c:auto val="1"/>
        <c:lblAlgn val="ctr"/>
        <c:lblOffset val="100"/>
        <c:noMultiLvlLbl val="0"/>
      </c:catAx>
      <c:valAx>
        <c:axId val="66126592"/>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2798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b="1" i="0" u="none" strike="noStrike" baseline="0"/>
              <a:t>一般公共预算财政拨款支出决算结构</a:t>
            </a:r>
            <a:endParaRPr lang="zh-CN" altLang="en-US" sz="1600"/>
          </a:p>
        </c:rich>
      </c:tx>
      <c:layout>
        <c:manualLayout>
          <c:xMode val="edge"/>
          <c:yMode val="edge"/>
          <c:x val="0.115208223972004"/>
          <c:y val="0.0277777777777779"/>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Sheet1!$M$3:$M$9</c:f>
              <c:strCache>
                <c:ptCount val="7"/>
                <c:pt idx="0">
                  <c:v>一般公共服务支出</c:v>
                </c:pt>
                <c:pt idx="1">
                  <c:v>教育支出</c:v>
                </c:pt>
                <c:pt idx="2">
                  <c:v>社会保障和就业支出</c:v>
                </c:pt>
                <c:pt idx="3">
                  <c:v>卫生健康支出</c:v>
                </c:pt>
                <c:pt idx="4">
                  <c:v>住房保障支出</c:v>
                </c:pt>
                <c:pt idx="5">
                  <c:v>灾害防治及应急管理支出</c:v>
                </c:pt>
                <c:pt idx="6">
                  <c:v>其他支出</c:v>
                </c:pt>
              </c:strCache>
            </c:strRef>
          </c:cat>
          <c:val>
            <c:numRef>
              <c:f>Sheet1!$N$3:$N$9</c:f>
              <c:numCache>
                <c:formatCode>#,##0.00</c:formatCode>
                <c:ptCount val="7"/>
                <c:pt idx="0">
                  <c:v>10672.15</c:v>
                </c:pt>
                <c:pt idx="1" c:formatCode="General">
                  <c:v>54.34</c:v>
                </c:pt>
                <c:pt idx="2">
                  <c:v>1698.06</c:v>
                </c:pt>
                <c:pt idx="3" c:formatCode="General">
                  <c:v>455.81</c:v>
                </c:pt>
                <c:pt idx="4" c:formatCode="General">
                  <c:v>748.11</c:v>
                </c:pt>
                <c:pt idx="5" c:formatCode="General">
                  <c:v>16</c:v>
                </c:pt>
                <c:pt idx="6" c:formatCode="General">
                  <c:v>100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elete val="1"/>
          </c:dLbls>
          <c:cat>
            <c:strRef>
              <c:f>Sheet2!$I$13:$I$15</c:f>
              <c:strCache>
                <c:ptCount val="3"/>
                <c:pt idx="0">
                  <c:v>公务用车购置及运行维护费</c:v>
                </c:pt>
                <c:pt idx="1">
                  <c:v>公务接待费</c:v>
                </c:pt>
                <c:pt idx="2">
                  <c:v>因公出国（境）费</c:v>
                </c:pt>
              </c:strCache>
            </c:strRef>
          </c:cat>
          <c:val>
            <c:numRef>
              <c:f>Sheet2!$J$13:$J$15</c:f>
              <c:numCache>
                <c:formatCode>General</c:formatCode>
                <c:ptCount val="3"/>
                <c:pt idx="0">
                  <c:v>124.67</c:v>
                </c:pt>
                <c:pt idx="1">
                  <c:v>13.48</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0598643919511"/>
          <c:y val="0.299774351122777"/>
          <c:w val="0.366623578302713"/>
          <c:h val="0.45600685331000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552E8-05AB-44F1-A87A-409AF0869C2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54</Pages>
  <Words>26530</Words>
  <Characters>28126</Characters>
  <Lines>36</Lines>
  <Paragraphs>61</Paragraphs>
  <TotalTime>3</TotalTime>
  <ScaleCrop>false</ScaleCrop>
  <LinksUpToDate>false</LinksUpToDate>
  <CharactersWithSpaces>28201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布丁娃娃</cp:lastModifiedBy>
  <cp:lastPrinted>2021-07-29T03:56:00Z</cp:lastPrinted>
  <dcterms:modified xsi:type="dcterms:W3CDTF">2022-11-14T06:46:26Z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23ECB225D1874E13966B6D249D82B5DB</vt:lpwstr>
  </property>
</Properties>
</file>