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74" w:rsidRDefault="00595574" w:rsidP="00595574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595574" w:rsidRDefault="00595574" w:rsidP="00595574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595574" w:rsidRDefault="00595574" w:rsidP="00595574">
      <w:pPr>
        <w:spacing w:line="520" w:lineRule="exact"/>
        <w:jc w:val="center"/>
        <w:rPr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595574" w:rsidTr="002E7126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2"/>
                <w:szCs w:val="2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595574" w:rsidTr="002E7126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595574" w:rsidRDefault="00595574" w:rsidP="002E7126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595574" w:rsidTr="002E7126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595574" w:rsidRDefault="00595574" w:rsidP="002E7126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595574" w:rsidTr="002E7126">
        <w:trPr>
          <w:trHeight w:val="504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7045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7345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5.44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7145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7445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5.51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7245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7545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5.58 </w:t>
            </w:r>
          </w:p>
        </w:tc>
      </w:tr>
      <w:tr w:rsidR="00595574" w:rsidTr="002E7126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7486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7786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5.86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7586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7886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5.93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7686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7986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6.01</w:t>
            </w:r>
          </w:p>
        </w:tc>
      </w:tr>
      <w:tr w:rsidR="00595574" w:rsidTr="002E7126">
        <w:trPr>
          <w:trHeight w:val="492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7926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8226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6.26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8026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8326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6.34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8126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8426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6.41</w:t>
            </w:r>
          </w:p>
        </w:tc>
      </w:tr>
      <w:tr w:rsidR="00595574" w:rsidTr="002E7126">
        <w:trPr>
          <w:trHeight w:val="53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6120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6420 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5.43 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6220 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6520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5.52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6320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6620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5.60 </w:t>
            </w:r>
          </w:p>
        </w:tc>
      </w:tr>
      <w:tr w:rsidR="00595574" w:rsidTr="002E7126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6505 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6805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5.76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6605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6905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5.84 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6705 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7005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595574" w:rsidRDefault="00595574" w:rsidP="002E7126">
            <w:pPr>
              <w:widowControl/>
              <w:jc w:val="center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5.93 </w:t>
            </w:r>
          </w:p>
        </w:tc>
      </w:tr>
    </w:tbl>
    <w:p w:rsidR="00595574" w:rsidRDefault="00595574" w:rsidP="00595574">
      <w:pPr>
        <w:spacing w:line="400" w:lineRule="exact"/>
        <w:ind w:firstLineChars="200" w:firstLine="480"/>
        <w:rPr>
          <w:rFonts w:ascii="Times New Roman" w:eastAsia="仿宋_GB2312" w:hAnsi="Times New Roman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注</w:t>
      </w:r>
      <w:r>
        <w:rPr>
          <w:color w:val="000000"/>
          <w:sz w:val="24"/>
        </w:rPr>
        <w:t>：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．</w:t>
      </w:r>
      <w:r>
        <w:rPr>
          <w:rFonts w:ascii="Times New Roman" w:eastAsia="仿宋_GB2312" w:hAnsi="Times New Roman"/>
          <w:color w:val="000000"/>
          <w:sz w:val="24"/>
        </w:rPr>
        <w:t>表中价格包含消费税、增值税以及城建税和教育费附加。</w:t>
      </w:r>
    </w:p>
    <w:p w:rsidR="00595574" w:rsidRDefault="00595574" w:rsidP="00595574">
      <w:pPr>
        <w:numPr>
          <w:ilvl w:val="0"/>
          <w:numId w:val="1"/>
        </w:numPr>
        <w:spacing w:line="400" w:lineRule="exac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表中汽油和柴油价格为符合第六阶段强制性国家标准</w:t>
      </w:r>
      <w:r>
        <w:rPr>
          <w:rFonts w:ascii="Times New Roman" w:eastAsia="仿宋_GB2312" w:hAnsi="Times New Roman"/>
          <w:color w:val="000000"/>
          <w:sz w:val="24"/>
        </w:rPr>
        <w:t>VIA</w:t>
      </w:r>
      <w:r>
        <w:rPr>
          <w:rFonts w:ascii="Times New Roman" w:eastAsia="仿宋_GB2312" w:hAnsi="Times New Roman"/>
          <w:color w:val="000000"/>
          <w:sz w:val="24"/>
        </w:rPr>
        <w:t>车用汽油和</w:t>
      </w:r>
      <w:r>
        <w:rPr>
          <w:rFonts w:ascii="Times New Roman" w:eastAsia="仿宋_GB2312" w:hAnsi="Times New Roman"/>
          <w:color w:val="000000"/>
          <w:sz w:val="24"/>
        </w:rPr>
        <w:t>VI</w:t>
      </w:r>
      <w:r>
        <w:rPr>
          <w:rFonts w:ascii="Times New Roman" w:eastAsia="仿宋_GB2312" w:hAnsi="Times New Roman"/>
          <w:color w:val="000000"/>
          <w:sz w:val="24"/>
        </w:rPr>
        <w:t>车用柴油价格。</w:t>
      </w:r>
    </w:p>
    <w:p w:rsidR="00595574" w:rsidRDefault="00595574" w:rsidP="00595574">
      <w:pPr>
        <w:numPr>
          <w:ilvl w:val="0"/>
          <w:numId w:val="1"/>
        </w:numPr>
        <w:spacing w:line="400" w:lineRule="exact"/>
        <w:rPr>
          <w:rFonts w:ascii="Times New Roman" w:eastAsia="仿宋_GB2312" w:hAnsi="Times New Roman"/>
          <w:color w:val="000000"/>
          <w:sz w:val="24"/>
        </w:rPr>
      </w:pPr>
      <w:r>
        <w:rPr>
          <w:rFonts w:ascii="Times New Roman" w:eastAsia="仿宋_GB2312" w:hAnsi="Times New Roman"/>
          <w:color w:val="000000"/>
          <w:sz w:val="24"/>
        </w:rPr>
        <w:t>普通柴油（标准品）最高零售价格按照</w:t>
      </w:r>
      <w:proofErr w:type="gramStart"/>
      <w:r>
        <w:rPr>
          <w:rFonts w:ascii="Times New Roman" w:eastAsia="仿宋_GB2312" w:hAnsi="Times New Roman"/>
          <w:color w:val="000000"/>
          <w:sz w:val="24"/>
        </w:rPr>
        <w:t>同阶段</w:t>
      </w:r>
      <w:proofErr w:type="gramEnd"/>
      <w:r>
        <w:rPr>
          <w:rFonts w:ascii="Times New Roman" w:eastAsia="仿宋_GB2312" w:hAnsi="Times New Roman"/>
          <w:color w:val="000000"/>
          <w:sz w:val="24"/>
        </w:rPr>
        <w:t>标准的车用柴油价格确定。</w:t>
      </w:r>
    </w:p>
    <w:p w:rsidR="00FC6727" w:rsidRDefault="00595574" w:rsidP="00FC6727">
      <w:pPr>
        <w:spacing w:line="400" w:lineRule="exact"/>
        <w:ind w:firstLineChars="396" w:firstLine="950"/>
        <w:rPr>
          <w:rFonts w:ascii="仿宋_GB2312" w:eastAsia="仿宋_GB2312" w:hAnsi="仿宋_GB2312" w:cs="仿宋_GB2312" w:hint="eastAsia"/>
          <w:color w:val="000000"/>
          <w:sz w:val="24"/>
        </w:rPr>
      </w:pPr>
      <w:proofErr w:type="gramStart"/>
      <w:r>
        <w:rPr>
          <w:rFonts w:ascii="Times New Roman" w:eastAsia="仿宋_GB2312" w:hAnsi="Times New Roman"/>
          <w:color w:val="000000"/>
          <w:sz w:val="24"/>
        </w:rPr>
        <w:t>4</w:t>
      </w:r>
      <w:r w:rsidRPr="00595574">
        <w:t xml:space="preserve"> .</w:t>
      </w:r>
      <w:proofErr w:type="gramEnd"/>
      <w:r>
        <w:rPr>
          <w:rFonts w:hint="eastAsia"/>
        </w:rPr>
        <w:t xml:space="preserve"> </w:t>
      </w:r>
      <w:r>
        <w:rPr>
          <w:rFonts w:ascii="Times New Roman" w:eastAsia="仿宋_GB2312" w:hAnsi="Times New Roman"/>
          <w:color w:val="000000"/>
          <w:sz w:val="24"/>
        </w:rPr>
        <w:t>阿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坝州所属汶川县、理县、茂县以及凉山州、攀枝花市行政区域为二价区，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</w:rPr>
        <w:t>阿坝州除汶川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</w:rPr>
        <w:t>县、理县、茂县以</w:t>
      </w:r>
    </w:p>
    <w:p w:rsidR="00E6784F" w:rsidRDefault="00595574" w:rsidP="00FC6727">
      <w:pPr>
        <w:spacing w:line="400" w:lineRule="exact"/>
        <w:ind w:firstLineChars="396" w:firstLine="950"/>
      </w:pP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 外的其余10个县以及甘孜州行政区域为三价区，二三价区以外的其他市行政区域为一价区。 </w:t>
      </w:r>
    </w:p>
    <w:sectPr w:rsidR="00E6784F" w:rsidSect="005955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5574"/>
    <w:rsid w:val="001B1B05"/>
    <w:rsid w:val="00411E1D"/>
    <w:rsid w:val="00595574"/>
    <w:rsid w:val="00E6784F"/>
    <w:rsid w:val="00FC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China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2</cp:revision>
  <dcterms:created xsi:type="dcterms:W3CDTF">2020-08-21T09:07:00Z</dcterms:created>
  <dcterms:modified xsi:type="dcterms:W3CDTF">2020-08-21T09:09:00Z</dcterms:modified>
</cp:coreProperties>
</file>